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C54" w:rsidRPr="003A0D86" w:rsidRDefault="00A141AD" w:rsidP="00347FA7">
      <w:pPr>
        <w:pStyle w:val="BodyText"/>
        <w:jc w:val="center"/>
      </w:pPr>
      <w:r w:rsidRPr="003A0D86">
        <w:t xml:space="preserve">Combined </w:t>
      </w:r>
      <w:r w:rsidR="004C1C54" w:rsidRPr="003A0D86">
        <w:t>Notes of Risk Assessme</w:t>
      </w:r>
      <w:r w:rsidRPr="003A0D86">
        <w:t xml:space="preserve">nt Working Group Teleconference </w:t>
      </w:r>
      <w:r w:rsidR="004C1C54" w:rsidRPr="003A0D86">
        <w:t xml:space="preserve">held on </w:t>
      </w:r>
      <w:r w:rsidRPr="003A0D86">
        <w:t>29</w:t>
      </w:r>
      <w:r w:rsidR="004C1C54" w:rsidRPr="003A0D86">
        <w:rPr>
          <w:vertAlign w:val="superscript"/>
        </w:rPr>
        <w:t>th</w:t>
      </w:r>
      <w:r w:rsidR="004C1C54" w:rsidRPr="003A0D86">
        <w:t xml:space="preserve"> </w:t>
      </w:r>
      <w:r w:rsidRPr="003A0D86">
        <w:t>November</w:t>
      </w:r>
      <w:r w:rsidR="004C1C54" w:rsidRPr="003A0D86">
        <w:t xml:space="preserve"> 2012</w:t>
      </w:r>
      <w:r w:rsidR="00347FA7">
        <w:t xml:space="preserve"> </w:t>
      </w:r>
      <w:r w:rsidR="00347FA7">
        <w:br/>
      </w:r>
      <w:r w:rsidRPr="003A0D86">
        <w:t>&amp; Meeting held at Newcastle University on 4</w:t>
      </w:r>
      <w:r w:rsidRPr="003A0D86">
        <w:rPr>
          <w:vertAlign w:val="superscript"/>
        </w:rPr>
        <w:t>th</w:t>
      </w:r>
      <w:r w:rsidRPr="003A0D86">
        <w:t xml:space="preserve"> December 2012</w:t>
      </w:r>
    </w:p>
    <w:p w:rsidR="004C1C54" w:rsidRPr="003A0D86" w:rsidRDefault="004C1C54" w:rsidP="00BF1CA5"/>
    <w:p w:rsidR="004C1C54" w:rsidRPr="003A0D86" w:rsidRDefault="00BC718F" w:rsidP="00BC718F">
      <w:pPr>
        <w:pStyle w:val="BodyText"/>
        <w:tabs>
          <w:tab w:val="right" w:pos="8931"/>
        </w:tabs>
        <w:jc w:val="center"/>
      </w:pPr>
      <w:r>
        <w:t>Draft for Approval</w:t>
      </w:r>
      <w:r>
        <w:tab/>
      </w:r>
      <w:r w:rsidR="004C1C54" w:rsidRPr="003A0D86">
        <w:t>RAWG/1</w:t>
      </w:r>
      <w:r w:rsidR="00A141AD" w:rsidRPr="003A0D86">
        <w:t>3</w:t>
      </w:r>
      <w:r w:rsidR="004C1C54" w:rsidRPr="003A0D86">
        <w:t>/0</w:t>
      </w:r>
      <w:r w:rsidR="00A141AD" w:rsidRPr="003A0D86">
        <w:t>02</w:t>
      </w:r>
    </w:p>
    <w:p w:rsidR="004C1C54" w:rsidRPr="003A0D86" w:rsidRDefault="004C1C54" w:rsidP="00AB2B4C">
      <w:pPr>
        <w:pStyle w:val="BodyText"/>
      </w:pPr>
    </w:p>
    <w:p w:rsidR="004C1C54" w:rsidRPr="009C0141" w:rsidRDefault="004C1C54" w:rsidP="0086636E">
      <w:pPr>
        <w:pStyle w:val="BodyText"/>
      </w:pPr>
      <w:r>
        <w:t>Present</w:t>
      </w:r>
      <w:r w:rsidR="00A141AD">
        <w:t xml:space="preserve"> (Teleconference &amp; Meeting):</w:t>
      </w:r>
    </w:p>
    <w:p w:rsidR="004C1C54" w:rsidRPr="009C0141" w:rsidRDefault="00A141AD" w:rsidP="00BC718F">
      <w:pPr>
        <w:ind w:left="720"/>
      </w:pPr>
      <w:r>
        <w:t>Neil Jackson</w:t>
      </w:r>
      <w:r>
        <w:tab/>
      </w:r>
      <w:r>
        <w:tab/>
      </w:r>
      <w:r>
        <w:tab/>
        <w:t>-</w:t>
      </w:r>
      <w:r>
        <w:tab/>
        <w:t>National Grid (Chair</w:t>
      </w:r>
      <w:r w:rsidR="004C1C54" w:rsidRPr="009C0141">
        <w:t>)</w:t>
      </w:r>
    </w:p>
    <w:p w:rsidR="004C1C54" w:rsidRDefault="00A141AD" w:rsidP="00BC718F">
      <w:pPr>
        <w:ind w:left="720"/>
      </w:pPr>
      <w:r>
        <w:t>Mike Acton</w:t>
      </w:r>
      <w:r w:rsidR="004C1C54">
        <w:tab/>
      </w:r>
      <w:r w:rsidR="004C1C54">
        <w:tab/>
      </w:r>
      <w:r w:rsidR="004C1C54">
        <w:tab/>
      </w:r>
      <w:r>
        <w:t>-</w:t>
      </w:r>
      <w:r w:rsidR="004C1C54">
        <w:tab/>
        <w:t>GL Noble Denton</w:t>
      </w:r>
    </w:p>
    <w:p w:rsidR="004C1C54" w:rsidRPr="009C0141" w:rsidRDefault="004C1C54" w:rsidP="00BC718F">
      <w:pPr>
        <w:ind w:left="720"/>
      </w:pPr>
      <w:r w:rsidRPr="009C0141">
        <w:t>Roger Ellis</w:t>
      </w:r>
      <w:r w:rsidRPr="009C0141">
        <w:tab/>
      </w:r>
      <w:r w:rsidRPr="009C0141">
        <w:tab/>
      </w:r>
      <w:r w:rsidRPr="009C0141">
        <w:tab/>
        <w:t>-</w:t>
      </w:r>
      <w:r w:rsidRPr="009C0141">
        <w:tab/>
      </w:r>
      <w:r>
        <w:t>Essar</w:t>
      </w:r>
    </w:p>
    <w:p w:rsidR="004C1C54" w:rsidRPr="009C0141" w:rsidRDefault="004C1C54" w:rsidP="00BC718F">
      <w:pPr>
        <w:ind w:left="720"/>
      </w:pPr>
      <w:r w:rsidRPr="009C0141">
        <w:t>Graham Goodfellow</w:t>
      </w:r>
      <w:r w:rsidRPr="009C0141">
        <w:tab/>
      </w:r>
      <w:r w:rsidRPr="009C0141">
        <w:tab/>
        <w:t>-</w:t>
      </w:r>
      <w:r w:rsidRPr="009C0141">
        <w:tab/>
      </w:r>
      <w:r w:rsidR="00A141AD">
        <w:t>Penspen Group (Secretary)</w:t>
      </w:r>
    </w:p>
    <w:p w:rsidR="004C1C54" w:rsidRPr="009C0141" w:rsidRDefault="004C1C54" w:rsidP="00BC718F">
      <w:pPr>
        <w:ind w:left="720"/>
      </w:pPr>
      <w:r w:rsidRPr="009C0141">
        <w:t>Jane Haswell</w:t>
      </w:r>
      <w:r w:rsidRPr="009C0141">
        <w:tab/>
      </w:r>
      <w:r w:rsidRPr="009C0141">
        <w:tab/>
      </w:r>
      <w:r w:rsidRPr="009C0141">
        <w:tab/>
        <w:t>-</w:t>
      </w:r>
      <w:r w:rsidRPr="009C0141">
        <w:tab/>
        <w:t>PIE</w:t>
      </w:r>
    </w:p>
    <w:p w:rsidR="004C1C54" w:rsidRPr="009C0141" w:rsidRDefault="004C1C54" w:rsidP="00BC718F">
      <w:pPr>
        <w:ind w:left="720"/>
      </w:pPr>
      <w:r w:rsidRPr="009C0141">
        <w:t>Rod McConnell</w:t>
      </w:r>
      <w:r w:rsidRPr="009C0141">
        <w:tab/>
      </w:r>
      <w:r w:rsidRPr="009C0141">
        <w:tab/>
        <w:t>-</w:t>
      </w:r>
      <w:r w:rsidRPr="009C0141">
        <w:tab/>
        <w:t>Independent Consultant</w:t>
      </w:r>
    </w:p>
    <w:p w:rsidR="00A141AD" w:rsidRDefault="00A141AD" w:rsidP="00BC718F">
      <w:pPr>
        <w:ind w:left="720"/>
      </w:pPr>
    </w:p>
    <w:p w:rsidR="00A141AD" w:rsidRPr="00B87958" w:rsidRDefault="00A141AD" w:rsidP="0086636E">
      <w:pPr>
        <w:pStyle w:val="BodyText"/>
      </w:pPr>
      <w:r w:rsidRPr="00B87958">
        <w:t>Present (Meeting Only):</w:t>
      </w:r>
    </w:p>
    <w:p w:rsidR="00A141AD" w:rsidRDefault="00A141AD" w:rsidP="00BC718F">
      <w:pPr>
        <w:ind w:left="720"/>
      </w:pPr>
      <w:r>
        <w:t>Barry Dalus</w:t>
      </w:r>
      <w:r>
        <w:tab/>
      </w:r>
      <w:r>
        <w:tab/>
      </w:r>
      <w:r>
        <w:tab/>
        <w:t>-</w:t>
      </w:r>
      <w:r>
        <w:tab/>
        <w:t>Northern Gas Networks</w:t>
      </w:r>
    </w:p>
    <w:p w:rsidR="00A141AD" w:rsidRDefault="00A141AD" w:rsidP="00BC718F">
      <w:pPr>
        <w:ind w:left="720"/>
      </w:pPr>
      <w:r>
        <w:t>Geoff Leach</w:t>
      </w:r>
      <w:r>
        <w:tab/>
      </w:r>
      <w:r>
        <w:tab/>
      </w:r>
      <w:r>
        <w:tab/>
        <w:t>-</w:t>
      </w:r>
      <w:r>
        <w:tab/>
        <w:t>Independent Consultant (part)</w:t>
      </w:r>
    </w:p>
    <w:p w:rsidR="00A141AD" w:rsidRDefault="00A141AD" w:rsidP="00BC718F">
      <w:pPr>
        <w:ind w:left="720"/>
      </w:pPr>
      <w:r>
        <w:t>Ben Morgan</w:t>
      </w:r>
      <w:r>
        <w:tab/>
      </w:r>
      <w:r>
        <w:tab/>
      </w:r>
      <w:r>
        <w:tab/>
        <w:t>-</w:t>
      </w:r>
      <w:r>
        <w:tab/>
        <w:t>Wales &amp; West Utilities</w:t>
      </w:r>
    </w:p>
    <w:p w:rsidR="00A141AD" w:rsidRDefault="00A141AD" w:rsidP="00BC718F">
      <w:pPr>
        <w:ind w:left="720"/>
      </w:pPr>
      <w:r>
        <w:t>Robert Owen</w:t>
      </w:r>
      <w:r>
        <w:tab/>
      </w:r>
      <w:r>
        <w:tab/>
      </w:r>
      <w:r>
        <w:tab/>
        <w:t>-</w:t>
      </w:r>
      <w:r>
        <w:tab/>
        <w:t>National Grid</w:t>
      </w:r>
    </w:p>
    <w:p w:rsidR="004C1C54" w:rsidRDefault="004C1C54" w:rsidP="00BC718F">
      <w:pPr>
        <w:ind w:left="720"/>
      </w:pPr>
      <w:r>
        <w:t>Robert Neil</w:t>
      </w:r>
      <w:r>
        <w:tab/>
      </w:r>
      <w:r>
        <w:tab/>
      </w:r>
      <w:r>
        <w:tab/>
        <w:t>-</w:t>
      </w:r>
      <w:r>
        <w:tab/>
      </w:r>
      <w:proofErr w:type="spellStart"/>
      <w:r>
        <w:t>Ineos</w:t>
      </w:r>
      <w:proofErr w:type="spellEnd"/>
    </w:p>
    <w:p w:rsidR="004C1C54" w:rsidRDefault="004C1C54" w:rsidP="00BC718F">
      <w:pPr>
        <w:ind w:left="720"/>
      </w:pPr>
      <w:r>
        <w:t>Richard Price</w:t>
      </w:r>
      <w:r>
        <w:tab/>
      </w:r>
      <w:r>
        <w:tab/>
      </w:r>
      <w:r>
        <w:tab/>
      </w:r>
      <w:r w:rsidR="00A141AD">
        <w:t>-</w:t>
      </w:r>
      <w:r>
        <w:tab/>
        <w:t>BPA</w:t>
      </w:r>
    </w:p>
    <w:p w:rsidR="00A141AD" w:rsidRDefault="00A141AD" w:rsidP="00BC718F">
      <w:pPr>
        <w:ind w:left="720"/>
      </w:pPr>
      <w:r>
        <w:t>Andy Young</w:t>
      </w:r>
      <w:r>
        <w:tab/>
      </w:r>
      <w:r>
        <w:tab/>
      </w:r>
      <w:r>
        <w:tab/>
        <w:t>-</w:t>
      </w:r>
      <w:r>
        <w:tab/>
        <w:t>Penspen Group</w:t>
      </w:r>
    </w:p>
    <w:p w:rsidR="004C1C54" w:rsidRPr="009C0141" w:rsidRDefault="004C1C54" w:rsidP="00AB2B4C">
      <w:pPr>
        <w:pStyle w:val="BodyText"/>
      </w:pPr>
    </w:p>
    <w:p w:rsidR="00A141AD" w:rsidRDefault="00A141AD" w:rsidP="00BF1CA5">
      <w:pPr>
        <w:pStyle w:val="Heading1"/>
      </w:pPr>
      <w:r w:rsidRPr="00DA16EF">
        <w:t>Introductions</w:t>
      </w:r>
    </w:p>
    <w:p w:rsidR="00B87958" w:rsidRDefault="00B87958" w:rsidP="00B87958"/>
    <w:p w:rsidR="00B87958" w:rsidRPr="00B87958" w:rsidRDefault="00B87958" w:rsidP="00B87958">
      <w:r>
        <w:t>Ben Morgan of Wales &amp; West Utilities, who will be replacing Grant Rogers at RAWG, was welcomed to the meeting.</w:t>
      </w:r>
    </w:p>
    <w:p w:rsidR="004C1C54" w:rsidRPr="00DA16EF" w:rsidRDefault="004C1C54" w:rsidP="00BF1CA5">
      <w:pPr>
        <w:pStyle w:val="Heading1"/>
      </w:pPr>
      <w:r w:rsidRPr="00DA16EF">
        <w:t>Apologies</w:t>
      </w:r>
    </w:p>
    <w:p w:rsidR="004C1C54" w:rsidRPr="00EE5085" w:rsidRDefault="004C1C54" w:rsidP="00BF1CA5"/>
    <w:p w:rsidR="004C1C54" w:rsidRPr="009C0141" w:rsidRDefault="004C1C54" w:rsidP="00BF1CA5">
      <w:r w:rsidRPr="009C0141">
        <w:t>Richard Espiner</w:t>
      </w:r>
      <w:r w:rsidRPr="009C0141">
        <w:tab/>
      </w:r>
      <w:r w:rsidRPr="009C0141">
        <w:tab/>
        <w:t>-</w:t>
      </w:r>
      <w:r w:rsidRPr="009C0141">
        <w:tab/>
        <w:t>BP</w:t>
      </w:r>
    </w:p>
    <w:p w:rsidR="004C1C54" w:rsidRDefault="004C1C54" w:rsidP="00BF1CA5">
      <w:r>
        <w:t>Marc Harzenmoser</w:t>
      </w:r>
      <w:r>
        <w:tab/>
      </w:r>
      <w:r>
        <w:tab/>
        <w:t>-</w:t>
      </w:r>
      <w:r>
        <w:tab/>
      </w:r>
      <w:proofErr w:type="spellStart"/>
      <w:r>
        <w:t>SwissGas</w:t>
      </w:r>
      <w:proofErr w:type="spellEnd"/>
    </w:p>
    <w:p w:rsidR="00A141AD" w:rsidRPr="009C0141" w:rsidRDefault="00A141AD" w:rsidP="00BF1CA5">
      <w:r>
        <w:t>Barry MacKay</w:t>
      </w:r>
      <w:r>
        <w:tab/>
      </w:r>
      <w:r>
        <w:tab/>
      </w:r>
      <w:r>
        <w:tab/>
        <w:t>-</w:t>
      </w:r>
      <w:r>
        <w:tab/>
        <w:t>Scotia Gas Networks</w:t>
      </w:r>
    </w:p>
    <w:p w:rsidR="00DA16EF" w:rsidRDefault="00DA16EF" w:rsidP="00BF1CA5">
      <w:pPr>
        <w:pStyle w:val="Heading1"/>
      </w:pPr>
      <w:r w:rsidRPr="00A93E7F">
        <w:t xml:space="preserve">Summary of </w:t>
      </w:r>
      <w:proofErr w:type="spellStart"/>
      <w:r w:rsidRPr="00A93E7F">
        <w:t>Telecon</w:t>
      </w:r>
      <w:proofErr w:type="spellEnd"/>
    </w:p>
    <w:p w:rsidR="003A0D86" w:rsidRDefault="003A0D86" w:rsidP="00BF1CA5"/>
    <w:p w:rsidR="003A0D86" w:rsidRDefault="003A0D86" w:rsidP="00BF1CA5">
      <w:r>
        <w:t>The teleconference on 29</w:t>
      </w:r>
      <w:r w:rsidRPr="003A0D86">
        <w:rPr>
          <w:vertAlign w:val="superscript"/>
        </w:rPr>
        <w:t>th</w:t>
      </w:r>
      <w:r>
        <w:t xml:space="preserve"> November was briefly summarised. It was concluded that it was a success and that further teleconferences should be held at regular intervals and that only actions should be recorded, rather than full notes.</w:t>
      </w:r>
    </w:p>
    <w:p w:rsidR="004C1C54" w:rsidRDefault="00DA16EF" w:rsidP="00BF1CA5">
      <w:pPr>
        <w:pStyle w:val="Heading2"/>
      </w:pPr>
      <w:r>
        <w:t>Minutes of Last Meeting</w:t>
      </w:r>
    </w:p>
    <w:p w:rsidR="00DA16EF" w:rsidRPr="00EE5085" w:rsidRDefault="00DA16EF" w:rsidP="00AB2B4C"/>
    <w:p w:rsidR="004C1C54" w:rsidRDefault="004C1C54" w:rsidP="00BF1CA5">
      <w:r>
        <w:t>Minor comments have been received from Mike Acton and Roger Ellis and incorporated. There were no further comments and the notes of the meeting were approved.</w:t>
      </w:r>
    </w:p>
    <w:p w:rsidR="004C1C54" w:rsidRPr="00DA16EF" w:rsidRDefault="004C1C54" w:rsidP="00BF1CA5">
      <w:pPr>
        <w:pStyle w:val="Heading2"/>
      </w:pPr>
      <w:bookmarkStart w:id="0" w:name="OLE_LINK3"/>
      <w:bookmarkStart w:id="1" w:name="OLE_LINK4"/>
      <w:r w:rsidRPr="00DA16EF">
        <w:t>Matters arising</w:t>
      </w:r>
      <w:bookmarkEnd w:id="0"/>
      <w:bookmarkEnd w:id="1"/>
    </w:p>
    <w:p w:rsidR="004C1C54" w:rsidRDefault="004C1C54" w:rsidP="00BF1CA5"/>
    <w:p w:rsidR="004C1C54" w:rsidRPr="00BF1CA5" w:rsidRDefault="004C1C54" w:rsidP="00AB2B4C">
      <w:pPr>
        <w:pStyle w:val="OldAction"/>
      </w:pPr>
      <w:r w:rsidRPr="00BF1CA5">
        <w:t xml:space="preserve">Action 1 – </w:t>
      </w:r>
      <w:r w:rsidRPr="00BF1CA5">
        <w:tab/>
        <w:t>Mike Acton to circulate the GL Noble Denton survey on fixed wing vs. helicopter aerial surveillance as previously agreed.</w:t>
      </w:r>
    </w:p>
    <w:p w:rsidR="004C1C54" w:rsidRDefault="007C3FAD" w:rsidP="00BF1CA5">
      <w:r>
        <w:t>Neil Jackson’s original email of 20</w:t>
      </w:r>
      <w:r w:rsidRPr="007C3FAD">
        <w:rPr>
          <w:vertAlign w:val="superscript"/>
        </w:rPr>
        <w:t>th</w:t>
      </w:r>
      <w:r>
        <w:t xml:space="preserve"> March 2012 was </w:t>
      </w:r>
      <w:proofErr w:type="spellStart"/>
      <w:r>
        <w:t>recirculated</w:t>
      </w:r>
      <w:proofErr w:type="spellEnd"/>
      <w:r>
        <w:t xml:space="preserve"> to all RAWG members on 29</w:t>
      </w:r>
      <w:r w:rsidRPr="007C3FAD">
        <w:rPr>
          <w:vertAlign w:val="superscript"/>
        </w:rPr>
        <w:t>th</w:t>
      </w:r>
      <w:r>
        <w:t xml:space="preserve"> November.</w:t>
      </w:r>
    </w:p>
    <w:p w:rsidR="004C1C54" w:rsidRPr="00BF1CA5" w:rsidRDefault="004C1C54" w:rsidP="00BF1CA5">
      <w:pPr>
        <w:rPr>
          <w:b/>
        </w:rPr>
      </w:pPr>
      <w:r w:rsidRPr="00BF1CA5">
        <w:rPr>
          <w:b/>
        </w:rPr>
        <w:t>Complete</w:t>
      </w:r>
    </w:p>
    <w:p w:rsidR="004C1C54" w:rsidRPr="00155EDC" w:rsidRDefault="004C1C54" w:rsidP="00AB2B4C"/>
    <w:p w:rsidR="004C1C54" w:rsidRPr="00C421A0" w:rsidRDefault="004C1C54" w:rsidP="00C421A0">
      <w:pPr>
        <w:pStyle w:val="OldAction"/>
      </w:pPr>
      <w:r w:rsidRPr="00C421A0">
        <w:lastRenderedPageBreak/>
        <w:t xml:space="preserve">Action 2 – </w:t>
      </w:r>
      <w:r w:rsidRPr="00C421A0">
        <w:tab/>
      </w:r>
      <w:r w:rsidR="007C3FAD" w:rsidRPr="00C421A0">
        <w:t xml:space="preserve">Graham Goodfellow to </w:t>
      </w:r>
      <w:proofErr w:type="spellStart"/>
      <w:r w:rsidR="007C3FAD" w:rsidRPr="00C421A0">
        <w:t>recirculate</w:t>
      </w:r>
      <w:proofErr w:type="spellEnd"/>
      <w:r w:rsidR="007C3FAD" w:rsidRPr="00C421A0">
        <w:t xml:space="preserve"> n</w:t>
      </w:r>
      <w:r w:rsidRPr="00C421A0">
        <w:t xml:space="preserve">otes of the December 2011 meeting to </w:t>
      </w:r>
      <w:r w:rsidR="007C3FAD" w:rsidRPr="00C421A0">
        <w:t xml:space="preserve">all </w:t>
      </w:r>
      <w:r w:rsidRPr="00C421A0">
        <w:t>RAWG members.</w:t>
      </w:r>
    </w:p>
    <w:p w:rsidR="004C1C54" w:rsidRPr="00BF1CA5" w:rsidRDefault="007C3FAD" w:rsidP="00C421A0">
      <w:pPr>
        <w:pStyle w:val="BodyText"/>
      </w:pPr>
      <w:r w:rsidRPr="00BF1CA5">
        <w:t>Complete</w:t>
      </w:r>
    </w:p>
    <w:p w:rsidR="004C1C54" w:rsidRDefault="004C1C54" w:rsidP="00AB2B4C"/>
    <w:p w:rsidR="004C1C54" w:rsidRPr="007C3FAD" w:rsidRDefault="004C1C54" w:rsidP="00AB2B4C">
      <w:pPr>
        <w:pStyle w:val="OldAction"/>
      </w:pPr>
      <w:r w:rsidRPr="00D07B16">
        <w:t xml:space="preserve">Action 3 – </w:t>
      </w:r>
      <w:r>
        <w:tab/>
      </w:r>
      <w:r w:rsidR="007C3FAD" w:rsidRPr="007C3FAD">
        <w:t>Jane Haswell to issue work authorisation template to Graham Goodfellow.</w:t>
      </w:r>
    </w:p>
    <w:p w:rsidR="004C1C54" w:rsidRPr="00BF1CA5" w:rsidRDefault="004C1C54" w:rsidP="00BF1CA5">
      <w:pPr>
        <w:rPr>
          <w:b/>
        </w:rPr>
      </w:pPr>
      <w:r w:rsidRPr="00BF1CA5">
        <w:rPr>
          <w:b/>
        </w:rPr>
        <w:t>Complete</w:t>
      </w:r>
    </w:p>
    <w:p w:rsidR="004C1C54" w:rsidRDefault="004C1C54" w:rsidP="00BF1CA5"/>
    <w:p w:rsidR="004C1C54" w:rsidRPr="007C3FAD" w:rsidRDefault="004C1C54" w:rsidP="00AB2B4C">
      <w:pPr>
        <w:pStyle w:val="OldAction"/>
        <w:rPr>
          <w:b/>
        </w:rPr>
      </w:pPr>
      <w:r w:rsidRPr="007C3FAD">
        <w:t>A</w:t>
      </w:r>
      <w:r w:rsidRPr="00AB2B4C">
        <w:t xml:space="preserve">ction 4 – </w:t>
      </w:r>
      <w:r w:rsidRPr="00AB2B4C">
        <w:tab/>
        <w:t>Graham Goodfellow to complete work authorisation form and submit to management council.</w:t>
      </w:r>
    </w:p>
    <w:p w:rsidR="007C3FAD" w:rsidRPr="00BF1CA5" w:rsidRDefault="0020086D" w:rsidP="00BF1CA5">
      <w:pPr>
        <w:rPr>
          <w:b/>
        </w:rPr>
      </w:pPr>
      <w:r w:rsidRPr="00BF1CA5">
        <w:rPr>
          <w:b/>
        </w:rPr>
        <w:t>Ongoing</w:t>
      </w:r>
    </w:p>
    <w:p w:rsidR="004C1C54" w:rsidRPr="00AB2B4C" w:rsidRDefault="007C3FAD" w:rsidP="00AB2B4C">
      <w:pPr>
        <w:pStyle w:val="NewAction"/>
        <w:rPr>
          <w:b w:val="0"/>
          <w:u w:val="none"/>
        </w:rPr>
      </w:pPr>
      <w:r w:rsidRPr="00FF6F74">
        <w:t xml:space="preserve">Action </w:t>
      </w:r>
      <w:r>
        <w:t>1</w:t>
      </w:r>
      <w:r w:rsidRPr="00FF6F74">
        <w:t xml:space="preserve"> </w:t>
      </w:r>
      <w:r w:rsidRPr="00AB2B4C">
        <w:rPr>
          <w:b w:val="0"/>
          <w:u w:val="none"/>
        </w:rPr>
        <w:t xml:space="preserve">– </w:t>
      </w:r>
      <w:r w:rsidRPr="00AB2B4C">
        <w:rPr>
          <w:b w:val="0"/>
          <w:u w:val="none"/>
        </w:rPr>
        <w:tab/>
        <w:t>Graham Goodfellow to complete work authorisation form for slabbing specification and submit to management council.</w:t>
      </w:r>
    </w:p>
    <w:p w:rsidR="007C3FAD" w:rsidRDefault="007C3FAD" w:rsidP="00AB2B4C">
      <w:pPr>
        <w:pStyle w:val="NewAction"/>
      </w:pPr>
    </w:p>
    <w:p w:rsidR="004C1C54" w:rsidRDefault="00FF6F74" w:rsidP="00AB2B4C">
      <w:pPr>
        <w:pStyle w:val="OldAction"/>
      </w:pPr>
      <w:r w:rsidRPr="00FF60BB">
        <w:t xml:space="preserve">Action 5 – </w:t>
      </w:r>
      <w:r w:rsidRPr="00FF60BB">
        <w:tab/>
        <w:t xml:space="preserve">Jane Haswell to provide an update </w:t>
      </w:r>
      <w:r w:rsidR="00FF60BB" w:rsidRPr="00FF60BB">
        <w:t xml:space="preserve">on PD 8010-3 volunteers </w:t>
      </w:r>
      <w:r w:rsidRPr="00FF60BB">
        <w:t>at the next meeting.</w:t>
      </w:r>
    </w:p>
    <w:p w:rsidR="00FF60BB" w:rsidRPr="00BF1CA5" w:rsidRDefault="0020086D" w:rsidP="00BF1CA5">
      <w:pPr>
        <w:rPr>
          <w:b/>
        </w:rPr>
      </w:pPr>
      <w:r w:rsidRPr="00BF1CA5">
        <w:rPr>
          <w:b/>
        </w:rPr>
        <w:t>Complete</w:t>
      </w:r>
    </w:p>
    <w:p w:rsidR="004C1C54" w:rsidRPr="00FF6F74" w:rsidRDefault="004C1C54" w:rsidP="00BF1CA5"/>
    <w:p w:rsidR="004C1C54" w:rsidRDefault="004C1C54" w:rsidP="00AB2B4C">
      <w:pPr>
        <w:pStyle w:val="OldAction"/>
      </w:pPr>
      <w:r w:rsidRPr="00AB2B4C">
        <w:t xml:space="preserve">Action </w:t>
      </w:r>
      <w:r w:rsidR="00FF6F74" w:rsidRPr="00AB2B4C">
        <w:t>6</w:t>
      </w:r>
      <w:r w:rsidRPr="00FF60BB">
        <w:t xml:space="preserve"> </w:t>
      </w:r>
      <w:r w:rsidRPr="00AB2B4C">
        <w:t xml:space="preserve">– </w:t>
      </w:r>
      <w:r w:rsidRPr="00AB2B4C">
        <w:tab/>
        <w:t>Neil Jackson to write to HSE asking them to confirm the change in use of CONCAWE data.</w:t>
      </w:r>
    </w:p>
    <w:p w:rsidR="00FF60BB" w:rsidRPr="00FF60BB" w:rsidRDefault="00FF60BB" w:rsidP="00AB2B4C">
      <w:r>
        <w:t xml:space="preserve">Discussed under Agenda Item </w:t>
      </w:r>
      <w:r w:rsidR="00AB2B4C">
        <w:t>3.4</w:t>
      </w:r>
      <w:r>
        <w:t>.</w:t>
      </w:r>
    </w:p>
    <w:p w:rsidR="00FF60BB" w:rsidRPr="00AB2B4C" w:rsidRDefault="0020086D" w:rsidP="00AB2B4C">
      <w:pPr>
        <w:pStyle w:val="BodyText"/>
      </w:pPr>
      <w:r w:rsidRPr="00AB2B4C">
        <w:t>Complete</w:t>
      </w:r>
    </w:p>
    <w:p w:rsidR="004C1C54" w:rsidRDefault="004C1C54" w:rsidP="00AB2B4C"/>
    <w:p w:rsidR="004C1C54" w:rsidRDefault="004C1C54" w:rsidP="00AB2B4C">
      <w:pPr>
        <w:pStyle w:val="OldAction"/>
      </w:pPr>
      <w:r w:rsidRPr="00FF60BB">
        <w:t xml:space="preserve">Action </w:t>
      </w:r>
      <w:r w:rsidR="00FF6F74" w:rsidRPr="00FF60BB">
        <w:t>7</w:t>
      </w:r>
      <w:r w:rsidRPr="00FF60BB">
        <w:t xml:space="preserve"> – </w:t>
      </w:r>
      <w:r w:rsidRPr="00FF60BB">
        <w:tab/>
        <w:t xml:space="preserve">Graham Goodfellow to circulate </w:t>
      </w:r>
      <w:r w:rsidR="00FF60BB">
        <w:t xml:space="preserve">EU </w:t>
      </w:r>
      <w:proofErr w:type="spellStart"/>
      <w:r w:rsidR="00FF60BB">
        <w:t>LessLoss</w:t>
      </w:r>
      <w:proofErr w:type="spellEnd"/>
      <w:r w:rsidR="00FF60BB">
        <w:t xml:space="preserve"> website </w:t>
      </w:r>
      <w:r w:rsidRPr="00FF60BB">
        <w:t>link to members.</w:t>
      </w:r>
    </w:p>
    <w:p w:rsidR="00FF60BB" w:rsidRDefault="00FF60BB" w:rsidP="00AB2B4C">
      <w:r>
        <w:t>Circulated on 29</w:t>
      </w:r>
      <w:r w:rsidRPr="00FF60BB">
        <w:rPr>
          <w:vertAlign w:val="superscript"/>
        </w:rPr>
        <w:t>th</w:t>
      </w:r>
      <w:r>
        <w:t xml:space="preserve"> November.</w:t>
      </w:r>
    </w:p>
    <w:p w:rsidR="00FF60BB" w:rsidRPr="00FF60BB" w:rsidRDefault="0020086D" w:rsidP="00AB2B4C">
      <w:pPr>
        <w:pStyle w:val="BodyText"/>
      </w:pPr>
      <w:r>
        <w:t>Complete</w:t>
      </w:r>
    </w:p>
    <w:p w:rsidR="004C1C54" w:rsidRPr="00FF60BB" w:rsidRDefault="004C1C54" w:rsidP="00AB2B4C"/>
    <w:p w:rsidR="004C1C54" w:rsidRDefault="004C1C54" w:rsidP="00AB2B4C">
      <w:pPr>
        <w:pStyle w:val="OldAction"/>
      </w:pPr>
      <w:r w:rsidRPr="00FF60BB">
        <w:t xml:space="preserve">Action </w:t>
      </w:r>
      <w:r w:rsidR="00FF6F74" w:rsidRPr="00FF60BB">
        <w:t>8</w:t>
      </w:r>
      <w:r w:rsidRPr="00FF60BB">
        <w:t xml:space="preserve"> – </w:t>
      </w:r>
      <w:r w:rsidRPr="00FF60BB">
        <w:tab/>
        <w:t>Jane Haswell to provide final version of GLND R11631 when available.</w:t>
      </w:r>
    </w:p>
    <w:p w:rsidR="004520AD" w:rsidRPr="004520AD" w:rsidRDefault="004520AD" w:rsidP="00AB2B4C">
      <w:r w:rsidRPr="004520AD">
        <w:t>Discussed further under</w:t>
      </w:r>
      <w:r w:rsidR="00AB2B4C">
        <w:t xml:space="preserve"> Agenda Item 9</w:t>
      </w:r>
      <w:r w:rsidRPr="004520AD">
        <w:t>.</w:t>
      </w:r>
    </w:p>
    <w:p w:rsidR="00FF60BB" w:rsidRDefault="0020086D" w:rsidP="00AB2B4C">
      <w:pPr>
        <w:pStyle w:val="BodyText"/>
      </w:pPr>
      <w:r>
        <w:t>Complete</w:t>
      </w:r>
    </w:p>
    <w:p w:rsidR="00FF60BB" w:rsidRPr="00FF60BB" w:rsidRDefault="00FF60BB" w:rsidP="00AB2B4C"/>
    <w:p w:rsidR="004C1C54" w:rsidRPr="00FF60BB" w:rsidRDefault="004C1C54" w:rsidP="00AB2B4C">
      <w:pPr>
        <w:pStyle w:val="OldAction"/>
      </w:pPr>
      <w:r w:rsidRPr="00FF60BB">
        <w:t xml:space="preserve">Action </w:t>
      </w:r>
      <w:r w:rsidR="00FF6F74" w:rsidRPr="00FF60BB">
        <w:t>9</w:t>
      </w:r>
      <w:r w:rsidRPr="00FF60BB">
        <w:t xml:space="preserve"> – </w:t>
      </w:r>
      <w:r w:rsidRPr="00FF60BB">
        <w:tab/>
        <w:t>Jane Haswell to provide copy of draft report on dent fatigue for circulation to RAWG members.</w:t>
      </w:r>
    </w:p>
    <w:p w:rsidR="004520AD" w:rsidRPr="004520AD" w:rsidRDefault="004520AD" w:rsidP="00AB2B4C">
      <w:r w:rsidRPr="004520AD">
        <w:t>Discussed further under</w:t>
      </w:r>
      <w:r w:rsidR="00AB2B4C">
        <w:t xml:space="preserve"> Agenda Item 9</w:t>
      </w:r>
      <w:r w:rsidRPr="004520AD">
        <w:t>.</w:t>
      </w:r>
    </w:p>
    <w:p w:rsidR="004C1C54" w:rsidRPr="00FF60BB" w:rsidRDefault="0020086D" w:rsidP="00AB2B4C">
      <w:pPr>
        <w:pStyle w:val="BodyText"/>
      </w:pPr>
      <w:r>
        <w:t>Complete</w:t>
      </w:r>
    </w:p>
    <w:p w:rsidR="00FF60BB" w:rsidRPr="00FF60BB" w:rsidRDefault="00FF60BB" w:rsidP="00AB2B4C"/>
    <w:p w:rsidR="004C1C54" w:rsidRPr="004520AD" w:rsidRDefault="004C1C54" w:rsidP="00AB2B4C">
      <w:pPr>
        <w:pStyle w:val="OldAction"/>
      </w:pPr>
      <w:r w:rsidRPr="004520AD">
        <w:t xml:space="preserve">Action </w:t>
      </w:r>
      <w:r w:rsidR="00FF6F74" w:rsidRPr="004520AD">
        <w:t>10</w:t>
      </w:r>
      <w:r w:rsidR="004520AD" w:rsidRPr="004520AD">
        <w:t xml:space="preserve"> – </w:t>
      </w:r>
      <w:r w:rsidR="004520AD" w:rsidRPr="004520AD">
        <w:tab/>
        <w:t>Jane Haswell to resend Geoff Leach</w:t>
      </w:r>
      <w:r w:rsidRPr="004520AD">
        <w:t xml:space="preserve"> report </w:t>
      </w:r>
      <w:r w:rsidR="004520AD" w:rsidRPr="004520AD">
        <w:t xml:space="preserve">on natural </w:t>
      </w:r>
      <w:proofErr w:type="spellStart"/>
      <w:r w:rsidR="004520AD" w:rsidRPr="004520AD">
        <w:t>landsliding</w:t>
      </w:r>
      <w:proofErr w:type="spellEnd"/>
      <w:r w:rsidR="004520AD" w:rsidRPr="004520AD">
        <w:t xml:space="preserve"> </w:t>
      </w:r>
      <w:r w:rsidRPr="004520AD">
        <w:t>to Neil Jackson.</w:t>
      </w:r>
    </w:p>
    <w:p w:rsidR="004520AD" w:rsidRPr="00FF60BB" w:rsidRDefault="0020086D" w:rsidP="00AB2B4C">
      <w:pPr>
        <w:pStyle w:val="BodyText"/>
      </w:pPr>
      <w:r>
        <w:t>Complete</w:t>
      </w:r>
    </w:p>
    <w:p w:rsidR="004C1C54" w:rsidRPr="00554C87" w:rsidRDefault="004C1C54" w:rsidP="00AB2B4C"/>
    <w:p w:rsidR="004C1C54" w:rsidRPr="004520AD" w:rsidRDefault="004C1C54" w:rsidP="00AB2B4C">
      <w:pPr>
        <w:pStyle w:val="OldAction"/>
      </w:pPr>
      <w:r w:rsidRPr="004520AD">
        <w:t>Action 1</w:t>
      </w:r>
      <w:r w:rsidR="00FF6F74" w:rsidRPr="004520AD">
        <w:t>1</w:t>
      </w:r>
      <w:r w:rsidRPr="004520AD">
        <w:t xml:space="preserve"> – </w:t>
      </w:r>
      <w:r w:rsidRPr="004520AD">
        <w:tab/>
        <w:t>Neil Jackson to send a copy of updated Geoff Leach report to Peter Harper with UKOPA response to suggested use of zone 4 &amp; 5 failure rates.</w:t>
      </w:r>
    </w:p>
    <w:p w:rsidR="004C1C54" w:rsidRDefault="004520AD" w:rsidP="00AB2B4C">
      <w:r w:rsidRPr="0025596F">
        <w:rPr>
          <w:b/>
        </w:rPr>
        <w:t>Ongoing.</w:t>
      </w:r>
      <w:r>
        <w:t xml:space="preserve"> </w:t>
      </w:r>
      <w:r w:rsidRPr="00AB2B4C">
        <w:t xml:space="preserve">See Agenda Item </w:t>
      </w:r>
      <w:r w:rsidR="0025596F" w:rsidRPr="00AB2B4C">
        <w:t>3.4</w:t>
      </w:r>
      <w:r w:rsidRPr="00AB2B4C">
        <w:t>.</w:t>
      </w:r>
    </w:p>
    <w:p w:rsidR="004520AD" w:rsidRPr="00E226FE" w:rsidRDefault="004520AD" w:rsidP="00AB2B4C"/>
    <w:p w:rsidR="004C1C54" w:rsidRDefault="004C1C54" w:rsidP="00AB2B4C">
      <w:pPr>
        <w:pStyle w:val="OldAction"/>
      </w:pPr>
      <w:r w:rsidRPr="004520AD">
        <w:t>Action</w:t>
      </w:r>
      <w:r w:rsidR="00E92B60">
        <w:t xml:space="preserve"> </w:t>
      </w:r>
      <w:r w:rsidRPr="004520AD">
        <w:t>1</w:t>
      </w:r>
      <w:r w:rsidR="00FF6F74" w:rsidRPr="004520AD">
        <w:t>2</w:t>
      </w:r>
      <w:r w:rsidRPr="004520AD">
        <w:t xml:space="preserve"> – </w:t>
      </w:r>
      <w:r w:rsidRPr="004520AD">
        <w:tab/>
        <w:t>Rod McConnell to circulate note on fault database to RAWG members.</w:t>
      </w:r>
    </w:p>
    <w:p w:rsidR="004520AD" w:rsidRPr="00CD60B1" w:rsidRDefault="00CD60B1" w:rsidP="00AB2B4C">
      <w:pPr>
        <w:pStyle w:val="BodyText"/>
      </w:pPr>
      <w:r w:rsidRPr="00CD60B1">
        <w:t>Complete</w:t>
      </w:r>
    </w:p>
    <w:p w:rsidR="00E92B60" w:rsidRDefault="00E92B60" w:rsidP="00AB2B4C"/>
    <w:p w:rsidR="00E92B60" w:rsidRDefault="00E92B60" w:rsidP="00AB2B4C">
      <w:pPr>
        <w:pStyle w:val="OldAction"/>
      </w:pPr>
      <w:r w:rsidRPr="00E92B60">
        <w:t xml:space="preserve">Action 13 – </w:t>
      </w:r>
      <w:r w:rsidRPr="00E92B60">
        <w:tab/>
        <w:t>Neil Jackson to circulate notes of 13</w:t>
      </w:r>
      <w:r>
        <w:t>/</w:t>
      </w:r>
      <w:r w:rsidRPr="00E92B60">
        <w:t>07</w:t>
      </w:r>
      <w:r>
        <w:t>/</w:t>
      </w:r>
      <w:r w:rsidRPr="00E92B60">
        <w:t>12 HSL meeting to RAWG.</w:t>
      </w:r>
    </w:p>
    <w:p w:rsidR="00E92B60" w:rsidRDefault="0020086D" w:rsidP="00AB2B4C">
      <w:pPr>
        <w:pStyle w:val="BodyText"/>
      </w:pPr>
      <w:r>
        <w:t>Complete</w:t>
      </w:r>
    </w:p>
    <w:p w:rsidR="00E92B60" w:rsidRPr="00E92B60" w:rsidRDefault="00E92B60" w:rsidP="00AB2B4C"/>
    <w:p w:rsidR="00E92B60" w:rsidRPr="00E92B60" w:rsidRDefault="00E92B60" w:rsidP="00AB2B4C">
      <w:pPr>
        <w:pStyle w:val="OldAction"/>
      </w:pPr>
      <w:r w:rsidRPr="00E92B60">
        <w:t xml:space="preserve">Action 14 – </w:t>
      </w:r>
      <w:r w:rsidRPr="00E92B60">
        <w:tab/>
        <w:t xml:space="preserve">Graham Goodfellow to discuss FFREQ issues with Mike Acton and Michael Gardiner. </w:t>
      </w:r>
    </w:p>
    <w:p w:rsidR="00E92B60" w:rsidRPr="00CD60B1" w:rsidRDefault="00E92B60" w:rsidP="00AB2B4C">
      <w:r>
        <w:t>Issues clarified and FFREQ update ongoing.</w:t>
      </w:r>
      <w:r w:rsidR="00CD60B1">
        <w:t xml:space="preserve"> See Agenda Item 3.5.</w:t>
      </w:r>
    </w:p>
    <w:p w:rsidR="00E92B60" w:rsidRPr="00E92B60" w:rsidRDefault="0020086D" w:rsidP="00AB2B4C">
      <w:pPr>
        <w:pStyle w:val="BodyText"/>
      </w:pPr>
      <w:r>
        <w:t>Complete</w:t>
      </w:r>
    </w:p>
    <w:p w:rsidR="00E92B60" w:rsidRDefault="00E92B60" w:rsidP="00AB2B4C"/>
    <w:p w:rsidR="00E92B60" w:rsidRPr="00E92B60" w:rsidRDefault="00E92B60" w:rsidP="00AB2B4C">
      <w:pPr>
        <w:pStyle w:val="OldAction"/>
      </w:pPr>
      <w:r w:rsidRPr="00E92B60">
        <w:lastRenderedPageBreak/>
        <w:t xml:space="preserve">Action 15 – </w:t>
      </w:r>
      <w:r w:rsidRPr="00E92B60">
        <w:tab/>
        <w:t xml:space="preserve">Neil Jackson to circulate the </w:t>
      </w:r>
      <w:r>
        <w:t xml:space="preserve">HAZARDS XXIII wind turbine </w:t>
      </w:r>
      <w:r w:rsidRPr="00E92B60">
        <w:t>paper and presentation when available.</w:t>
      </w:r>
    </w:p>
    <w:p w:rsidR="00E92B60" w:rsidRDefault="00E92B60" w:rsidP="00AB2B4C">
      <w:r>
        <w:t>Copy of paper circulated on 16</w:t>
      </w:r>
      <w:r w:rsidRPr="00E92B60">
        <w:rPr>
          <w:vertAlign w:val="superscript"/>
        </w:rPr>
        <w:t>th</w:t>
      </w:r>
      <w:r>
        <w:t xml:space="preserve"> November.</w:t>
      </w:r>
    </w:p>
    <w:p w:rsidR="0020086D" w:rsidRPr="00E92B60" w:rsidRDefault="0020086D" w:rsidP="00AB2B4C">
      <w:pPr>
        <w:pStyle w:val="BodyText"/>
      </w:pPr>
      <w:r>
        <w:t>Complete</w:t>
      </w:r>
    </w:p>
    <w:p w:rsidR="00E92B60" w:rsidRPr="00E92B60" w:rsidRDefault="00E92B60" w:rsidP="00AB2B4C"/>
    <w:p w:rsidR="00E92B60" w:rsidRPr="00AB2B4C" w:rsidRDefault="00E92B60" w:rsidP="00AB2B4C">
      <w:pPr>
        <w:pStyle w:val="OldAction"/>
      </w:pPr>
      <w:r w:rsidRPr="00E92B60">
        <w:t>A</w:t>
      </w:r>
      <w:r w:rsidRPr="00AB2B4C">
        <w:t xml:space="preserve">ction 16 – </w:t>
      </w:r>
      <w:r w:rsidRPr="00AB2B4C">
        <w:tab/>
        <w:t>Jane Haswell to present an update on the dent strategy to the main UKOPA meeting.</w:t>
      </w:r>
    </w:p>
    <w:p w:rsidR="00E92B60" w:rsidRPr="0025596F" w:rsidRDefault="0025596F" w:rsidP="00AB2B4C">
      <w:pPr>
        <w:rPr>
          <w:b/>
        </w:rPr>
      </w:pPr>
      <w:r>
        <w:rPr>
          <w:b/>
        </w:rPr>
        <w:t xml:space="preserve">Complete. </w:t>
      </w:r>
      <w:r w:rsidR="00E92B60">
        <w:t xml:space="preserve">See Agenda Item </w:t>
      </w:r>
      <w:r>
        <w:t>9</w:t>
      </w:r>
      <w:r w:rsidR="00E92B60">
        <w:t>.</w:t>
      </w:r>
    </w:p>
    <w:p w:rsidR="00E92B60" w:rsidRDefault="00E92B60" w:rsidP="00AB2B4C"/>
    <w:p w:rsidR="00E92B60" w:rsidRDefault="00E92B60" w:rsidP="00AB2B4C">
      <w:pPr>
        <w:pStyle w:val="OldAction"/>
      </w:pPr>
      <w:r w:rsidRPr="00E92B60">
        <w:t xml:space="preserve">Action 17 – </w:t>
      </w:r>
      <w:r w:rsidRPr="00E92B60">
        <w:tab/>
        <w:t xml:space="preserve">Robert Owen to circulate the </w:t>
      </w:r>
      <w:r>
        <w:t xml:space="preserve">Pipeline Sleeves </w:t>
      </w:r>
      <w:r w:rsidRPr="00E92B60">
        <w:t>report to members once his comments have been incorporated.</w:t>
      </w:r>
    </w:p>
    <w:p w:rsidR="00E92B60" w:rsidRDefault="00E92B60" w:rsidP="00AB2B4C">
      <w:r>
        <w:t>Circulated on 30</w:t>
      </w:r>
      <w:r w:rsidRPr="00E92B60">
        <w:rPr>
          <w:vertAlign w:val="superscript"/>
        </w:rPr>
        <w:t>th</w:t>
      </w:r>
      <w:r>
        <w:t xml:space="preserve"> November.</w:t>
      </w:r>
    </w:p>
    <w:p w:rsidR="00E92B60" w:rsidRPr="00E92B60" w:rsidRDefault="0020086D" w:rsidP="00AB2B4C">
      <w:pPr>
        <w:pStyle w:val="BodyText"/>
      </w:pPr>
      <w:r>
        <w:t>Complete</w:t>
      </w:r>
    </w:p>
    <w:p w:rsidR="00E92B60" w:rsidRPr="00E92B60" w:rsidRDefault="00E92B60" w:rsidP="00AB2B4C">
      <w:pPr>
        <w:pStyle w:val="NewAction"/>
      </w:pPr>
    </w:p>
    <w:p w:rsidR="00E92B60" w:rsidRPr="00E92B60" w:rsidRDefault="00E92B60" w:rsidP="00AB2B4C">
      <w:pPr>
        <w:pStyle w:val="OldAction"/>
      </w:pPr>
      <w:r w:rsidRPr="00E92B60">
        <w:t xml:space="preserve">Action 18 – </w:t>
      </w:r>
      <w:r w:rsidRPr="00E92B60">
        <w:tab/>
        <w:t>Neil Jackson</w:t>
      </w:r>
      <w:r>
        <w:t xml:space="preserve"> to discuss the Geoff Leach ground movement purchase order </w:t>
      </w:r>
      <w:r w:rsidRPr="00E92B60">
        <w:t>with Phill Jones.</w:t>
      </w:r>
    </w:p>
    <w:p w:rsidR="00E92B60" w:rsidRDefault="0020086D" w:rsidP="00AB2B4C">
      <w:pPr>
        <w:pStyle w:val="BodyText"/>
      </w:pPr>
      <w:r>
        <w:t>Complete</w:t>
      </w:r>
    </w:p>
    <w:p w:rsidR="00E92B60" w:rsidRPr="00E92B60" w:rsidRDefault="00E92B60" w:rsidP="00AB2B4C"/>
    <w:p w:rsidR="00E92B60" w:rsidRDefault="00E92B60" w:rsidP="00AB2B4C">
      <w:pPr>
        <w:pStyle w:val="OldAction"/>
      </w:pPr>
      <w:r w:rsidRPr="00E92B60">
        <w:t xml:space="preserve">Action 19 – </w:t>
      </w:r>
      <w:r w:rsidRPr="00E92B60">
        <w:tab/>
        <w:t xml:space="preserve">Graham Goodfellow and Rod McConnell to prepare a joint presentation </w:t>
      </w:r>
      <w:r w:rsidR="00657E1A">
        <w:t xml:space="preserve">on the use of damage data </w:t>
      </w:r>
      <w:r w:rsidRPr="00E92B60">
        <w:t>for the main UKOPA meeting in October.</w:t>
      </w:r>
    </w:p>
    <w:p w:rsidR="00E92B60" w:rsidRDefault="00E92B60" w:rsidP="00AB2B4C">
      <w:r>
        <w:t>Presentation was prepared and given.</w:t>
      </w:r>
    </w:p>
    <w:p w:rsidR="00E92B60" w:rsidRPr="00E92B60" w:rsidRDefault="0020086D" w:rsidP="00AB2B4C">
      <w:pPr>
        <w:pStyle w:val="BodyText"/>
      </w:pPr>
      <w:r>
        <w:t>Complete</w:t>
      </w:r>
    </w:p>
    <w:p w:rsidR="00E92B60" w:rsidRPr="00AB2B4C" w:rsidRDefault="006C1633" w:rsidP="00AB2B4C">
      <w:pPr>
        <w:pStyle w:val="NewAction"/>
        <w:rPr>
          <w:b w:val="0"/>
          <w:u w:val="none"/>
        </w:rPr>
      </w:pPr>
      <w:r w:rsidRPr="006C1633">
        <w:t xml:space="preserve">Action </w:t>
      </w:r>
      <w:r w:rsidR="00CD60B1">
        <w:t>2</w:t>
      </w:r>
      <w:r w:rsidRPr="00AB2B4C">
        <w:rPr>
          <w:b w:val="0"/>
          <w:u w:val="none"/>
        </w:rPr>
        <w:t xml:space="preserve"> -</w:t>
      </w:r>
      <w:r w:rsidRPr="00AB2B4C">
        <w:rPr>
          <w:b w:val="0"/>
          <w:u w:val="none"/>
        </w:rPr>
        <w:tab/>
        <w:t>Graham Goodfellow to circulate the presentation to RAWG members.</w:t>
      </w:r>
    </w:p>
    <w:p w:rsidR="00E92B60" w:rsidRPr="00E92B60" w:rsidRDefault="00E92B60" w:rsidP="00AB2B4C">
      <w:pPr>
        <w:pStyle w:val="BodyText"/>
      </w:pPr>
    </w:p>
    <w:p w:rsidR="00E92B60" w:rsidRPr="00E92B60" w:rsidRDefault="00E92B60" w:rsidP="00AB2B4C">
      <w:pPr>
        <w:pStyle w:val="OldAction"/>
      </w:pPr>
      <w:r w:rsidRPr="00E92B60">
        <w:t xml:space="preserve">Action 20 – </w:t>
      </w:r>
      <w:r w:rsidRPr="00E92B60">
        <w:tab/>
        <w:t>Roger Ellis to organise a teleconference for the FDMG.</w:t>
      </w:r>
    </w:p>
    <w:p w:rsidR="00E92B60" w:rsidRDefault="00E92B60" w:rsidP="00AB2B4C">
      <w:r>
        <w:t>Two teleconferences organised.</w:t>
      </w:r>
    </w:p>
    <w:p w:rsidR="00E92B60" w:rsidRPr="00E92B60" w:rsidRDefault="009D2FF3" w:rsidP="00AB2B4C">
      <w:pPr>
        <w:pStyle w:val="BodyText"/>
      </w:pPr>
      <w:r>
        <w:t>Complete</w:t>
      </w:r>
    </w:p>
    <w:p w:rsidR="004C1C54" w:rsidRPr="00A93E7F" w:rsidRDefault="0025596F" w:rsidP="00BF1CA5">
      <w:pPr>
        <w:pStyle w:val="Heading2"/>
      </w:pPr>
      <w:r w:rsidRPr="00A93E7F">
        <w:t xml:space="preserve">Update </w:t>
      </w:r>
      <w:r>
        <w:t xml:space="preserve">on </w:t>
      </w:r>
      <w:r w:rsidR="004C1C54" w:rsidRPr="00A93E7F">
        <w:t xml:space="preserve">TD/2 &amp; </w:t>
      </w:r>
      <w:r>
        <w:t>PD8010-3</w:t>
      </w:r>
    </w:p>
    <w:p w:rsidR="004C1C54" w:rsidRDefault="004C1C54" w:rsidP="00AB2B4C"/>
    <w:p w:rsidR="005E5D39" w:rsidRDefault="00703D7E" w:rsidP="00AB2B4C">
      <w:r>
        <w:t>The marked up draft TD/2 was sent to IGEM on 18</w:t>
      </w:r>
      <w:r w:rsidRPr="00703D7E">
        <w:rPr>
          <w:vertAlign w:val="superscript"/>
        </w:rPr>
        <w:t>th</w:t>
      </w:r>
      <w:r>
        <w:t xml:space="preserve"> November. There</w:t>
      </w:r>
      <w:r w:rsidR="005E5D39">
        <w:t xml:space="preserve"> are several outstanding actions:</w:t>
      </w:r>
    </w:p>
    <w:p w:rsidR="00703D7E" w:rsidRDefault="005E5D39" w:rsidP="00AB2B4C">
      <w:pPr>
        <w:pStyle w:val="ListParagraph"/>
        <w:numPr>
          <w:ilvl w:val="0"/>
          <w:numId w:val="35"/>
        </w:numPr>
      </w:pPr>
      <w:r>
        <w:t>Figure 7 update</w:t>
      </w:r>
    </w:p>
    <w:p w:rsidR="005E5D39" w:rsidRDefault="005E5D39" w:rsidP="00AB2B4C">
      <w:pPr>
        <w:pStyle w:val="ListParagraph"/>
        <w:numPr>
          <w:ilvl w:val="0"/>
          <w:numId w:val="35"/>
        </w:numPr>
      </w:pPr>
      <w:r>
        <w:t>Note on use of 1000 tdu criteria for land use planning cases involving the HSE</w:t>
      </w:r>
    </w:p>
    <w:p w:rsidR="005E5D39" w:rsidRDefault="00DA774A" w:rsidP="00AB2B4C">
      <w:pPr>
        <w:pStyle w:val="ListParagraph"/>
        <w:numPr>
          <w:ilvl w:val="0"/>
          <w:numId w:val="35"/>
        </w:numPr>
      </w:pPr>
      <w:r>
        <w:t>Example assessment and benchmark FFREQ values to be updated</w:t>
      </w:r>
    </w:p>
    <w:p w:rsidR="0031730D" w:rsidRDefault="0031730D" w:rsidP="00AB2B4C">
      <w:pPr>
        <w:pStyle w:val="BodyText"/>
      </w:pPr>
    </w:p>
    <w:p w:rsidR="00CD60B1" w:rsidRPr="00AB2B4C" w:rsidRDefault="00CD60B1" w:rsidP="00AB2B4C">
      <w:pPr>
        <w:pStyle w:val="NewAction"/>
        <w:rPr>
          <w:b w:val="0"/>
          <w:u w:val="none"/>
        </w:rPr>
      </w:pPr>
      <w:r w:rsidRPr="006C1633">
        <w:t xml:space="preserve">Action </w:t>
      </w:r>
      <w:r w:rsidR="00657E1A">
        <w:t>3</w:t>
      </w:r>
      <w:r w:rsidRPr="00AB2B4C">
        <w:rPr>
          <w:b w:val="0"/>
          <w:u w:val="none"/>
        </w:rPr>
        <w:t xml:space="preserve"> -</w:t>
      </w:r>
      <w:r w:rsidRPr="00AB2B4C">
        <w:rPr>
          <w:b w:val="0"/>
          <w:u w:val="none"/>
        </w:rPr>
        <w:tab/>
        <w:t>Graham Goodfellow (and Harry Hopkins) to review Figure 7 and any other figures.</w:t>
      </w:r>
    </w:p>
    <w:p w:rsidR="004C1C54" w:rsidRDefault="004C1C54" w:rsidP="00BF1CA5">
      <w:pPr>
        <w:pStyle w:val="Heading2"/>
      </w:pPr>
      <w:r>
        <w:t>Communications with HSE</w:t>
      </w:r>
    </w:p>
    <w:p w:rsidR="004C1C54" w:rsidRPr="00DA774A" w:rsidRDefault="004C1C54" w:rsidP="00AB2B4C"/>
    <w:p w:rsidR="00DA774A" w:rsidRDefault="00DA774A" w:rsidP="00AB2B4C">
      <w:pPr>
        <w:pStyle w:val="ListParagraph"/>
        <w:numPr>
          <w:ilvl w:val="0"/>
          <w:numId w:val="36"/>
        </w:numPr>
      </w:pPr>
      <w:r>
        <w:t>Change in use of CONCAWE data</w:t>
      </w:r>
    </w:p>
    <w:p w:rsidR="00DA774A" w:rsidRDefault="00DA774A" w:rsidP="00AB2B4C">
      <w:pPr>
        <w:pStyle w:val="ListParagraph"/>
      </w:pPr>
      <w:r>
        <w:t>A response from Peter Harper was received on 22</w:t>
      </w:r>
      <w:r w:rsidRPr="00AB2B4C">
        <w:rPr>
          <w:vertAlign w:val="superscript"/>
        </w:rPr>
        <w:t>nd</w:t>
      </w:r>
      <w:r>
        <w:t xml:space="preserve"> November, confirming that mechanical failure rates are based on UKOPA values multiplied by the ratio of CONCAWE Oil and EGIG mechanical failure rates. </w:t>
      </w:r>
    </w:p>
    <w:p w:rsidR="00DA774A" w:rsidRDefault="00DA774A" w:rsidP="00AB2B4C">
      <w:pPr>
        <w:ind w:left="720"/>
      </w:pPr>
      <w:r>
        <w:t xml:space="preserve">The LUP zones </w:t>
      </w:r>
      <w:r w:rsidR="008F1338">
        <w:t xml:space="preserve">for the Forties Pipeline System </w:t>
      </w:r>
      <w:r>
        <w:t xml:space="preserve">have been calculated using these values </w:t>
      </w:r>
      <w:r w:rsidR="008F1338">
        <w:t>(</w:t>
      </w:r>
      <w:r>
        <w:t>and PipeTech for outflow</w:t>
      </w:r>
      <w:r w:rsidR="008F1338">
        <w:t>)</w:t>
      </w:r>
      <w:r>
        <w:t xml:space="preserve"> but due to con</w:t>
      </w:r>
      <w:r w:rsidR="008F1338">
        <w:t>sequence modelling development and uncertainty about NGL levels, have not been implemented.</w:t>
      </w:r>
    </w:p>
    <w:p w:rsidR="0031730D" w:rsidRDefault="0031730D" w:rsidP="00AB2B4C">
      <w:pPr>
        <w:pStyle w:val="BodyText"/>
      </w:pPr>
    </w:p>
    <w:p w:rsidR="008F1338" w:rsidRPr="00AB2B4C" w:rsidRDefault="008F1338" w:rsidP="00AB2B4C">
      <w:pPr>
        <w:pStyle w:val="NewAction"/>
        <w:rPr>
          <w:b w:val="0"/>
          <w:u w:val="none"/>
        </w:rPr>
      </w:pPr>
      <w:r w:rsidRPr="006C1633">
        <w:t xml:space="preserve">Action </w:t>
      </w:r>
      <w:r w:rsidR="00657E1A">
        <w:t>4</w:t>
      </w:r>
      <w:r w:rsidRPr="00AB2B4C">
        <w:rPr>
          <w:b w:val="0"/>
          <w:u w:val="none"/>
        </w:rPr>
        <w:t xml:space="preserve"> -</w:t>
      </w:r>
      <w:r w:rsidRPr="00AB2B4C">
        <w:rPr>
          <w:b w:val="0"/>
          <w:u w:val="none"/>
        </w:rPr>
        <w:tab/>
        <w:t>Graham Goodfellow to provide documents with RAWG numbers and forward to Gary Senior for addition to members section of the UKOPA website.</w:t>
      </w:r>
    </w:p>
    <w:p w:rsidR="008F1338" w:rsidRDefault="008F1338" w:rsidP="00AB2B4C">
      <w:pPr>
        <w:pStyle w:val="BodyText"/>
      </w:pPr>
    </w:p>
    <w:p w:rsidR="00DA774A" w:rsidRDefault="008F1338" w:rsidP="00AB2B4C">
      <w:pPr>
        <w:pStyle w:val="ListParagraph"/>
        <w:numPr>
          <w:ilvl w:val="0"/>
          <w:numId w:val="36"/>
        </w:numPr>
      </w:pPr>
      <w:r>
        <w:t xml:space="preserve">Discussion with Peter Harper at main UKOPA meeting in </w:t>
      </w:r>
      <w:proofErr w:type="spellStart"/>
      <w:r>
        <w:t>Killingholme</w:t>
      </w:r>
      <w:proofErr w:type="spellEnd"/>
      <w:r>
        <w:t xml:space="preserve"> on 18</w:t>
      </w:r>
      <w:r w:rsidRPr="00AB2B4C">
        <w:t>th</w:t>
      </w:r>
      <w:r>
        <w:t xml:space="preserve"> October</w:t>
      </w:r>
      <w:r w:rsidR="005B5911">
        <w:t>:</w:t>
      </w:r>
    </w:p>
    <w:p w:rsidR="005B5911" w:rsidRDefault="008F1338" w:rsidP="00CA2CDB">
      <w:pPr>
        <w:pStyle w:val="ListParagraph"/>
        <w:numPr>
          <w:ilvl w:val="0"/>
          <w:numId w:val="37"/>
        </w:numPr>
      </w:pPr>
      <w:r>
        <w:lastRenderedPageBreak/>
        <w:t>Peter Harper is happy with how t</w:t>
      </w:r>
      <w:r w:rsidR="005B5911">
        <w:t>he TD/2 updates are progressing; and,</w:t>
      </w:r>
    </w:p>
    <w:p w:rsidR="005B5911" w:rsidRDefault="005B5911" w:rsidP="00CA2CDB">
      <w:pPr>
        <w:pStyle w:val="ListParagraph"/>
        <w:numPr>
          <w:ilvl w:val="0"/>
          <w:numId w:val="37"/>
        </w:numPr>
      </w:pPr>
      <w:r>
        <w:t xml:space="preserve">Depth of cover has gone to Panel who have </w:t>
      </w:r>
      <w:r w:rsidR="0020086D">
        <w:t xml:space="preserve">some concern over the independence of corrosion as a depth of cover surrogate. They have </w:t>
      </w:r>
      <w:r>
        <w:t>requested additional clarification</w:t>
      </w:r>
      <w:r w:rsidR="0020086D">
        <w:t xml:space="preserve"> and Peter Harper has resubmitted. </w:t>
      </w:r>
      <w:r>
        <w:t xml:space="preserve">HSL </w:t>
      </w:r>
      <w:r w:rsidR="0020086D">
        <w:t xml:space="preserve">has </w:t>
      </w:r>
      <w:r>
        <w:t>received additional data from Mike Acton.</w:t>
      </w:r>
    </w:p>
    <w:p w:rsidR="0020086D" w:rsidRPr="00DA774A" w:rsidRDefault="0020086D" w:rsidP="00AB2B4C">
      <w:pPr>
        <w:pStyle w:val="BodyText"/>
      </w:pPr>
    </w:p>
    <w:p w:rsidR="004C1C54" w:rsidRDefault="0020086D" w:rsidP="00CA2CDB">
      <w:pPr>
        <w:pStyle w:val="ListParagraph"/>
        <w:numPr>
          <w:ilvl w:val="0"/>
          <w:numId w:val="36"/>
        </w:numPr>
      </w:pPr>
      <w:r>
        <w:t xml:space="preserve">Meeting with Tony Hetherington </w:t>
      </w:r>
      <w:r w:rsidR="009D2FF3">
        <w:t xml:space="preserve">(Head of Gas and Pipelines Unit) </w:t>
      </w:r>
      <w:r>
        <w:t>and Helen Berry at HSE Sheffield</w:t>
      </w:r>
    </w:p>
    <w:p w:rsidR="0020086D" w:rsidRDefault="0020086D" w:rsidP="00CA2CDB">
      <w:pPr>
        <w:pStyle w:val="ListParagraph"/>
      </w:pPr>
      <w:r>
        <w:t>Good feedback was received. Tony Hetherington will chase for a progress update on the HSE Extranet programme. NGs findings that 5 out of 23 Local Authorities hadn’t heard of PADHI. HSE suggested this was caused by too much churn at the LAs and a lack of training.</w:t>
      </w:r>
    </w:p>
    <w:p w:rsidR="004C1C54" w:rsidRPr="00343291" w:rsidRDefault="004C1C54" w:rsidP="00BF1CA5">
      <w:pPr>
        <w:pStyle w:val="Heading2"/>
      </w:pPr>
      <w:r>
        <w:t>Updating of FFREQ and Damage Distributions</w:t>
      </w:r>
    </w:p>
    <w:p w:rsidR="004C1C54" w:rsidRDefault="004C1C54" w:rsidP="00CA2CDB"/>
    <w:p w:rsidR="0020086D" w:rsidRDefault="009D2FF3" w:rsidP="00CA2CDB">
      <w:r>
        <w:t xml:space="preserve">FFREQ has been updated to include the latest weibull parameters and hit rates. </w:t>
      </w:r>
      <w:r w:rsidR="0020086D">
        <w:t xml:space="preserve">Mike </w:t>
      </w:r>
      <w:r>
        <w:t xml:space="preserve">Acton </w:t>
      </w:r>
      <w:r w:rsidR="0020086D">
        <w:t xml:space="preserve">has issued </w:t>
      </w:r>
      <w:r>
        <w:t>a spreadsheet with the results of the usual comparison cases for 4 versions of FFREQ:</w:t>
      </w:r>
    </w:p>
    <w:p w:rsidR="009D2FF3" w:rsidRDefault="009D2FF3" w:rsidP="00CA2CDB">
      <w:pPr>
        <w:pStyle w:val="ListParagraph"/>
        <w:numPr>
          <w:ilvl w:val="0"/>
          <w:numId w:val="38"/>
        </w:numPr>
      </w:pPr>
      <w:r>
        <w:t>Current version;</w:t>
      </w:r>
    </w:p>
    <w:p w:rsidR="009D2FF3" w:rsidRDefault="003A0D86" w:rsidP="00CA2CDB">
      <w:pPr>
        <w:pStyle w:val="ListParagraph"/>
        <w:numPr>
          <w:ilvl w:val="0"/>
          <w:numId w:val="38"/>
        </w:numPr>
      </w:pPr>
      <w:r>
        <w:t>New damage distributions and incident rates;</w:t>
      </w:r>
    </w:p>
    <w:p w:rsidR="003A0D86" w:rsidRDefault="003A0D86" w:rsidP="00CA2CDB">
      <w:pPr>
        <w:pStyle w:val="ListParagraph"/>
        <w:numPr>
          <w:ilvl w:val="0"/>
          <w:numId w:val="38"/>
        </w:numPr>
      </w:pPr>
      <w:r>
        <w:t>New incident rates only; and,</w:t>
      </w:r>
    </w:p>
    <w:p w:rsidR="003A0D86" w:rsidRDefault="003A0D86" w:rsidP="00CA2CDB">
      <w:pPr>
        <w:pStyle w:val="ListParagraph"/>
        <w:numPr>
          <w:ilvl w:val="0"/>
          <w:numId w:val="38"/>
        </w:numPr>
      </w:pPr>
      <w:r>
        <w:t>New damage distributions only.</w:t>
      </w:r>
    </w:p>
    <w:p w:rsidR="0031730D" w:rsidRDefault="0031730D" w:rsidP="00CA2CDB"/>
    <w:p w:rsidR="003A0D86" w:rsidRPr="00CA2CDB" w:rsidRDefault="003A0D86" w:rsidP="00CA2CDB">
      <w:pPr>
        <w:pStyle w:val="NewAction"/>
        <w:rPr>
          <w:b w:val="0"/>
          <w:u w:val="none"/>
        </w:rPr>
      </w:pPr>
      <w:r w:rsidRPr="006C1633">
        <w:t xml:space="preserve">Action </w:t>
      </w:r>
      <w:r w:rsidR="00657E1A">
        <w:t>5</w:t>
      </w:r>
      <w:r w:rsidRPr="00CA2CDB">
        <w:rPr>
          <w:b w:val="0"/>
          <w:u w:val="none"/>
        </w:rPr>
        <w:t xml:space="preserve"> -</w:t>
      </w:r>
      <w:r w:rsidRPr="00CA2CDB">
        <w:rPr>
          <w:b w:val="0"/>
          <w:u w:val="none"/>
        </w:rPr>
        <w:tab/>
        <w:t>Graham Goodfellow, Jane Haswell and Richard Espiner to review the new FFREQ predictions and discuss with Mike Acton.</w:t>
      </w:r>
    </w:p>
    <w:p w:rsidR="003A0D86" w:rsidRDefault="003A0D86" w:rsidP="00CA2CDB">
      <w:pPr>
        <w:pStyle w:val="NewAction"/>
      </w:pPr>
      <w:r w:rsidRPr="003A0D86">
        <w:t xml:space="preserve">Action </w:t>
      </w:r>
      <w:r w:rsidR="00657E1A">
        <w:t>6</w:t>
      </w:r>
      <w:r w:rsidRPr="00CA2CDB">
        <w:rPr>
          <w:b w:val="0"/>
          <w:u w:val="none"/>
        </w:rPr>
        <w:t xml:space="preserve"> - </w:t>
      </w:r>
      <w:r w:rsidRPr="00CA2CDB">
        <w:rPr>
          <w:b w:val="0"/>
          <w:u w:val="none"/>
        </w:rPr>
        <w:tab/>
        <w:t>Mike Acton and Jane Haswell to consider the effect changes to FFREQ would make to the TD/1 FN curve.</w:t>
      </w:r>
    </w:p>
    <w:p w:rsidR="004C1C54" w:rsidRPr="00DA4E1C" w:rsidRDefault="004C1C54" w:rsidP="00BF1CA5">
      <w:pPr>
        <w:pStyle w:val="Heading2"/>
      </w:pPr>
      <w:r>
        <w:t>Depth of Cover</w:t>
      </w:r>
    </w:p>
    <w:p w:rsidR="004C1C54" w:rsidRDefault="004C1C54" w:rsidP="00CA2CDB"/>
    <w:p w:rsidR="004C1C54" w:rsidRDefault="003A0D86" w:rsidP="00CA2CDB">
      <w:r>
        <w:t>As discussed under Item 3.4, the depth of cover mitigation factors have been submitted to Panel and resubmitted after they requested additional clarification</w:t>
      </w:r>
      <w:r w:rsidR="004C1C54">
        <w:t>.</w:t>
      </w:r>
    </w:p>
    <w:p w:rsidR="004C1C54" w:rsidRPr="00DA4E1C" w:rsidRDefault="004C1C54" w:rsidP="00BF1CA5">
      <w:pPr>
        <w:pStyle w:val="Heading2"/>
      </w:pPr>
      <w:r>
        <w:t>Wind Turbine Update</w:t>
      </w:r>
    </w:p>
    <w:p w:rsidR="004C1C54" w:rsidRDefault="004C1C54" w:rsidP="00CA2CDB"/>
    <w:p w:rsidR="004C1C54" w:rsidRDefault="004C1C54" w:rsidP="00CA2CDB">
      <w:r>
        <w:t xml:space="preserve">The wind turbine paper </w:t>
      </w:r>
      <w:r w:rsidR="003A0D86">
        <w:t>was presented at</w:t>
      </w:r>
      <w:r>
        <w:t xml:space="preserve"> Hazards XXIII in </w:t>
      </w:r>
      <w:r w:rsidR="003A0D86">
        <w:t>N</w:t>
      </w:r>
      <w:r w:rsidR="009B46F5">
        <w:t>ovember</w:t>
      </w:r>
      <w:r>
        <w:t>.</w:t>
      </w:r>
      <w:r w:rsidR="009B46F5">
        <w:t xml:space="preserve"> The paper was well received and </w:t>
      </w:r>
      <w:r w:rsidR="00C72F4D">
        <w:t>several contacts made</w:t>
      </w:r>
      <w:r w:rsidR="009B46F5">
        <w:t>.</w:t>
      </w:r>
    </w:p>
    <w:p w:rsidR="00C72F4D" w:rsidRPr="00C72F4D" w:rsidRDefault="00C72F4D" w:rsidP="00C72F4D">
      <w:pPr>
        <w:pStyle w:val="NewAction"/>
        <w:rPr>
          <w:b w:val="0"/>
          <w:u w:val="none"/>
        </w:rPr>
      </w:pPr>
      <w:r>
        <w:t>Action 7</w:t>
      </w:r>
      <w:r>
        <w:rPr>
          <w:b w:val="0"/>
          <w:u w:val="none"/>
        </w:rPr>
        <w:t xml:space="preserve"> –</w:t>
      </w:r>
      <w:r>
        <w:rPr>
          <w:b w:val="0"/>
          <w:u w:val="none"/>
        </w:rPr>
        <w:tab/>
        <w:t>Neil Jackson to update the UKOPA guidance on the website to include a reference to this paper.</w:t>
      </w:r>
    </w:p>
    <w:p w:rsidR="009B46F5" w:rsidRDefault="009B46F5" w:rsidP="00BF1CA5">
      <w:pPr>
        <w:pStyle w:val="Heading1"/>
      </w:pPr>
      <w:r>
        <w:t>Student Presentation</w:t>
      </w:r>
    </w:p>
    <w:p w:rsidR="009B46F5" w:rsidRPr="009B46F5" w:rsidRDefault="009B46F5" w:rsidP="00BF1CA5"/>
    <w:p w:rsidR="009B46F5" w:rsidRPr="009B46F5" w:rsidRDefault="009B46F5" w:rsidP="00BF1CA5">
      <w:r w:rsidRPr="009B46F5">
        <w:t>The UKOPA prize for the best student in the Pipeline Engineering MSc was presented to Sam Raphael Mathew.</w:t>
      </w:r>
    </w:p>
    <w:p w:rsidR="009B46F5" w:rsidRDefault="009B46F5" w:rsidP="00BF1CA5">
      <w:pPr>
        <w:pStyle w:val="Heading1"/>
      </w:pPr>
      <w:r>
        <w:t>Slabbing Specification</w:t>
      </w:r>
    </w:p>
    <w:p w:rsidR="009B46F5" w:rsidRDefault="009B46F5" w:rsidP="00BF1CA5"/>
    <w:p w:rsidR="009B46F5" w:rsidRDefault="009B46F5" w:rsidP="00BF1CA5">
      <w:r>
        <w:t xml:space="preserve">Andy Young outlined the development of a </w:t>
      </w:r>
      <w:r w:rsidR="002D2ACF">
        <w:t xml:space="preserve">UKOPA slabbing specification designed to remove the potential non-conservative aspects of the </w:t>
      </w:r>
      <w:proofErr w:type="spellStart"/>
      <w:r w:rsidR="002D2ACF">
        <w:t>Linewatch</w:t>
      </w:r>
      <w:proofErr w:type="spellEnd"/>
      <w:r w:rsidR="002D2ACF">
        <w:t xml:space="preserve"> guidance without the high level of detail in NG specification CE12. The specification is for slabs designed to mitigate risk from 3</w:t>
      </w:r>
      <w:r w:rsidR="002D2ACF" w:rsidRPr="002D2ACF">
        <w:rPr>
          <w:vertAlign w:val="superscript"/>
        </w:rPr>
        <w:t>rd</w:t>
      </w:r>
      <w:r w:rsidR="002D2ACF">
        <w:t xml:space="preserve"> party interference and not where a load-bearing slab is required. As the slab is not designed to be load bearing, it applies to situations where the depth of cover is between 0.9 and 2.0 metres.</w:t>
      </w:r>
    </w:p>
    <w:p w:rsidR="002D2ACF" w:rsidRPr="009B46F5" w:rsidRDefault="002D2ACF" w:rsidP="00BF1CA5"/>
    <w:p w:rsidR="009B46F5" w:rsidRPr="00CA2CDB" w:rsidRDefault="009B46F5" w:rsidP="00CA2CDB">
      <w:pPr>
        <w:pStyle w:val="NewAction"/>
        <w:rPr>
          <w:b w:val="0"/>
          <w:u w:val="none"/>
        </w:rPr>
      </w:pPr>
      <w:r>
        <w:t>Ac</w:t>
      </w:r>
      <w:r w:rsidR="00657E1A">
        <w:t>tio</w:t>
      </w:r>
      <w:r w:rsidR="00C11889">
        <w:t>n 8</w:t>
      </w:r>
      <w:r w:rsidRPr="00CA2CDB">
        <w:rPr>
          <w:b w:val="0"/>
          <w:u w:val="none"/>
        </w:rPr>
        <w:t xml:space="preserve"> - </w:t>
      </w:r>
      <w:r w:rsidRPr="00CA2CDB">
        <w:rPr>
          <w:b w:val="0"/>
          <w:u w:val="none"/>
        </w:rPr>
        <w:tab/>
        <w:t>Andy Young to incorporate RAWG comments into draft specification.</w:t>
      </w:r>
    </w:p>
    <w:p w:rsidR="009B46F5" w:rsidRPr="009B46F5" w:rsidRDefault="009B46F5" w:rsidP="00CA2CDB">
      <w:pPr>
        <w:pStyle w:val="NewAction"/>
      </w:pPr>
      <w:r w:rsidRPr="009B46F5">
        <w:lastRenderedPageBreak/>
        <w:t xml:space="preserve">Action </w:t>
      </w:r>
      <w:r w:rsidR="00C11889">
        <w:t>9</w:t>
      </w:r>
      <w:r w:rsidRPr="00CA2CDB">
        <w:rPr>
          <w:b w:val="0"/>
          <w:u w:val="none"/>
        </w:rPr>
        <w:t xml:space="preserve"> - </w:t>
      </w:r>
      <w:r w:rsidRPr="00CA2CDB">
        <w:rPr>
          <w:b w:val="0"/>
          <w:u w:val="none"/>
        </w:rPr>
        <w:tab/>
        <w:t>Graham Goodfellow to circulate the draft slabbing specification to RAWG members when available.</w:t>
      </w:r>
    </w:p>
    <w:p w:rsidR="009B46F5" w:rsidRDefault="002D2ACF" w:rsidP="00BF1CA5">
      <w:pPr>
        <w:pStyle w:val="Heading1"/>
      </w:pPr>
      <w:r>
        <w:t>Ground Movement</w:t>
      </w:r>
    </w:p>
    <w:p w:rsidR="002D2ACF" w:rsidRDefault="002D2ACF" w:rsidP="00BF1CA5"/>
    <w:p w:rsidR="00BF1CA5" w:rsidRDefault="002D2ACF" w:rsidP="00BF1CA5">
      <w:r>
        <w:t xml:space="preserve">Geoff Leach explained the development of </w:t>
      </w:r>
      <w:r w:rsidR="003F1CA7">
        <w:t xml:space="preserve">the original failure frequencies for </w:t>
      </w:r>
      <w:r>
        <w:t xml:space="preserve">natural </w:t>
      </w:r>
      <w:proofErr w:type="spellStart"/>
      <w:r>
        <w:t>landsliding</w:t>
      </w:r>
      <w:proofErr w:type="spellEnd"/>
      <w:r>
        <w:t xml:space="preserve"> in </w:t>
      </w:r>
      <w:r w:rsidR="003F1CA7">
        <w:t xml:space="preserve">TD/2 Edition 1 and the </w:t>
      </w:r>
      <w:r w:rsidR="00D91874">
        <w:t xml:space="preserve">recent </w:t>
      </w:r>
      <w:r w:rsidR="003F1CA7">
        <w:t xml:space="preserve">update to include variation by wall thickness and </w:t>
      </w:r>
      <w:r w:rsidR="00D91874">
        <w:t xml:space="preserve">separate values </w:t>
      </w:r>
      <w:r w:rsidR="003F1CA7">
        <w:t xml:space="preserve">for leak and rupture. The </w:t>
      </w:r>
      <w:r w:rsidR="00D91874">
        <w:t>update</w:t>
      </w:r>
      <w:r w:rsidR="003F1CA7">
        <w:t xml:space="preserve"> is based on an extension to a 2005 NG study</w:t>
      </w:r>
      <w:r w:rsidR="00D91874">
        <w:t xml:space="preserve"> incorporating an analysis of the NGG network, improvements to the structural model, structural model checks and probabilistic analysis. </w:t>
      </w:r>
    </w:p>
    <w:p w:rsidR="00BF1CA5" w:rsidRDefault="00BF1CA5" w:rsidP="00BF1CA5"/>
    <w:p w:rsidR="002D2ACF" w:rsidRPr="002D2ACF" w:rsidRDefault="00D91874" w:rsidP="00BF1CA5">
      <w:r>
        <w:t>The results of the analysis are 3 pipeline survival values curves: leaks; ruptures in pipelines with good welds; and, ruptures in pipelines with poor welds. The pipeline failure rate is then calculated</w:t>
      </w:r>
      <w:r w:rsidR="003F1CA7">
        <w:t xml:space="preserve"> </w:t>
      </w:r>
      <w:r>
        <w:t>by multiplying the appropriate leak or rupture survival value with the landslide incident rate taken from BGS published data on landslide potential in the UK</w:t>
      </w:r>
    </w:p>
    <w:p w:rsidR="004C1C54" w:rsidRDefault="004C1C54" w:rsidP="00AB2B4C">
      <w:pPr>
        <w:pStyle w:val="BodyText"/>
      </w:pPr>
    </w:p>
    <w:p w:rsidR="00D91874" w:rsidRDefault="00D91874" w:rsidP="00CA2CDB">
      <w:pPr>
        <w:pStyle w:val="NewAction"/>
      </w:pPr>
      <w:r w:rsidRPr="009B46F5">
        <w:t xml:space="preserve">Action </w:t>
      </w:r>
      <w:r w:rsidR="00C11889">
        <w:t>10</w:t>
      </w:r>
      <w:r w:rsidRPr="00CA2CDB">
        <w:rPr>
          <w:b w:val="0"/>
          <w:u w:val="none"/>
        </w:rPr>
        <w:t xml:space="preserve"> - </w:t>
      </w:r>
      <w:r w:rsidRPr="00CA2CDB">
        <w:rPr>
          <w:b w:val="0"/>
          <w:u w:val="none"/>
        </w:rPr>
        <w:tab/>
        <w:t>Jane Haswell to add the updated natural landslide values to the draft IGEM/TD/2.</w:t>
      </w:r>
    </w:p>
    <w:p w:rsidR="0031730D" w:rsidRDefault="0031730D" w:rsidP="00BF1CA5">
      <w:pPr>
        <w:pStyle w:val="Heading1"/>
      </w:pPr>
      <w:r>
        <w:t>SCC Proposal</w:t>
      </w:r>
    </w:p>
    <w:p w:rsidR="00BF1CA5" w:rsidRDefault="00BF1CA5" w:rsidP="00BF1CA5"/>
    <w:p w:rsidR="00BF1CA5" w:rsidRDefault="00CA2CDB" w:rsidP="00BF1CA5">
      <w:r>
        <w:t>Robert</w:t>
      </w:r>
      <w:r w:rsidR="00BF1CA5">
        <w:t xml:space="preserve"> Owen </w:t>
      </w:r>
      <w:r w:rsidR="0091647F">
        <w:t xml:space="preserve">summarised the Enbridge failure of 2010 due to SCC at disbonded PE tape coating and </w:t>
      </w:r>
      <w:r w:rsidR="00BF1CA5">
        <w:t>presented a GLND proposal on “</w:t>
      </w:r>
      <w:r w:rsidR="00BF1CA5" w:rsidRPr="00BF1CA5">
        <w:t>A Review of Near Neutral and High pH Stress Corrosion Cracking</w:t>
      </w:r>
      <w:r w:rsidR="00BF1CA5">
        <w:t xml:space="preserve">”. RAWG members commented that the proposal was light on detail and currently read as though it was a review of </w:t>
      </w:r>
      <w:r w:rsidR="0091647F">
        <w:t xml:space="preserve">the </w:t>
      </w:r>
      <w:r w:rsidR="00BF1CA5">
        <w:t xml:space="preserve">existing </w:t>
      </w:r>
      <w:r w:rsidR="0091647F">
        <w:t xml:space="preserve">authoritative </w:t>
      </w:r>
      <w:r w:rsidR="00BF1CA5">
        <w:t>reviews. There was discussion over the relevance of SCC failure modes to UKOPA members.</w:t>
      </w:r>
    </w:p>
    <w:p w:rsidR="00BF1CA5" w:rsidRDefault="00BF1CA5" w:rsidP="00BF1CA5"/>
    <w:p w:rsidR="00CA2CDB" w:rsidRDefault="00CA2CDB" w:rsidP="00CA2CDB">
      <w:pPr>
        <w:pStyle w:val="NewAction"/>
        <w:rPr>
          <w:b w:val="0"/>
          <w:u w:val="none"/>
        </w:rPr>
      </w:pPr>
      <w:r w:rsidRPr="009B46F5">
        <w:t xml:space="preserve">Action </w:t>
      </w:r>
      <w:r w:rsidR="00C11889">
        <w:t>11</w:t>
      </w:r>
      <w:r w:rsidRPr="00CA2CDB">
        <w:rPr>
          <w:b w:val="0"/>
          <w:u w:val="none"/>
        </w:rPr>
        <w:t xml:space="preserve"> - </w:t>
      </w:r>
      <w:r w:rsidRPr="00CA2CDB">
        <w:rPr>
          <w:b w:val="0"/>
          <w:u w:val="none"/>
        </w:rPr>
        <w:tab/>
      </w:r>
      <w:r>
        <w:rPr>
          <w:b w:val="0"/>
          <w:u w:val="none"/>
        </w:rPr>
        <w:t>Robert Owen to pass RAWG comments on to GLND.</w:t>
      </w:r>
    </w:p>
    <w:p w:rsidR="00CA2CDB" w:rsidRPr="00CA2CDB" w:rsidRDefault="00C11889" w:rsidP="00CA2CDB">
      <w:pPr>
        <w:pStyle w:val="NewAction"/>
        <w:rPr>
          <w:b w:val="0"/>
          <w:u w:val="none"/>
        </w:rPr>
      </w:pPr>
      <w:r>
        <w:t>Action 12</w:t>
      </w:r>
      <w:r w:rsidR="00CA2CDB">
        <w:rPr>
          <w:b w:val="0"/>
          <w:u w:val="none"/>
        </w:rPr>
        <w:t xml:space="preserve"> - </w:t>
      </w:r>
      <w:r w:rsidR="00CA2CDB">
        <w:rPr>
          <w:b w:val="0"/>
          <w:u w:val="none"/>
        </w:rPr>
        <w:tab/>
        <w:t xml:space="preserve">All RAWG members to check if it is </w:t>
      </w:r>
      <w:r w:rsidR="0015317E">
        <w:rPr>
          <w:b w:val="0"/>
          <w:u w:val="none"/>
        </w:rPr>
        <w:t xml:space="preserve">currently </w:t>
      </w:r>
      <w:r w:rsidR="00CA2CDB">
        <w:rPr>
          <w:b w:val="0"/>
          <w:u w:val="none"/>
        </w:rPr>
        <w:t xml:space="preserve">routine to </w:t>
      </w:r>
      <w:r w:rsidR="0015317E">
        <w:rPr>
          <w:b w:val="0"/>
          <w:u w:val="none"/>
        </w:rPr>
        <w:t>inspect</w:t>
      </w:r>
      <w:r w:rsidR="00CA2CDB">
        <w:rPr>
          <w:b w:val="0"/>
          <w:u w:val="none"/>
        </w:rPr>
        <w:t xml:space="preserve"> for SCC at all pipeline excavations.</w:t>
      </w:r>
    </w:p>
    <w:p w:rsidR="0031730D" w:rsidRDefault="0031730D" w:rsidP="00CA2CDB">
      <w:pPr>
        <w:pStyle w:val="Heading1"/>
      </w:pPr>
      <w:r>
        <w:t>Update on Pipeline Sleeves</w:t>
      </w:r>
    </w:p>
    <w:p w:rsidR="00CA2CDB" w:rsidRDefault="00CA2CDB" w:rsidP="00CA2CDB"/>
    <w:p w:rsidR="00CA2CDB" w:rsidRDefault="00CA2CDB" w:rsidP="00CA2CDB">
      <w:r>
        <w:t xml:space="preserve">Robert Owen discussed the UKOPA Sleeve Workshop, the algorithms produced by GLND and the GLND prioritisation scheme report. Future work includes a comparison of ILI reports and sleeve design for </w:t>
      </w:r>
      <w:proofErr w:type="spellStart"/>
      <w:r>
        <w:t>piggable</w:t>
      </w:r>
      <w:proofErr w:type="spellEnd"/>
      <w:r>
        <w:t xml:space="preserve"> sleeves and a further Sleeve Workshop.</w:t>
      </w:r>
    </w:p>
    <w:p w:rsidR="00CA2CDB" w:rsidRDefault="00CA2CDB" w:rsidP="00CA2CDB"/>
    <w:p w:rsidR="00CA2CDB" w:rsidRPr="00CA2CDB" w:rsidRDefault="00C11889" w:rsidP="00CA2CDB">
      <w:pPr>
        <w:pStyle w:val="NewAction"/>
        <w:rPr>
          <w:b w:val="0"/>
          <w:u w:val="none"/>
        </w:rPr>
      </w:pPr>
      <w:r>
        <w:t>Action 13</w:t>
      </w:r>
      <w:r w:rsidR="00CA2CDB">
        <w:rPr>
          <w:b w:val="0"/>
          <w:u w:val="none"/>
        </w:rPr>
        <w:t xml:space="preserve"> - </w:t>
      </w:r>
      <w:r w:rsidR="00CA2CDB">
        <w:rPr>
          <w:b w:val="0"/>
          <w:u w:val="none"/>
        </w:rPr>
        <w:tab/>
        <w:t>Nikki Barker to arrange the next Sleeve Workshop.</w:t>
      </w:r>
    </w:p>
    <w:p w:rsidR="0031730D" w:rsidRDefault="0031730D" w:rsidP="00BF1CA5">
      <w:pPr>
        <w:pStyle w:val="Heading1"/>
      </w:pPr>
      <w:r w:rsidRPr="00CE7B50">
        <w:t>Update on dents</w:t>
      </w:r>
    </w:p>
    <w:p w:rsidR="00CA2CDB" w:rsidRDefault="00CA2CDB" w:rsidP="00CA2CDB"/>
    <w:p w:rsidR="00CA2CDB" w:rsidRDefault="00CA2CDB" w:rsidP="00CA2CDB">
      <w:r>
        <w:t xml:space="preserve">Jane Haswell summarised the </w:t>
      </w:r>
      <w:r w:rsidR="00801912">
        <w:t>current status of the UKOPA dent management strategy development. The final task (Task 3) of Stage 2, which involves reviewing the dent depth and toughness limits for the acceptability of dents associated with welds of unknown quality, is outstanding. The results of the work should be incorporated into PDAM as many UKOPA members use PDAM as their primary defect assessment reference. The PDAM JIP is managed by Penspen.</w:t>
      </w:r>
    </w:p>
    <w:p w:rsidR="00801912" w:rsidRDefault="00801912" w:rsidP="00CA2CDB"/>
    <w:p w:rsidR="00801912" w:rsidRDefault="00C11889" w:rsidP="00801912">
      <w:pPr>
        <w:pStyle w:val="NewAction"/>
        <w:rPr>
          <w:b w:val="0"/>
          <w:u w:val="none"/>
        </w:rPr>
      </w:pPr>
      <w:r>
        <w:t>Action 14</w:t>
      </w:r>
      <w:r w:rsidR="00801912">
        <w:rPr>
          <w:b w:val="0"/>
          <w:u w:val="none"/>
        </w:rPr>
        <w:t xml:space="preserve"> -</w:t>
      </w:r>
      <w:r w:rsidR="00801912">
        <w:rPr>
          <w:b w:val="0"/>
          <w:u w:val="none"/>
        </w:rPr>
        <w:tab/>
        <w:t>Jane Haswell to provide outline of Task 3 requirements to Graham Goodfellow and request a proposal for the work from Penspen.</w:t>
      </w:r>
    </w:p>
    <w:p w:rsidR="00801912" w:rsidRDefault="00801912" w:rsidP="00801912"/>
    <w:p w:rsidR="00801912" w:rsidRPr="00801912" w:rsidRDefault="00801912" w:rsidP="00801912">
      <w:r w:rsidRPr="00801912">
        <w:t>JVH noted that obtaining comments on the detailed r</w:t>
      </w:r>
      <w:r>
        <w:t>eports produced by GLND for T</w:t>
      </w:r>
      <w:r w:rsidRPr="00801912">
        <w:t xml:space="preserve">asks 1 and 2 had proved difficult. </w:t>
      </w:r>
    </w:p>
    <w:p w:rsidR="00801912" w:rsidRPr="00801912" w:rsidRDefault="00C11889" w:rsidP="00801912">
      <w:pPr>
        <w:pStyle w:val="NewAction"/>
        <w:rPr>
          <w:b w:val="0"/>
          <w:u w:val="none"/>
        </w:rPr>
      </w:pPr>
      <w:r>
        <w:lastRenderedPageBreak/>
        <w:t>Action 15</w:t>
      </w:r>
      <w:r w:rsidR="00801912">
        <w:rPr>
          <w:b w:val="0"/>
          <w:u w:val="none"/>
        </w:rPr>
        <w:t xml:space="preserve"> - </w:t>
      </w:r>
      <w:r w:rsidR="00801912">
        <w:rPr>
          <w:b w:val="0"/>
          <w:u w:val="none"/>
        </w:rPr>
        <w:tab/>
        <w:t>Jane Haswell to organise a workshop to challenge, review and approve Stage 2 of the UKOPA dent management strategy, once Task 3 is completed.</w:t>
      </w:r>
    </w:p>
    <w:p w:rsidR="00801912" w:rsidRDefault="00801912" w:rsidP="00801912">
      <w:pPr>
        <w:pStyle w:val="NewAction"/>
      </w:pPr>
    </w:p>
    <w:p w:rsidR="00801912" w:rsidRDefault="00801912" w:rsidP="00801912">
      <w:r w:rsidRPr="00801912">
        <w:t>R</w:t>
      </w:r>
      <w:r>
        <w:t xml:space="preserve">od </w:t>
      </w:r>
      <w:r w:rsidRPr="00801912">
        <w:t>Mc</w:t>
      </w:r>
      <w:r>
        <w:t>Connell</w:t>
      </w:r>
      <w:r w:rsidRPr="00801912">
        <w:t xml:space="preserve"> noted that there was significant information available in the UKOPA </w:t>
      </w:r>
      <w:r>
        <w:t>database relating to dents that could be collated for use in the dent management strategy.</w:t>
      </w:r>
      <w:r w:rsidRPr="00801912">
        <w:t xml:space="preserve"> </w:t>
      </w:r>
    </w:p>
    <w:p w:rsidR="00801912" w:rsidRDefault="00801912" w:rsidP="00801912"/>
    <w:p w:rsidR="00801912" w:rsidRDefault="00801912" w:rsidP="00801912">
      <w:pPr>
        <w:pStyle w:val="NewAction"/>
        <w:rPr>
          <w:b w:val="0"/>
          <w:u w:val="none"/>
        </w:rPr>
      </w:pPr>
      <w:r>
        <w:t>A</w:t>
      </w:r>
      <w:r w:rsidR="00C11889">
        <w:t>ction 16</w:t>
      </w:r>
      <w:r>
        <w:rPr>
          <w:b w:val="0"/>
          <w:u w:val="none"/>
        </w:rPr>
        <w:t xml:space="preserve"> -</w:t>
      </w:r>
      <w:r>
        <w:rPr>
          <w:b w:val="0"/>
          <w:u w:val="none"/>
        </w:rPr>
        <w:tab/>
        <w:t xml:space="preserve">Jane Haswell and Rod </w:t>
      </w:r>
      <w:r w:rsidR="00C11889">
        <w:rPr>
          <w:b w:val="0"/>
          <w:u w:val="none"/>
        </w:rPr>
        <w:t>McConnell</w:t>
      </w:r>
      <w:r>
        <w:rPr>
          <w:b w:val="0"/>
          <w:u w:val="none"/>
        </w:rPr>
        <w:t xml:space="preserve"> to consider how database information on dents could be collated for use the dent management strategy and proposed workshop.</w:t>
      </w:r>
    </w:p>
    <w:p w:rsidR="004C1C54" w:rsidRPr="00FF6F74" w:rsidRDefault="004C1C54" w:rsidP="00BF1CA5">
      <w:pPr>
        <w:pStyle w:val="Heading1"/>
      </w:pPr>
      <w:r w:rsidRPr="00FF6F74">
        <w:t>Fault Reporting &amp; Database</w:t>
      </w:r>
    </w:p>
    <w:p w:rsidR="004C1C54" w:rsidRDefault="004C1C54" w:rsidP="00CA2CDB"/>
    <w:p w:rsidR="0015317E" w:rsidRPr="00FF6F74" w:rsidRDefault="0015317E" w:rsidP="00CA2CDB">
      <w:r>
        <w:t xml:space="preserve">Rod McConnell presented the findings of a review of the current classification of </w:t>
      </w:r>
      <w:r w:rsidR="00566CCC">
        <w:t>defects</w:t>
      </w:r>
      <w:r>
        <w:t xml:space="preserve"> in the UKOPA database</w:t>
      </w:r>
      <w:r w:rsidR="00566CCC">
        <w:t>. Many of the defects currently classed as ‘Other’ can be moved t</w:t>
      </w:r>
      <w:r w:rsidR="00C11889">
        <w:t>o one of the current categories, e.g. many dents are actually construction damage.</w:t>
      </w:r>
    </w:p>
    <w:p w:rsidR="0091647F" w:rsidRDefault="0091647F" w:rsidP="00BF1CA5">
      <w:pPr>
        <w:pStyle w:val="Heading1"/>
      </w:pPr>
      <w:r>
        <w:t>Consultancy Services</w:t>
      </w:r>
    </w:p>
    <w:p w:rsidR="0091647F" w:rsidRDefault="0091647F" w:rsidP="0091647F"/>
    <w:p w:rsidR="0091647F" w:rsidRDefault="0015317E" w:rsidP="0091647F">
      <w:r>
        <w:t xml:space="preserve">Phillip Ball of AFAA has emailed to request a meeting to discuss any opportunities for AFAA to support UKOPA in </w:t>
      </w:r>
      <w:r w:rsidR="00566CCC">
        <w:t xml:space="preserve">the </w:t>
      </w:r>
      <w:r>
        <w:t xml:space="preserve">risk, reliability and/or integrity areas. </w:t>
      </w:r>
      <w:r w:rsidR="00566CCC">
        <w:t xml:space="preserve">Many RAWG members are aware of the range of services AFAA can supply and had been contacted directly by Phillip Ball. </w:t>
      </w:r>
      <w:r>
        <w:t xml:space="preserve">Following a discussion about the </w:t>
      </w:r>
      <w:r w:rsidR="00566CCC">
        <w:t xml:space="preserve">amount of work RAWG requires and the </w:t>
      </w:r>
      <w:r>
        <w:t xml:space="preserve">range of </w:t>
      </w:r>
      <w:r w:rsidR="00566CCC">
        <w:t xml:space="preserve">existing </w:t>
      </w:r>
      <w:r>
        <w:t>supplier</w:t>
      </w:r>
      <w:r w:rsidR="00566CCC">
        <w:t xml:space="preserve">s, it was agreed that there was no current need for any additional support. </w:t>
      </w:r>
    </w:p>
    <w:p w:rsidR="00566CCC" w:rsidRDefault="00566CCC" w:rsidP="0091647F"/>
    <w:p w:rsidR="00566CCC" w:rsidRPr="00CA2CDB" w:rsidRDefault="00566CCC" w:rsidP="00566CCC">
      <w:pPr>
        <w:pStyle w:val="NewAction"/>
        <w:rPr>
          <w:b w:val="0"/>
          <w:u w:val="none"/>
        </w:rPr>
      </w:pPr>
      <w:r>
        <w:t xml:space="preserve">Action </w:t>
      </w:r>
      <w:r w:rsidR="00C11889">
        <w:t>17</w:t>
      </w:r>
      <w:r>
        <w:rPr>
          <w:b w:val="0"/>
          <w:u w:val="none"/>
        </w:rPr>
        <w:t xml:space="preserve"> - </w:t>
      </w:r>
      <w:r>
        <w:rPr>
          <w:b w:val="0"/>
          <w:u w:val="none"/>
        </w:rPr>
        <w:tab/>
        <w:t>Roger Ellis to reply to Phillip Ball explaining that RAWG currently has no requirements that AFAA may assist with but we will bear them in mind if our requirements change.</w:t>
      </w:r>
    </w:p>
    <w:p w:rsidR="00566CCC" w:rsidRPr="0091647F" w:rsidRDefault="00566CCC" w:rsidP="0091647F"/>
    <w:p w:rsidR="004C1C54" w:rsidRPr="00343291" w:rsidRDefault="004C1C54" w:rsidP="00BF1CA5">
      <w:pPr>
        <w:pStyle w:val="Heading1"/>
      </w:pPr>
      <w:r w:rsidRPr="00343291">
        <w:t>Date of Next Meeting</w:t>
      </w:r>
    </w:p>
    <w:p w:rsidR="004C1C54" w:rsidRDefault="004C1C54" w:rsidP="00CA2CDB"/>
    <w:p w:rsidR="004C1C54" w:rsidRDefault="00C11889" w:rsidP="00CA2CDB">
      <w:r>
        <w:t>Thursday 18</w:t>
      </w:r>
      <w:r w:rsidRPr="00C11889">
        <w:rPr>
          <w:vertAlign w:val="superscript"/>
        </w:rPr>
        <w:t>th</w:t>
      </w:r>
      <w:r>
        <w:t xml:space="preserve"> April, National Grid, Ambergate.</w:t>
      </w:r>
    </w:p>
    <w:p w:rsidR="0031730D" w:rsidRDefault="004C1C54" w:rsidP="00CA2CDB">
      <w:r>
        <w:t>G D Goodfellow</w:t>
      </w:r>
    </w:p>
    <w:p w:rsidR="004C1C54" w:rsidRDefault="00C11889" w:rsidP="00CA2CDB">
      <w:r>
        <w:t>29</w:t>
      </w:r>
      <w:r w:rsidRPr="00C11889">
        <w:rPr>
          <w:vertAlign w:val="superscript"/>
        </w:rPr>
        <w:t>th</w:t>
      </w:r>
      <w:r w:rsidR="0091647F">
        <w:t xml:space="preserve"> January 2013</w:t>
      </w:r>
      <w:bookmarkStart w:id="2" w:name="OLE_LINK5"/>
      <w:bookmarkStart w:id="3" w:name="OLE_LINK6"/>
    </w:p>
    <w:p w:rsidR="00981243" w:rsidRDefault="00981243" w:rsidP="00CA2CDB"/>
    <w:p w:rsidR="00981243" w:rsidRDefault="00981243" w:rsidP="00CA2CDB"/>
    <w:bookmarkEnd w:id="2"/>
    <w:bookmarkEnd w:id="3"/>
    <w:p w:rsidR="00C11889" w:rsidRDefault="00C11889">
      <w:pPr>
        <w:jc w:val="left"/>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7"/>
        <w:gridCol w:w="7663"/>
        <w:gridCol w:w="850"/>
      </w:tblGrid>
      <w:tr w:rsidR="004C1C54" w:rsidTr="00C72F4D">
        <w:trPr>
          <w:tblHeader/>
        </w:trPr>
        <w:tc>
          <w:tcPr>
            <w:tcW w:w="9180" w:type="dxa"/>
            <w:gridSpan w:val="3"/>
            <w:vAlign w:val="center"/>
          </w:tcPr>
          <w:p w:rsidR="004C1C54" w:rsidRPr="00566CCC" w:rsidRDefault="004C1C54" w:rsidP="00347FA7">
            <w:pPr>
              <w:spacing w:before="60" w:after="60"/>
              <w:jc w:val="center"/>
              <w:rPr>
                <w:b/>
                <w:szCs w:val="24"/>
              </w:rPr>
            </w:pPr>
            <w:r w:rsidRPr="00566CCC">
              <w:rPr>
                <w:b/>
              </w:rPr>
              <w:lastRenderedPageBreak/>
              <w:t>Table of Actions</w:t>
            </w:r>
          </w:p>
        </w:tc>
      </w:tr>
      <w:tr w:rsidR="004C1C54" w:rsidTr="00C72F4D">
        <w:trPr>
          <w:tblHeader/>
        </w:trPr>
        <w:tc>
          <w:tcPr>
            <w:tcW w:w="667" w:type="dxa"/>
            <w:vAlign w:val="center"/>
          </w:tcPr>
          <w:p w:rsidR="004C1C54" w:rsidRPr="00347FA7" w:rsidRDefault="004C1C54" w:rsidP="00347FA7">
            <w:pPr>
              <w:pStyle w:val="BodyText"/>
              <w:spacing w:before="60" w:after="60"/>
            </w:pPr>
            <w:r w:rsidRPr="00347FA7">
              <w:t>No</w:t>
            </w:r>
          </w:p>
        </w:tc>
        <w:tc>
          <w:tcPr>
            <w:tcW w:w="7663" w:type="dxa"/>
            <w:vAlign w:val="center"/>
          </w:tcPr>
          <w:p w:rsidR="004C1C54" w:rsidRPr="00566CCC" w:rsidRDefault="004C1C54" w:rsidP="00347FA7">
            <w:pPr>
              <w:spacing w:before="60" w:after="60"/>
              <w:rPr>
                <w:b/>
              </w:rPr>
            </w:pPr>
            <w:r w:rsidRPr="00566CCC">
              <w:rPr>
                <w:b/>
              </w:rPr>
              <w:t>Actions</w:t>
            </w:r>
          </w:p>
        </w:tc>
        <w:tc>
          <w:tcPr>
            <w:tcW w:w="850" w:type="dxa"/>
            <w:vAlign w:val="center"/>
          </w:tcPr>
          <w:p w:rsidR="004C1C54" w:rsidRPr="00566CCC" w:rsidRDefault="004C1C54" w:rsidP="00657E1A">
            <w:pPr>
              <w:spacing w:before="60" w:after="60"/>
              <w:jc w:val="center"/>
              <w:rPr>
                <w:b/>
              </w:rPr>
            </w:pPr>
            <w:r w:rsidRPr="00566CCC">
              <w:rPr>
                <w:b/>
              </w:rPr>
              <w:t>By</w:t>
            </w:r>
          </w:p>
        </w:tc>
      </w:tr>
      <w:tr w:rsidR="00657E1A" w:rsidTr="00C72F4D">
        <w:tc>
          <w:tcPr>
            <w:tcW w:w="667" w:type="dxa"/>
            <w:vAlign w:val="center"/>
          </w:tcPr>
          <w:p w:rsidR="00657E1A" w:rsidRPr="00347FA7" w:rsidRDefault="00657E1A" w:rsidP="00347FA7">
            <w:pPr>
              <w:pStyle w:val="BodyText"/>
              <w:numPr>
                <w:ilvl w:val="0"/>
                <w:numId w:val="41"/>
              </w:numPr>
              <w:spacing w:before="60" w:after="60"/>
              <w:jc w:val="center"/>
            </w:pPr>
          </w:p>
        </w:tc>
        <w:tc>
          <w:tcPr>
            <w:tcW w:w="7663" w:type="dxa"/>
            <w:vAlign w:val="center"/>
          </w:tcPr>
          <w:p w:rsidR="00657E1A" w:rsidRPr="001C6F6E" w:rsidRDefault="00657E1A" w:rsidP="008530E8">
            <w:pPr>
              <w:spacing w:before="60" w:after="60"/>
            </w:pPr>
            <w:r>
              <w:t>Graham Goodfellow to complete work authorisation form for slabbing specification and submit to management council.</w:t>
            </w:r>
          </w:p>
        </w:tc>
        <w:tc>
          <w:tcPr>
            <w:tcW w:w="850" w:type="dxa"/>
            <w:vAlign w:val="center"/>
          </w:tcPr>
          <w:p w:rsidR="00657E1A" w:rsidRPr="00347FA7" w:rsidRDefault="00657E1A" w:rsidP="008530E8">
            <w:pPr>
              <w:pStyle w:val="BodyText"/>
              <w:spacing w:before="60" w:after="60"/>
              <w:jc w:val="center"/>
            </w:pPr>
            <w:r w:rsidRPr="00347FA7">
              <w:t>GDG</w:t>
            </w:r>
          </w:p>
        </w:tc>
      </w:tr>
      <w:tr w:rsidR="00347FA7" w:rsidTr="00C72F4D">
        <w:tc>
          <w:tcPr>
            <w:tcW w:w="667" w:type="dxa"/>
            <w:vAlign w:val="center"/>
          </w:tcPr>
          <w:p w:rsidR="00347FA7" w:rsidRPr="00347FA7" w:rsidRDefault="00347FA7" w:rsidP="00347FA7">
            <w:pPr>
              <w:pStyle w:val="BodyText"/>
              <w:numPr>
                <w:ilvl w:val="0"/>
                <w:numId w:val="41"/>
              </w:numPr>
              <w:spacing w:before="60" w:after="60"/>
              <w:jc w:val="center"/>
            </w:pPr>
          </w:p>
        </w:tc>
        <w:tc>
          <w:tcPr>
            <w:tcW w:w="7663" w:type="dxa"/>
            <w:vAlign w:val="center"/>
          </w:tcPr>
          <w:p w:rsidR="00347FA7" w:rsidRPr="001C6F6E" w:rsidRDefault="00347FA7" w:rsidP="00657E1A">
            <w:pPr>
              <w:spacing w:before="60" w:after="60"/>
            </w:pPr>
            <w:r>
              <w:t xml:space="preserve">Graham Goodfellow to circulate </w:t>
            </w:r>
            <w:r w:rsidR="00657E1A">
              <w:t>the presentation on use of damage data given at the main UKOPA meeting in October to RAWG members.</w:t>
            </w:r>
          </w:p>
        </w:tc>
        <w:tc>
          <w:tcPr>
            <w:tcW w:w="850" w:type="dxa"/>
            <w:vAlign w:val="center"/>
          </w:tcPr>
          <w:p w:rsidR="00347FA7" w:rsidRPr="00347FA7" w:rsidRDefault="00347FA7" w:rsidP="00347FA7">
            <w:pPr>
              <w:pStyle w:val="BodyText"/>
              <w:spacing w:before="60" w:after="60"/>
              <w:jc w:val="center"/>
            </w:pPr>
            <w:r w:rsidRPr="00347FA7">
              <w:t>GDG</w:t>
            </w:r>
          </w:p>
        </w:tc>
      </w:tr>
      <w:tr w:rsidR="00347FA7" w:rsidTr="00C72F4D">
        <w:tc>
          <w:tcPr>
            <w:tcW w:w="667" w:type="dxa"/>
            <w:vAlign w:val="center"/>
          </w:tcPr>
          <w:p w:rsidR="00347FA7" w:rsidRPr="00347FA7" w:rsidRDefault="00347FA7" w:rsidP="00347FA7">
            <w:pPr>
              <w:pStyle w:val="BodyText"/>
              <w:numPr>
                <w:ilvl w:val="0"/>
                <w:numId w:val="41"/>
              </w:numPr>
              <w:spacing w:before="60" w:after="60"/>
              <w:jc w:val="center"/>
            </w:pPr>
          </w:p>
        </w:tc>
        <w:tc>
          <w:tcPr>
            <w:tcW w:w="7663" w:type="dxa"/>
            <w:vAlign w:val="center"/>
          </w:tcPr>
          <w:p w:rsidR="00347FA7" w:rsidRPr="001C6F6E" w:rsidRDefault="00347FA7" w:rsidP="00657E1A">
            <w:pPr>
              <w:spacing w:before="60" w:after="60"/>
            </w:pPr>
            <w:r>
              <w:t>Graham Goodfellow</w:t>
            </w:r>
            <w:r w:rsidR="00657E1A">
              <w:t xml:space="preserve"> and Harry Hopkins</w:t>
            </w:r>
            <w:r w:rsidR="00657E1A" w:rsidRPr="00657E1A">
              <w:t xml:space="preserve"> to review Figure 7 </w:t>
            </w:r>
            <w:r w:rsidR="00657E1A">
              <w:t xml:space="preserve">of IGEM/TD/2 </w:t>
            </w:r>
            <w:r w:rsidR="00657E1A" w:rsidRPr="00657E1A">
              <w:t>and any other figures.</w:t>
            </w:r>
          </w:p>
        </w:tc>
        <w:tc>
          <w:tcPr>
            <w:tcW w:w="850" w:type="dxa"/>
            <w:vAlign w:val="center"/>
          </w:tcPr>
          <w:p w:rsidR="00347FA7" w:rsidRPr="00347FA7" w:rsidRDefault="00657E1A" w:rsidP="00657E1A">
            <w:pPr>
              <w:pStyle w:val="BodyText"/>
              <w:spacing w:before="60" w:after="60"/>
              <w:jc w:val="center"/>
            </w:pPr>
            <w:r>
              <w:t>GDG/HFH</w:t>
            </w:r>
          </w:p>
        </w:tc>
      </w:tr>
      <w:tr w:rsidR="00347FA7" w:rsidTr="00C72F4D">
        <w:tc>
          <w:tcPr>
            <w:tcW w:w="667" w:type="dxa"/>
            <w:vAlign w:val="center"/>
          </w:tcPr>
          <w:p w:rsidR="00347FA7" w:rsidRPr="00347FA7" w:rsidRDefault="00347FA7" w:rsidP="00347FA7">
            <w:pPr>
              <w:pStyle w:val="BodyText"/>
              <w:numPr>
                <w:ilvl w:val="0"/>
                <w:numId w:val="41"/>
              </w:numPr>
              <w:spacing w:before="60" w:after="60"/>
              <w:jc w:val="center"/>
            </w:pPr>
          </w:p>
        </w:tc>
        <w:tc>
          <w:tcPr>
            <w:tcW w:w="7663" w:type="dxa"/>
            <w:vAlign w:val="center"/>
          </w:tcPr>
          <w:p w:rsidR="00347FA7" w:rsidRPr="001C6F6E" w:rsidRDefault="00657E1A" w:rsidP="00347FA7">
            <w:pPr>
              <w:spacing w:before="60" w:after="60"/>
            </w:pPr>
            <w:r w:rsidRPr="00657E1A">
              <w:t xml:space="preserve">Graham Goodfellow to provide documents </w:t>
            </w:r>
            <w:r>
              <w:t xml:space="preserve">on change in use of CONCAWE data </w:t>
            </w:r>
            <w:r w:rsidRPr="00657E1A">
              <w:t>with RAWG numbers and forward to Gary Senior for addition to members section of the UKOPA website.</w:t>
            </w:r>
          </w:p>
        </w:tc>
        <w:tc>
          <w:tcPr>
            <w:tcW w:w="850" w:type="dxa"/>
            <w:vAlign w:val="center"/>
          </w:tcPr>
          <w:p w:rsidR="00347FA7" w:rsidRPr="00347FA7" w:rsidRDefault="00347FA7" w:rsidP="00347FA7">
            <w:pPr>
              <w:pStyle w:val="BodyText"/>
              <w:spacing w:before="60" w:after="60"/>
              <w:jc w:val="center"/>
            </w:pPr>
            <w:r w:rsidRPr="00347FA7">
              <w:t>GDG</w:t>
            </w:r>
          </w:p>
        </w:tc>
      </w:tr>
      <w:tr w:rsidR="00347FA7" w:rsidTr="00C72F4D">
        <w:tc>
          <w:tcPr>
            <w:tcW w:w="667" w:type="dxa"/>
            <w:vAlign w:val="center"/>
          </w:tcPr>
          <w:p w:rsidR="00347FA7" w:rsidRPr="00347FA7" w:rsidRDefault="00347FA7" w:rsidP="00347FA7">
            <w:pPr>
              <w:pStyle w:val="BodyText"/>
              <w:numPr>
                <w:ilvl w:val="0"/>
                <w:numId w:val="41"/>
              </w:numPr>
              <w:spacing w:before="60" w:after="60"/>
              <w:jc w:val="center"/>
            </w:pPr>
          </w:p>
        </w:tc>
        <w:tc>
          <w:tcPr>
            <w:tcW w:w="7663" w:type="dxa"/>
            <w:vAlign w:val="center"/>
          </w:tcPr>
          <w:p w:rsidR="00347FA7" w:rsidRPr="00657E1A" w:rsidRDefault="00657E1A" w:rsidP="00347FA7">
            <w:pPr>
              <w:spacing w:before="60" w:after="60"/>
            </w:pPr>
            <w:r w:rsidRPr="00657E1A">
              <w:t>Graham Goodfellow, Jane Haswell and Richard Espiner to review the new FFREQ predictions and discuss with Mike Acton.</w:t>
            </w:r>
          </w:p>
        </w:tc>
        <w:tc>
          <w:tcPr>
            <w:tcW w:w="850" w:type="dxa"/>
            <w:vAlign w:val="center"/>
          </w:tcPr>
          <w:p w:rsidR="00347FA7" w:rsidRPr="00347FA7" w:rsidRDefault="00657E1A" w:rsidP="00981243">
            <w:pPr>
              <w:pStyle w:val="BodyText"/>
              <w:spacing w:before="60" w:after="60"/>
              <w:jc w:val="center"/>
            </w:pPr>
            <w:r>
              <w:t>GDG/</w:t>
            </w:r>
            <w:r w:rsidR="00981243">
              <w:t>J</w:t>
            </w:r>
            <w:r w:rsidR="00347FA7" w:rsidRPr="00347FA7">
              <w:t>VH</w:t>
            </w:r>
            <w:r>
              <w:t>/RJE</w:t>
            </w:r>
          </w:p>
        </w:tc>
      </w:tr>
      <w:tr w:rsidR="00347FA7" w:rsidTr="00C72F4D">
        <w:tc>
          <w:tcPr>
            <w:tcW w:w="667" w:type="dxa"/>
            <w:vAlign w:val="center"/>
          </w:tcPr>
          <w:p w:rsidR="00347FA7" w:rsidRPr="00347FA7" w:rsidRDefault="00347FA7" w:rsidP="00347FA7">
            <w:pPr>
              <w:pStyle w:val="BodyText"/>
              <w:numPr>
                <w:ilvl w:val="0"/>
                <w:numId w:val="41"/>
              </w:numPr>
              <w:spacing w:before="60" w:after="60"/>
              <w:jc w:val="center"/>
            </w:pPr>
          </w:p>
        </w:tc>
        <w:tc>
          <w:tcPr>
            <w:tcW w:w="7663" w:type="dxa"/>
            <w:vAlign w:val="center"/>
          </w:tcPr>
          <w:p w:rsidR="00347FA7" w:rsidRPr="000E338D" w:rsidRDefault="00657E1A" w:rsidP="00347FA7">
            <w:pPr>
              <w:spacing w:before="60" w:after="60"/>
            </w:pPr>
            <w:r w:rsidRPr="00657E1A">
              <w:t>Mike Acton and Jane Haswell to consider the effect changes to FFREQ would make to the TD/1 FN curve.</w:t>
            </w:r>
          </w:p>
        </w:tc>
        <w:tc>
          <w:tcPr>
            <w:tcW w:w="850" w:type="dxa"/>
            <w:vAlign w:val="center"/>
          </w:tcPr>
          <w:p w:rsidR="00347FA7" w:rsidRPr="00347FA7" w:rsidRDefault="00657E1A" w:rsidP="00347FA7">
            <w:pPr>
              <w:pStyle w:val="BodyText"/>
              <w:spacing w:before="60" w:after="60"/>
              <w:jc w:val="center"/>
            </w:pPr>
            <w:r>
              <w:t>MA/ JVH</w:t>
            </w:r>
          </w:p>
        </w:tc>
      </w:tr>
      <w:tr w:rsidR="00347FA7" w:rsidTr="00C72F4D">
        <w:tc>
          <w:tcPr>
            <w:tcW w:w="667" w:type="dxa"/>
            <w:vAlign w:val="center"/>
          </w:tcPr>
          <w:p w:rsidR="00347FA7" w:rsidRPr="00347FA7" w:rsidRDefault="00347FA7" w:rsidP="00347FA7">
            <w:pPr>
              <w:pStyle w:val="BodyText"/>
              <w:numPr>
                <w:ilvl w:val="0"/>
                <w:numId w:val="41"/>
              </w:numPr>
              <w:spacing w:before="60" w:after="60"/>
              <w:jc w:val="center"/>
            </w:pPr>
          </w:p>
        </w:tc>
        <w:tc>
          <w:tcPr>
            <w:tcW w:w="7663" w:type="dxa"/>
            <w:vAlign w:val="center"/>
          </w:tcPr>
          <w:p w:rsidR="00347FA7" w:rsidRPr="000E338D" w:rsidRDefault="00C72F4D" w:rsidP="00C72F4D">
            <w:pPr>
              <w:spacing w:before="60" w:after="60"/>
            </w:pPr>
            <w:r w:rsidRPr="00C72F4D">
              <w:t xml:space="preserve">Neil Jackson to update the UKOPA guidance on the website to include a reference to </w:t>
            </w:r>
            <w:r>
              <w:t>Hazards XXIII</w:t>
            </w:r>
            <w:r w:rsidRPr="00C72F4D">
              <w:t xml:space="preserve"> paper.</w:t>
            </w:r>
          </w:p>
        </w:tc>
        <w:tc>
          <w:tcPr>
            <w:tcW w:w="850" w:type="dxa"/>
            <w:vAlign w:val="center"/>
          </w:tcPr>
          <w:p w:rsidR="00347FA7" w:rsidRPr="00347FA7" w:rsidRDefault="00C72F4D" w:rsidP="00347FA7">
            <w:pPr>
              <w:pStyle w:val="BodyText"/>
              <w:spacing w:before="60" w:after="60"/>
              <w:jc w:val="center"/>
            </w:pPr>
            <w:r>
              <w:t>NJ</w:t>
            </w:r>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Pr="000E338D" w:rsidRDefault="00C72F4D" w:rsidP="002B51F0">
            <w:pPr>
              <w:spacing w:before="60" w:after="60"/>
            </w:pPr>
            <w:r w:rsidRPr="00657E1A">
              <w:t xml:space="preserve">Andy Young to incorporate RAWG comments into draft </w:t>
            </w:r>
            <w:r>
              <w:t xml:space="preserve">slabbing </w:t>
            </w:r>
            <w:r w:rsidRPr="00657E1A">
              <w:t>specification.</w:t>
            </w:r>
          </w:p>
        </w:tc>
        <w:tc>
          <w:tcPr>
            <w:tcW w:w="850" w:type="dxa"/>
            <w:vAlign w:val="center"/>
          </w:tcPr>
          <w:p w:rsidR="00C72F4D" w:rsidRPr="00347FA7" w:rsidRDefault="00C72F4D" w:rsidP="002B51F0">
            <w:pPr>
              <w:pStyle w:val="BodyText"/>
              <w:spacing w:before="60" w:after="60"/>
              <w:jc w:val="center"/>
            </w:pPr>
            <w:r>
              <w:t>ATY</w:t>
            </w:r>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Pr="000E338D" w:rsidRDefault="00C72F4D" w:rsidP="002B51F0">
            <w:pPr>
              <w:spacing w:before="60" w:after="60"/>
            </w:pPr>
            <w:r w:rsidRPr="00657E1A">
              <w:t>Graham Goodfellow to circulate the draft slabbing specification to RAWG members when available.</w:t>
            </w:r>
          </w:p>
        </w:tc>
        <w:tc>
          <w:tcPr>
            <w:tcW w:w="850" w:type="dxa"/>
            <w:vAlign w:val="center"/>
          </w:tcPr>
          <w:p w:rsidR="00C72F4D" w:rsidRPr="00347FA7" w:rsidRDefault="00C72F4D" w:rsidP="002B51F0">
            <w:pPr>
              <w:pStyle w:val="BodyText"/>
              <w:spacing w:before="60" w:after="60"/>
              <w:jc w:val="center"/>
            </w:pPr>
            <w:r>
              <w:t>GDG</w:t>
            </w:r>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Pr="000E338D" w:rsidRDefault="00C72F4D" w:rsidP="002B51F0">
            <w:pPr>
              <w:spacing w:before="60" w:after="60"/>
            </w:pPr>
            <w:r w:rsidRPr="00657E1A">
              <w:t>Jane Haswell to add the updated natural landslide values to the draft IGEM/TD/2.</w:t>
            </w:r>
          </w:p>
        </w:tc>
        <w:tc>
          <w:tcPr>
            <w:tcW w:w="850" w:type="dxa"/>
            <w:vAlign w:val="center"/>
          </w:tcPr>
          <w:p w:rsidR="00C72F4D" w:rsidRPr="00347FA7" w:rsidRDefault="00C72F4D" w:rsidP="002B51F0">
            <w:pPr>
              <w:pStyle w:val="BodyText"/>
              <w:spacing w:before="60" w:after="60"/>
              <w:jc w:val="center"/>
            </w:pPr>
            <w:r>
              <w:t>JVH</w:t>
            </w:r>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Pr="00657E1A" w:rsidRDefault="00C72F4D" w:rsidP="002B51F0">
            <w:pPr>
              <w:spacing w:before="60" w:after="60"/>
              <w:rPr>
                <w:highlight w:val="yellow"/>
              </w:rPr>
            </w:pPr>
            <w:r w:rsidRPr="00657E1A">
              <w:t>Robert Owen to pass RAWG comments on SCC proposal to GLND.</w:t>
            </w:r>
          </w:p>
        </w:tc>
        <w:tc>
          <w:tcPr>
            <w:tcW w:w="850" w:type="dxa"/>
            <w:vAlign w:val="center"/>
          </w:tcPr>
          <w:p w:rsidR="00C72F4D" w:rsidRPr="00347FA7" w:rsidRDefault="00C72F4D" w:rsidP="002B51F0">
            <w:pPr>
              <w:pStyle w:val="BodyText"/>
              <w:spacing w:before="60" w:after="60"/>
              <w:jc w:val="center"/>
            </w:pPr>
            <w:r>
              <w:t>RO</w:t>
            </w:r>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Pr="00657E1A" w:rsidRDefault="00C72F4D" w:rsidP="002B51F0">
            <w:pPr>
              <w:spacing w:before="60" w:after="60"/>
              <w:rPr>
                <w:highlight w:val="yellow"/>
              </w:rPr>
            </w:pPr>
            <w:r w:rsidRPr="00657E1A">
              <w:t>RAWG members to check if it is currently routine to inspect for SCC at all pipeline excavations.</w:t>
            </w:r>
          </w:p>
        </w:tc>
        <w:tc>
          <w:tcPr>
            <w:tcW w:w="850" w:type="dxa"/>
            <w:vAlign w:val="center"/>
          </w:tcPr>
          <w:p w:rsidR="00C72F4D" w:rsidRPr="00347FA7" w:rsidRDefault="00C72F4D" w:rsidP="002B51F0">
            <w:pPr>
              <w:pStyle w:val="BodyText"/>
              <w:spacing w:before="60" w:after="60"/>
              <w:jc w:val="center"/>
            </w:pPr>
            <w:r>
              <w:t>All</w:t>
            </w:r>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Pr="00981243" w:rsidRDefault="00C72F4D" w:rsidP="002B51F0">
            <w:pPr>
              <w:spacing w:before="60" w:after="60"/>
            </w:pPr>
            <w:r w:rsidRPr="00981243">
              <w:t>Nikki Barker to arrange the next Sleeve Workshop.</w:t>
            </w:r>
          </w:p>
        </w:tc>
        <w:tc>
          <w:tcPr>
            <w:tcW w:w="850" w:type="dxa"/>
            <w:vAlign w:val="center"/>
          </w:tcPr>
          <w:p w:rsidR="00C72F4D" w:rsidRPr="00347FA7" w:rsidRDefault="00C72F4D" w:rsidP="002B51F0">
            <w:pPr>
              <w:pStyle w:val="BodyText"/>
              <w:spacing w:before="60" w:after="60"/>
              <w:jc w:val="center"/>
            </w:pPr>
            <w:r>
              <w:t>NB</w:t>
            </w:r>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Pr="00C11889" w:rsidRDefault="00C11889" w:rsidP="00C11889">
            <w:pPr>
              <w:spacing w:before="60" w:after="60"/>
            </w:pPr>
            <w:r w:rsidRPr="00C11889">
              <w:t>Jane Haswell to provide outline of Task 3 requirements to Graham Goodfellow and request a proposal for the work from Penspen.</w:t>
            </w:r>
          </w:p>
        </w:tc>
        <w:tc>
          <w:tcPr>
            <w:tcW w:w="850" w:type="dxa"/>
            <w:vAlign w:val="center"/>
          </w:tcPr>
          <w:p w:rsidR="00C72F4D" w:rsidRPr="00347FA7" w:rsidRDefault="00C11889" w:rsidP="00347FA7">
            <w:pPr>
              <w:pStyle w:val="BodyText"/>
              <w:spacing w:before="60" w:after="60"/>
              <w:jc w:val="center"/>
            </w:pPr>
            <w:r>
              <w:t>JVH</w:t>
            </w:r>
          </w:p>
        </w:tc>
      </w:tr>
      <w:tr w:rsidR="00C11889" w:rsidTr="00C72F4D">
        <w:tc>
          <w:tcPr>
            <w:tcW w:w="667" w:type="dxa"/>
            <w:vAlign w:val="center"/>
          </w:tcPr>
          <w:p w:rsidR="00C11889" w:rsidRPr="00347FA7" w:rsidRDefault="00C11889" w:rsidP="00347FA7">
            <w:pPr>
              <w:pStyle w:val="BodyText"/>
              <w:numPr>
                <w:ilvl w:val="0"/>
                <w:numId w:val="41"/>
              </w:numPr>
              <w:spacing w:before="60" w:after="60"/>
              <w:jc w:val="center"/>
            </w:pPr>
          </w:p>
        </w:tc>
        <w:tc>
          <w:tcPr>
            <w:tcW w:w="7663" w:type="dxa"/>
            <w:vAlign w:val="center"/>
          </w:tcPr>
          <w:p w:rsidR="00C11889" w:rsidRPr="00C11889" w:rsidRDefault="00C11889" w:rsidP="00C11889">
            <w:pPr>
              <w:spacing w:before="60" w:after="60"/>
            </w:pPr>
            <w:r w:rsidRPr="00C11889">
              <w:t>Jane Haswell to organise a workshop to challenge, review and approve Stage 2 of the UKOPA dent management strategy, once Task 3 is completed.</w:t>
            </w:r>
          </w:p>
        </w:tc>
        <w:tc>
          <w:tcPr>
            <w:tcW w:w="850" w:type="dxa"/>
            <w:vAlign w:val="center"/>
          </w:tcPr>
          <w:p w:rsidR="00C11889" w:rsidRPr="00347FA7" w:rsidRDefault="00C11889" w:rsidP="00347FA7">
            <w:pPr>
              <w:pStyle w:val="BodyText"/>
              <w:spacing w:before="60" w:after="60"/>
              <w:jc w:val="center"/>
            </w:pPr>
            <w:r>
              <w:t>JVH</w:t>
            </w:r>
          </w:p>
        </w:tc>
      </w:tr>
      <w:tr w:rsidR="00C11889" w:rsidTr="00C72F4D">
        <w:tc>
          <w:tcPr>
            <w:tcW w:w="667" w:type="dxa"/>
            <w:vAlign w:val="center"/>
          </w:tcPr>
          <w:p w:rsidR="00C11889" w:rsidRPr="00347FA7" w:rsidRDefault="00C11889" w:rsidP="00347FA7">
            <w:pPr>
              <w:pStyle w:val="BodyText"/>
              <w:numPr>
                <w:ilvl w:val="0"/>
                <w:numId w:val="41"/>
              </w:numPr>
              <w:spacing w:before="60" w:after="60"/>
              <w:jc w:val="center"/>
            </w:pPr>
          </w:p>
        </w:tc>
        <w:tc>
          <w:tcPr>
            <w:tcW w:w="7663" w:type="dxa"/>
            <w:vAlign w:val="center"/>
          </w:tcPr>
          <w:p w:rsidR="00C11889" w:rsidRPr="00C11889" w:rsidRDefault="00C11889" w:rsidP="00347FA7">
            <w:pPr>
              <w:spacing w:before="60" w:after="60"/>
            </w:pPr>
            <w:r w:rsidRPr="00C11889">
              <w:t>Jane Haswell and Rod McConnell to consider how database information on dents could be collated for use the dent management strategy and proposed workshop.</w:t>
            </w:r>
          </w:p>
        </w:tc>
        <w:tc>
          <w:tcPr>
            <w:tcW w:w="850" w:type="dxa"/>
            <w:vAlign w:val="center"/>
          </w:tcPr>
          <w:p w:rsidR="00C11889" w:rsidRPr="00347FA7" w:rsidRDefault="00C11889" w:rsidP="00347FA7">
            <w:pPr>
              <w:pStyle w:val="BodyText"/>
              <w:spacing w:before="60" w:after="60"/>
              <w:jc w:val="center"/>
            </w:pPr>
            <w:r>
              <w:t>JVH/</w:t>
            </w:r>
            <w:proofErr w:type="spellStart"/>
            <w:r>
              <w:t>RMcC</w:t>
            </w:r>
            <w:proofErr w:type="spellEnd"/>
          </w:p>
        </w:tc>
      </w:tr>
      <w:tr w:rsidR="00C72F4D" w:rsidTr="00C72F4D">
        <w:tc>
          <w:tcPr>
            <w:tcW w:w="667" w:type="dxa"/>
            <w:vAlign w:val="center"/>
          </w:tcPr>
          <w:p w:rsidR="00C72F4D" w:rsidRPr="00347FA7" w:rsidRDefault="00C72F4D" w:rsidP="00347FA7">
            <w:pPr>
              <w:pStyle w:val="BodyText"/>
              <w:numPr>
                <w:ilvl w:val="0"/>
                <w:numId w:val="41"/>
              </w:numPr>
              <w:spacing w:before="60" w:after="60"/>
              <w:jc w:val="center"/>
            </w:pPr>
          </w:p>
        </w:tc>
        <w:tc>
          <w:tcPr>
            <w:tcW w:w="7663" w:type="dxa"/>
            <w:vAlign w:val="center"/>
          </w:tcPr>
          <w:p w:rsidR="00C72F4D" w:rsidRDefault="00C72F4D" w:rsidP="00347FA7">
            <w:pPr>
              <w:spacing w:before="60" w:after="60"/>
              <w:rPr>
                <w:highlight w:val="yellow"/>
              </w:rPr>
            </w:pPr>
            <w:r w:rsidRPr="00981243">
              <w:t>Roger Ellis to reply to Phillip Ball explaining that RAWG currently has no requirements that AFAA may assist with but we will bear them in mind if our requirements change.</w:t>
            </w:r>
          </w:p>
        </w:tc>
        <w:tc>
          <w:tcPr>
            <w:tcW w:w="850" w:type="dxa"/>
            <w:vAlign w:val="center"/>
          </w:tcPr>
          <w:p w:rsidR="00C72F4D" w:rsidRPr="00347FA7" w:rsidRDefault="00C72F4D" w:rsidP="00347FA7">
            <w:pPr>
              <w:pStyle w:val="BodyText"/>
              <w:spacing w:before="60" w:after="60"/>
              <w:jc w:val="center"/>
            </w:pPr>
            <w:r>
              <w:t>RE</w:t>
            </w:r>
          </w:p>
        </w:tc>
      </w:tr>
    </w:tbl>
    <w:p w:rsidR="004C1C54" w:rsidRDefault="004C1C54" w:rsidP="00BF1CA5"/>
    <w:sectPr w:rsidR="004C1C54" w:rsidSect="00986B0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BAC" w:rsidRDefault="00AE4BAC" w:rsidP="00BF1CA5">
      <w:r>
        <w:separator/>
      </w:r>
    </w:p>
  </w:endnote>
  <w:endnote w:type="continuationSeparator" w:id="0">
    <w:p w:rsidR="00AE4BAC" w:rsidRDefault="00AE4BAC" w:rsidP="00BF1C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55" w:rsidRDefault="006C44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55" w:rsidRDefault="006C44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455" w:rsidRDefault="006C44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BAC" w:rsidRDefault="00AE4BAC" w:rsidP="00BF1CA5">
      <w:r>
        <w:separator/>
      </w:r>
    </w:p>
  </w:footnote>
  <w:footnote w:type="continuationSeparator" w:id="0">
    <w:p w:rsidR="00AE4BAC" w:rsidRDefault="00AE4BAC" w:rsidP="00BF1C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C54" w:rsidRDefault="00A47B4E" w:rsidP="00BF1CA5">
    <w:pPr>
      <w:pStyle w:val="Header"/>
      <w:rPr>
        <w:rStyle w:val="PageNumber"/>
        <w:rFonts w:cs="Arial"/>
      </w:rPr>
    </w:pPr>
    <w:r>
      <w:rPr>
        <w:rStyle w:val="PageNumber"/>
        <w:rFonts w:cs="Arial"/>
      </w:rPr>
      <w:fldChar w:fldCharType="begin"/>
    </w:r>
    <w:r w:rsidR="004C1C54">
      <w:rPr>
        <w:rStyle w:val="PageNumber"/>
        <w:rFonts w:cs="Arial"/>
      </w:rPr>
      <w:instrText xml:space="preserve">PAGE  </w:instrText>
    </w:r>
    <w:r>
      <w:rPr>
        <w:rStyle w:val="PageNumber"/>
        <w:rFonts w:cs="Arial"/>
      </w:rPr>
      <w:fldChar w:fldCharType="separate"/>
    </w:r>
    <w:r w:rsidR="004C1C54">
      <w:rPr>
        <w:rStyle w:val="PageNumber"/>
        <w:rFonts w:cs="Arial"/>
        <w:noProof/>
      </w:rPr>
      <w:t>6</w:t>
    </w:r>
    <w:r>
      <w:rPr>
        <w:rStyle w:val="PageNumber"/>
        <w:rFonts w:cs="Arial"/>
      </w:rPr>
      <w:fldChar w:fldCharType="end"/>
    </w:r>
  </w:p>
  <w:p w:rsidR="004C1C54" w:rsidRDefault="004C1C54" w:rsidP="00BF1C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6E" w:rsidRDefault="0086636E" w:rsidP="0086636E">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86636E" w:rsidRPr="0086636E" w:rsidRDefault="00A47B4E" w:rsidP="0086636E">
    <w:pPr>
      <w:pStyle w:val="Header"/>
      <w:tabs>
        <w:tab w:val="clear" w:pos="4153"/>
        <w:tab w:val="clear" w:pos="8306"/>
        <w:tab w:val="center" w:pos="4536"/>
      </w:tabs>
      <w:spacing w:after="120"/>
      <w:rPr>
        <w:rFonts w:ascii="Arial" w:hAnsi="Arial"/>
        <w:b/>
        <w:sz w:val="16"/>
      </w:rPr>
    </w:pPr>
    <w:sdt>
      <w:sdtPr>
        <w:rPr>
          <w:rStyle w:val="PageNumber"/>
          <w:rFonts w:cs="Arial"/>
        </w:rPr>
        <w:id w:val="13685734"/>
        <w:docPartObj>
          <w:docPartGallery w:val="Watermarks"/>
          <w:docPartUnique/>
        </w:docPartObj>
      </w:sdtPr>
      <w:sdtContent>
        <w:r w:rsidRPr="00A47B4E">
          <w:rPr>
            <w:rStyle w:val="PageNumber"/>
            <w:rFonts w:cs="Arial"/>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0821" o:spid="_x0000_s26625" type="#_x0000_t136" style="position:absolute;left:0;text-align:left;margin-left:0;margin-top:0;width:397.65pt;height:238.6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86636E">
      <w:rPr>
        <w:noProof/>
        <w:sz w:val="10"/>
      </w:rPr>
      <w:drawing>
        <wp:inline distT="0" distB="0" distL="0" distR="0">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sidR="0086636E">
      <w:rPr>
        <w:b/>
        <w:sz w:val="16"/>
      </w:rPr>
      <w:tab/>
    </w:r>
    <w:r w:rsidR="0086636E" w:rsidRPr="0086636E">
      <w:rPr>
        <w:rFonts w:ascii="Arial" w:hAnsi="Arial"/>
        <w:b/>
        <w:sz w:val="16"/>
      </w:rPr>
      <w:t>United Kingdom Onshore Pipeline Operators’ Association</w:t>
    </w:r>
  </w:p>
  <w:p w:rsidR="0086636E" w:rsidRDefault="0086636E" w:rsidP="0086636E">
    <w:pPr>
      <w:pStyle w:val="Header"/>
      <w:pBdr>
        <w:top w:val="single" w:sz="12" w:space="1" w:color="3366FF"/>
      </w:pBdr>
      <w:tabs>
        <w:tab w:val="clear" w:pos="8306"/>
      </w:tabs>
    </w:pPr>
  </w:p>
  <w:p w:rsidR="004C1C54" w:rsidRDefault="004C1C54" w:rsidP="0086636E">
    <w:pPr>
      <w:pStyle w:val="Header"/>
      <w:tabs>
        <w:tab w:val="clear" w:pos="4153"/>
        <w:tab w:val="clear" w:pos="8306"/>
        <w:tab w:val="center" w:pos="4536"/>
      </w:tabs>
      <w:spacing w:after="1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C54" w:rsidRDefault="004C1C54" w:rsidP="00BF1C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710AB1"/>
    <w:multiLevelType w:val="hybridMultilevel"/>
    <w:tmpl w:val="FFB0C12A"/>
    <w:lvl w:ilvl="0" w:tplc="27C04604">
      <w:start w:val="1"/>
      <w:numFmt w:val="decimal"/>
      <w:lvlText w:val="%1 "/>
      <w:lvlJc w:val="left"/>
      <w:pPr>
        <w:ind w:left="720" w:hanging="360"/>
      </w:pPr>
      <w:rPr>
        <w:rFonts w:ascii="Verdana" w:hAnsi="Verdana" w:cs="Times New Roman"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C80CBB"/>
    <w:multiLevelType w:val="hybridMultilevel"/>
    <w:tmpl w:val="3230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0027BF"/>
    <w:multiLevelType w:val="hybridMultilevel"/>
    <w:tmpl w:val="17A0BF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89F1417"/>
    <w:multiLevelType w:val="hybridMultilevel"/>
    <w:tmpl w:val="E616678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nsid w:val="2B8A0315"/>
    <w:multiLevelType w:val="hybridMultilevel"/>
    <w:tmpl w:val="F5FEA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1821875"/>
    <w:multiLevelType w:val="hybridMultilevel"/>
    <w:tmpl w:val="178A7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A824102"/>
    <w:multiLevelType w:val="multilevel"/>
    <w:tmpl w:val="283CEB56"/>
    <w:lvl w:ilvl="0">
      <w:start w:val="1"/>
      <w:numFmt w:val="decimal"/>
      <w:pStyle w:val="Heading1"/>
      <w:lvlText w:val="%1"/>
      <w:lvlJc w:val="left"/>
      <w:pPr>
        <w:ind w:left="0"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0">
    <w:nsid w:val="446D4996"/>
    <w:multiLevelType w:val="hybridMultilevel"/>
    <w:tmpl w:val="7A102B3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nsid w:val="45396FDC"/>
    <w:multiLevelType w:val="hybridMultilevel"/>
    <w:tmpl w:val="3006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6E45525"/>
    <w:multiLevelType w:val="multilevel"/>
    <w:tmpl w:val="C798B650"/>
    <w:lvl w:ilvl="0">
      <w:start w:val="3"/>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ACF3482"/>
    <w:multiLevelType w:val="multilevel"/>
    <w:tmpl w:val="9D3EC5F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sz w:val="24"/>
        <w:szCs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4B2877F1"/>
    <w:multiLevelType w:val="multilevel"/>
    <w:tmpl w:val="415E03BA"/>
    <w:lvl w:ilvl="0">
      <w:start w:val="1"/>
      <w:numFmt w:val="decimal"/>
      <w:suff w:val="nothing"/>
      <w:lvlText w:val="%1"/>
      <w:lvlJc w:val="left"/>
      <w:pPr>
        <w:ind w:left="0" w:firstLine="0"/>
      </w:pPr>
      <w:rPr>
        <w:rFonts w:ascii="Verdana" w:hAnsi="Verdana" w:cs="Times New Roman" w:hint="default"/>
        <w:b/>
        <w:i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BD871A1"/>
    <w:multiLevelType w:val="hybridMultilevel"/>
    <w:tmpl w:val="E3E6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682141"/>
    <w:multiLevelType w:val="hybridMultilevel"/>
    <w:tmpl w:val="D3E0C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A8380F"/>
    <w:multiLevelType w:val="hybridMultilevel"/>
    <w:tmpl w:val="79C4EF98"/>
    <w:lvl w:ilvl="0" w:tplc="D5EA1A70">
      <w:start w:val="3"/>
      <w:numFmt w:val="bullet"/>
      <w:lvlText w:val="-"/>
      <w:lvlJc w:val="left"/>
      <w:pPr>
        <w:ind w:left="432" w:hanging="360"/>
      </w:pPr>
      <w:rPr>
        <w:rFonts w:ascii="Verdana" w:eastAsia="Times New Roman" w:hAnsi="Verdana" w:hint="default"/>
      </w:rPr>
    </w:lvl>
    <w:lvl w:ilvl="1" w:tplc="08090003" w:tentative="1">
      <w:start w:val="1"/>
      <w:numFmt w:val="bullet"/>
      <w:lvlText w:val="o"/>
      <w:lvlJc w:val="left"/>
      <w:pPr>
        <w:ind w:left="1152" w:hanging="360"/>
      </w:pPr>
      <w:rPr>
        <w:rFonts w:ascii="Courier New" w:hAnsi="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8">
    <w:nsid w:val="4EAF4502"/>
    <w:multiLevelType w:val="hybridMultilevel"/>
    <w:tmpl w:val="30B4DB78"/>
    <w:lvl w:ilvl="0" w:tplc="5590C76C">
      <w:start w:val="1"/>
      <w:numFmt w:val="lowerLetter"/>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516A27C9"/>
    <w:multiLevelType w:val="hybridMultilevel"/>
    <w:tmpl w:val="164E2B38"/>
    <w:lvl w:ilvl="0" w:tplc="F8023184">
      <w:start w:val="1"/>
      <w:numFmt w:val="lowerLetter"/>
      <w:lvlText w:val="%1)"/>
      <w:lvlJc w:val="left"/>
      <w:pPr>
        <w:ind w:left="720" w:hanging="360"/>
      </w:pPr>
      <w:rPr>
        <w:rFonts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E60B0B"/>
    <w:multiLevelType w:val="hybridMultilevel"/>
    <w:tmpl w:val="1E6461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60EA4CD0"/>
    <w:multiLevelType w:val="hybridMultilevel"/>
    <w:tmpl w:val="289C52C4"/>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67A60617"/>
    <w:multiLevelType w:val="hybridMultilevel"/>
    <w:tmpl w:val="890275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755D4CA9"/>
    <w:multiLevelType w:val="hybridMultilevel"/>
    <w:tmpl w:val="7FBC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FC0551"/>
    <w:multiLevelType w:val="hybridMultilevel"/>
    <w:tmpl w:val="3D8CAD7C"/>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E08422C"/>
    <w:multiLevelType w:val="hybridMultilevel"/>
    <w:tmpl w:val="6EE4A99C"/>
    <w:lvl w:ilvl="0" w:tplc="F4561E7A">
      <w:start w:val="1"/>
      <w:numFmt w:val="decimal"/>
      <w:suff w:val="space"/>
      <w:lvlText w:val="%1"/>
      <w:lvlJc w:val="left"/>
      <w:pPr>
        <w:ind w:left="357" w:firstLine="3"/>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3"/>
  </w:num>
  <w:num w:numId="2">
    <w:abstractNumId w:val="13"/>
  </w:num>
  <w:num w:numId="3">
    <w:abstractNumId w:val="9"/>
  </w:num>
  <w:num w:numId="4">
    <w:abstractNumId w:val="21"/>
  </w:num>
  <w:num w:numId="5">
    <w:abstractNumId w:val="8"/>
  </w:num>
  <w:num w:numId="6">
    <w:abstractNumId w:val="0"/>
  </w:num>
  <w:num w:numId="7">
    <w:abstractNumId w:val="18"/>
  </w:num>
  <w:num w:numId="8">
    <w:abstractNumId w:val="10"/>
  </w:num>
  <w:num w:numId="9">
    <w:abstractNumId w:val="6"/>
  </w:num>
  <w:num w:numId="10">
    <w:abstractNumId w:val="25"/>
  </w:num>
  <w:num w:numId="11">
    <w:abstractNumId w:val="17"/>
  </w:num>
  <w:num w:numId="12">
    <w:abstractNumId w:val="22"/>
  </w:num>
  <w:num w:numId="13">
    <w:abstractNumId w:val="24"/>
  </w:num>
  <w:num w:numId="14">
    <w:abstractNumId w:val="8"/>
  </w:num>
  <w:num w:numId="15">
    <w:abstractNumId w:val="16"/>
  </w:num>
  <w:num w:numId="16">
    <w:abstractNumId w:val="23"/>
  </w:num>
  <w:num w:numId="17">
    <w:abstractNumId w:val="26"/>
  </w:num>
  <w:num w:numId="18">
    <w:abstractNumId w:val="12"/>
  </w:num>
  <w:num w:numId="19">
    <w:abstractNumId w:val="8"/>
  </w:num>
  <w:num w:numId="20">
    <w:abstractNumId w:val="8"/>
  </w:num>
  <w:num w:numId="21">
    <w:abstractNumId w:val="8"/>
  </w:num>
  <w:num w:numId="22">
    <w:abstractNumId w:val="8"/>
  </w:num>
  <w:num w:numId="23">
    <w:abstractNumId w:val="8"/>
    <w:lvlOverride w:ilvl="0">
      <w:startOverride w:val="4"/>
    </w:lvlOverride>
  </w:num>
  <w:num w:numId="24">
    <w:abstractNumId w:val="8"/>
  </w:num>
  <w:num w:numId="25">
    <w:abstractNumId w:val="8"/>
  </w:num>
  <w:num w:numId="26">
    <w:abstractNumId w:val="8"/>
  </w:num>
  <w:num w:numId="27">
    <w:abstractNumId w:val="8"/>
  </w:num>
  <w:num w:numId="28">
    <w:abstractNumId w:val="8"/>
  </w:num>
  <w:num w:numId="29">
    <w:abstractNumId w:val="8"/>
  </w:num>
  <w:num w:numId="30">
    <w:abstractNumId w:val="5"/>
  </w:num>
  <w:num w:numId="31">
    <w:abstractNumId w:val="20"/>
  </w:num>
  <w:num w:numId="32">
    <w:abstractNumId w:val="4"/>
  </w:num>
  <w:num w:numId="33">
    <w:abstractNumId w:val="11"/>
  </w:num>
  <w:num w:numId="34">
    <w:abstractNumId w:val="8"/>
  </w:num>
  <w:num w:numId="35">
    <w:abstractNumId w:val="15"/>
  </w:num>
  <w:num w:numId="36">
    <w:abstractNumId w:val="19"/>
  </w:num>
  <w:num w:numId="37">
    <w:abstractNumId w:val="7"/>
  </w:num>
  <w:num w:numId="38">
    <w:abstractNumId w:val="3"/>
  </w:num>
  <w:num w:numId="39">
    <w:abstractNumId w:val="8"/>
  </w:num>
  <w:num w:numId="40">
    <w:abstractNumId w:val="2"/>
  </w:num>
  <w:num w:numId="41">
    <w:abstractNumId w:val="14"/>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isplayBackgroundShape/>
  <w:proofState w:spelling="clean"/>
  <w:stylePaneFormatFilter w:val="3F01"/>
  <w:defaultTabStop w:val="720"/>
  <w:drawingGridHorizontalSpacing w:val="110"/>
  <w:displayHorizontalDrawingGridEvery w:val="2"/>
  <w:characterSpacingControl w:val="doNotCompress"/>
  <w:hdrShapeDefaults>
    <o:shapedefaults v:ext="edit" spidmax="31746"/>
    <o:shapelayout v:ext="edit">
      <o:idmap v:ext="edit" data="26"/>
    </o:shapelayout>
  </w:hdrShapeDefaults>
  <w:footnotePr>
    <w:footnote w:id="-1"/>
    <w:footnote w:id="0"/>
  </w:footnotePr>
  <w:endnotePr>
    <w:endnote w:id="-1"/>
    <w:endnote w:id="0"/>
  </w:endnotePr>
  <w:compat/>
  <w:rsids>
    <w:rsidRoot w:val="001203FD"/>
    <w:rsid w:val="0000493F"/>
    <w:rsid w:val="000074E5"/>
    <w:rsid w:val="00051D46"/>
    <w:rsid w:val="00053505"/>
    <w:rsid w:val="00057852"/>
    <w:rsid w:val="000717CF"/>
    <w:rsid w:val="000745F0"/>
    <w:rsid w:val="000843CF"/>
    <w:rsid w:val="00091BF9"/>
    <w:rsid w:val="00092CB9"/>
    <w:rsid w:val="000A0EE7"/>
    <w:rsid w:val="000A160E"/>
    <w:rsid w:val="000A7B4C"/>
    <w:rsid w:val="000C1E01"/>
    <w:rsid w:val="000D0EA3"/>
    <w:rsid w:val="000E338D"/>
    <w:rsid w:val="000F2B85"/>
    <w:rsid w:val="000F6B72"/>
    <w:rsid w:val="00102047"/>
    <w:rsid w:val="0010664D"/>
    <w:rsid w:val="001203FD"/>
    <w:rsid w:val="001221CB"/>
    <w:rsid w:val="00123C45"/>
    <w:rsid w:val="00127916"/>
    <w:rsid w:val="0015032D"/>
    <w:rsid w:val="0015317E"/>
    <w:rsid w:val="001536EE"/>
    <w:rsid w:val="00155EDC"/>
    <w:rsid w:val="00163391"/>
    <w:rsid w:val="001732D7"/>
    <w:rsid w:val="00177654"/>
    <w:rsid w:val="00196851"/>
    <w:rsid w:val="001A3382"/>
    <w:rsid w:val="001A50DF"/>
    <w:rsid w:val="001B3924"/>
    <w:rsid w:val="001C1A45"/>
    <w:rsid w:val="001C5E3C"/>
    <w:rsid w:val="001C6F6E"/>
    <w:rsid w:val="001D603C"/>
    <w:rsid w:val="001D7BD3"/>
    <w:rsid w:val="001E0E5A"/>
    <w:rsid w:val="001E315E"/>
    <w:rsid w:val="001F1D02"/>
    <w:rsid w:val="0020086D"/>
    <w:rsid w:val="00205480"/>
    <w:rsid w:val="00214FEE"/>
    <w:rsid w:val="00215013"/>
    <w:rsid w:val="0021611A"/>
    <w:rsid w:val="0022790E"/>
    <w:rsid w:val="00232737"/>
    <w:rsid w:val="00234C66"/>
    <w:rsid w:val="0024146B"/>
    <w:rsid w:val="00251633"/>
    <w:rsid w:val="00251FB9"/>
    <w:rsid w:val="00255743"/>
    <w:rsid w:val="0025596F"/>
    <w:rsid w:val="002565F0"/>
    <w:rsid w:val="00261877"/>
    <w:rsid w:val="00261D71"/>
    <w:rsid w:val="00265784"/>
    <w:rsid w:val="00271337"/>
    <w:rsid w:val="00282444"/>
    <w:rsid w:val="002850C1"/>
    <w:rsid w:val="00295BAB"/>
    <w:rsid w:val="002C35CA"/>
    <w:rsid w:val="002D2ACF"/>
    <w:rsid w:val="002E02CF"/>
    <w:rsid w:val="002F0BBD"/>
    <w:rsid w:val="002F5F73"/>
    <w:rsid w:val="0030062C"/>
    <w:rsid w:val="00302FB5"/>
    <w:rsid w:val="00306A81"/>
    <w:rsid w:val="0031730D"/>
    <w:rsid w:val="0032186A"/>
    <w:rsid w:val="00326F8D"/>
    <w:rsid w:val="0033419B"/>
    <w:rsid w:val="00342D11"/>
    <w:rsid w:val="00343291"/>
    <w:rsid w:val="00347FA7"/>
    <w:rsid w:val="00353047"/>
    <w:rsid w:val="00362466"/>
    <w:rsid w:val="003851C4"/>
    <w:rsid w:val="003A0D86"/>
    <w:rsid w:val="003B08EC"/>
    <w:rsid w:val="003B17B8"/>
    <w:rsid w:val="003B2543"/>
    <w:rsid w:val="003B574B"/>
    <w:rsid w:val="003C2BFF"/>
    <w:rsid w:val="003D2BDD"/>
    <w:rsid w:val="003E0EB9"/>
    <w:rsid w:val="003F148A"/>
    <w:rsid w:val="003F1CA7"/>
    <w:rsid w:val="004173C2"/>
    <w:rsid w:val="004520AD"/>
    <w:rsid w:val="0046026D"/>
    <w:rsid w:val="004607C2"/>
    <w:rsid w:val="004728B6"/>
    <w:rsid w:val="00475D42"/>
    <w:rsid w:val="004769A8"/>
    <w:rsid w:val="004866BD"/>
    <w:rsid w:val="004875A2"/>
    <w:rsid w:val="00496656"/>
    <w:rsid w:val="004A17DE"/>
    <w:rsid w:val="004A6DCB"/>
    <w:rsid w:val="004B3716"/>
    <w:rsid w:val="004C1C54"/>
    <w:rsid w:val="004D006F"/>
    <w:rsid w:val="004E068B"/>
    <w:rsid w:val="004E6A3F"/>
    <w:rsid w:val="00515B22"/>
    <w:rsid w:val="00521866"/>
    <w:rsid w:val="00522167"/>
    <w:rsid w:val="00533A3C"/>
    <w:rsid w:val="005373CB"/>
    <w:rsid w:val="0054268C"/>
    <w:rsid w:val="00545A6D"/>
    <w:rsid w:val="005462D3"/>
    <w:rsid w:val="00554C87"/>
    <w:rsid w:val="00560BCA"/>
    <w:rsid w:val="00566CCC"/>
    <w:rsid w:val="00580DE4"/>
    <w:rsid w:val="00584596"/>
    <w:rsid w:val="005A28E3"/>
    <w:rsid w:val="005B1340"/>
    <w:rsid w:val="005B5911"/>
    <w:rsid w:val="005C4624"/>
    <w:rsid w:val="005C484E"/>
    <w:rsid w:val="005C7198"/>
    <w:rsid w:val="005E2DA6"/>
    <w:rsid w:val="005E5D39"/>
    <w:rsid w:val="005F28C0"/>
    <w:rsid w:val="005F2CEC"/>
    <w:rsid w:val="005F752F"/>
    <w:rsid w:val="006016D3"/>
    <w:rsid w:val="00602F01"/>
    <w:rsid w:val="006209AF"/>
    <w:rsid w:val="00634E28"/>
    <w:rsid w:val="006545CD"/>
    <w:rsid w:val="00657E1A"/>
    <w:rsid w:val="006621A6"/>
    <w:rsid w:val="006764A7"/>
    <w:rsid w:val="00684C0D"/>
    <w:rsid w:val="0068654C"/>
    <w:rsid w:val="00697D89"/>
    <w:rsid w:val="006A1C12"/>
    <w:rsid w:val="006B0FA3"/>
    <w:rsid w:val="006B116D"/>
    <w:rsid w:val="006B3995"/>
    <w:rsid w:val="006C0245"/>
    <w:rsid w:val="006C1633"/>
    <w:rsid w:val="006C4455"/>
    <w:rsid w:val="006E66C5"/>
    <w:rsid w:val="006F1A35"/>
    <w:rsid w:val="006F4975"/>
    <w:rsid w:val="006F4CB1"/>
    <w:rsid w:val="00703D7E"/>
    <w:rsid w:val="00727BB9"/>
    <w:rsid w:val="00733E2A"/>
    <w:rsid w:val="00754DC0"/>
    <w:rsid w:val="007610CE"/>
    <w:rsid w:val="0077493B"/>
    <w:rsid w:val="007778F9"/>
    <w:rsid w:val="00783EE9"/>
    <w:rsid w:val="00790B77"/>
    <w:rsid w:val="00791DAE"/>
    <w:rsid w:val="007A2219"/>
    <w:rsid w:val="007B11C3"/>
    <w:rsid w:val="007C3FAD"/>
    <w:rsid w:val="007C5DAF"/>
    <w:rsid w:val="007D236A"/>
    <w:rsid w:val="007D25CC"/>
    <w:rsid w:val="007E3552"/>
    <w:rsid w:val="007F0DCF"/>
    <w:rsid w:val="007F55F6"/>
    <w:rsid w:val="008014D5"/>
    <w:rsid w:val="00801912"/>
    <w:rsid w:val="008118D6"/>
    <w:rsid w:val="0081191A"/>
    <w:rsid w:val="0081383F"/>
    <w:rsid w:val="00814C77"/>
    <w:rsid w:val="00822B2B"/>
    <w:rsid w:val="0083392F"/>
    <w:rsid w:val="008348F3"/>
    <w:rsid w:val="00836B1C"/>
    <w:rsid w:val="008379B4"/>
    <w:rsid w:val="00840996"/>
    <w:rsid w:val="0086636E"/>
    <w:rsid w:val="008838BD"/>
    <w:rsid w:val="00884DA2"/>
    <w:rsid w:val="00886C1F"/>
    <w:rsid w:val="0089313F"/>
    <w:rsid w:val="008A0F88"/>
    <w:rsid w:val="008A4086"/>
    <w:rsid w:val="008C0A68"/>
    <w:rsid w:val="008C53B0"/>
    <w:rsid w:val="008D0DD0"/>
    <w:rsid w:val="008D23B0"/>
    <w:rsid w:val="008D5473"/>
    <w:rsid w:val="008E3E0C"/>
    <w:rsid w:val="008F1338"/>
    <w:rsid w:val="008F5477"/>
    <w:rsid w:val="00906A4D"/>
    <w:rsid w:val="0091647F"/>
    <w:rsid w:val="0092123F"/>
    <w:rsid w:val="009234CA"/>
    <w:rsid w:val="0092497D"/>
    <w:rsid w:val="009362CC"/>
    <w:rsid w:val="00936AE8"/>
    <w:rsid w:val="00940708"/>
    <w:rsid w:val="009545AD"/>
    <w:rsid w:val="00954C4B"/>
    <w:rsid w:val="0096774C"/>
    <w:rsid w:val="00980030"/>
    <w:rsid w:val="00980289"/>
    <w:rsid w:val="00981243"/>
    <w:rsid w:val="00981FA4"/>
    <w:rsid w:val="0098238A"/>
    <w:rsid w:val="00986B0E"/>
    <w:rsid w:val="009B46F5"/>
    <w:rsid w:val="009B74F6"/>
    <w:rsid w:val="009C0141"/>
    <w:rsid w:val="009D138C"/>
    <w:rsid w:val="009D2FF3"/>
    <w:rsid w:val="009D7172"/>
    <w:rsid w:val="009E7BC9"/>
    <w:rsid w:val="00A02FC7"/>
    <w:rsid w:val="00A13B07"/>
    <w:rsid w:val="00A141AD"/>
    <w:rsid w:val="00A349DB"/>
    <w:rsid w:val="00A449A5"/>
    <w:rsid w:val="00A46EBC"/>
    <w:rsid w:val="00A47B4E"/>
    <w:rsid w:val="00A540A3"/>
    <w:rsid w:val="00A60310"/>
    <w:rsid w:val="00A7146D"/>
    <w:rsid w:val="00A82B15"/>
    <w:rsid w:val="00A87C58"/>
    <w:rsid w:val="00A90AF2"/>
    <w:rsid w:val="00A93C28"/>
    <w:rsid w:val="00A93E7F"/>
    <w:rsid w:val="00AA0782"/>
    <w:rsid w:val="00AA75D0"/>
    <w:rsid w:val="00AB2B4C"/>
    <w:rsid w:val="00AB4D5B"/>
    <w:rsid w:val="00AB7BCE"/>
    <w:rsid w:val="00AE08AD"/>
    <w:rsid w:val="00AE4BAC"/>
    <w:rsid w:val="00B0235E"/>
    <w:rsid w:val="00B20100"/>
    <w:rsid w:val="00B21A98"/>
    <w:rsid w:val="00B22010"/>
    <w:rsid w:val="00B23CB7"/>
    <w:rsid w:val="00B273E7"/>
    <w:rsid w:val="00B311D5"/>
    <w:rsid w:val="00B362AF"/>
    <w:rsid w:val="00B43973"/>
    <w:rsid w:val="00B61715"/>
    <w:rsid w:val="00B77123"/>
    <w:rsid w:val="00B83ED3"/>
    <w:rsid w:val="00B87958"/>
    <w:rsid w:val="00BA46BE"/>
    <w:rsid w:val="00BB799E"/>
    <w:rsid w:val="00BC63C7"/>
    <w:rsid w:val="00BC718F"/>
    <w:rsid w:val="00BF1A11"/>
    <w:rsid w:val="00BF1CA5"/>
    <w:rsid w:val="00C11889"/>
    <w:rsid w:val="00C32C74"/>
    <w:rsid w:val="00C33033"/>
    <w:rsid w:val="00C421A0"/>
    <w:rsid w:val="00C43077"/>
    <w:rsid w:val="00C47BFC"/>
    <w:rsid w:val="00C5057E"/>
    <w:rsid w:val="00C7277A"/>
    <w:rsid w:val="00C72F4D"/>
    <w:rsid w:val="00C77B4C"/>
    <w:rsid w:val="00CA05BD"/>
    <w:rsid w:val="00CA09EF"/>
    <w:rsid w:val="00CA2CDB"/>
    <w:rsid w:val="00CC4E0D"/>
    <w:rsid w:val="00CD60B1"/>
    <w:rsid w:val="00CD62F4"/>
    <w:rsid w:val="00CE7B50"/>
    <w:rsid w:val="00CF0C79"/>
    <w:rsid w:val="00D07B16"/>
    <w:rsid w:val="00D22051"/>
    <w:rsid w:val="00D26CBA"/>
    <w:rsid w:val="00D30FA3"/>
    <w:rsid w:val="00D36A00"/>
    <w:rsid w:val="00D53992"/>
    <w:rsid w:val="00D60F0C"/>
    <w:rsid w:val="00D818AD"/>
    <w:rsid w:val="00D868D7"/>
    <w:rsid w:val="00D91712"/>
    <w:rsid w:val="00D91874"/>
    <w:rsid w:val="00DA16EF"/>
    <w:rsid w:val="00DA3513"/>
    <w:rsid w:val="00DA4E1C"/>
    <w:rsid w:val="00DA774A"/>
    <w:rsid w:val="00DB0FA3"/>
    <w:rsid w:val="00DC0F63"/>
    <w:rsid w:val="00DD5216"/>
    <w:rsid w:val="00DD580D"/>
    <w:rsid w:val="00DF11D1"/>
    <w:rsid w:val="00DF7708"/>
    <w:rsid w:val="00E01004"/>
    <w:rsid w:val="00E07403"/>
    <w:rsid w:val="00E16578"/>
    <w:rsid w:val="00E226FE"/>
    <w:rsid w:val="00E36805"/>
    <w:rsid w:val="00E50505"/>
    <w:rsid w:val="00E92B60"/>
    <w:rsid w:val="00E92B72"/>
    <w:rsid w:val="00EA19C7"/>
    <w:rsid w:val="00EC5E6F"/>
    <w:rsid w:val="00ED30F9"/>
    <w:rsid w:val="00ED4B17"/>
    <w:rsid w:val="00EE5085"/>
    <w:rsid w:val="00F05AE6"/>
    <w:rsid w:val="00F07118"/>
    <w:rsid w:val="00F6110B"/>
    <w:rsid w:val="00F67160"/>
    <w:rsid w:val="00F8424E"/>
    <w:rsid w:val="00F85EFF"/>
    <w:rsid w:val="00FA081C"/>
    <w:rsid w:val="00FA5E1B"/>
    <w:rsid w:val="00FB204C"/>
    <w:rsid w:val="00FC3701"/>
    <w:rsid w:val="00FD6712"/>
    <w:rsid w:val="00FD6E40"/>
    <w:rsid w:val="00FE3083"/>
    <w:rsid w:val="00FE6CBC"/>
    <w:rsid w:val="00FF32D1"/>
    <w:rsid w:val="00FF4824"/>
    <w:rsid w:val="00FF60BB"/>
    <w:rsid w:val="00FF6F74"/>
    <w:rsid w:val="00FF7B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lsdException w:name="Default Paragraph Font" w:uiPriority="1"/>
    <w:lsdException w:name="Body Text" w:uiPriority="0" w:qFormat="1"/>
    <w:lsdException w:name="Subtitle" w:locked="1" w:semiHidden="0" w:uiPriority="0" w:unhideWhenUsed="0" w:qFormat="1"/>
    <w:lsdException w:name="Strong" w:locked="1" w:semiHidden="0" w:uiPriority="0"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A93E7F"/>
    <w:pPr>
      <w:keepNext/>
      <w:numPr>
        <w:numId w:val="25"/>
      </w:numPr>
      <w:spacing w:before="24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3"/>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93E7F"/>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
    <w:semiHidden/>
    <w:rsid w:val="00844A0A"/>
    <w:rPr>
      <w:rFonts w:ascii="Cambria" w:eastAsia="Times New Roman" w:hAnsi="Cambria" w:cs="Times New Roman"/>
      <w:b/>
      <w:bCs/>
      <w:sz w:val="26"/>
      <w:szCs w:val="26"/>
    </w:rPr>
  </w:style>
  <w:style w:type="paragraph" w:customStyle="1" w:styleId="StyleHeading2RSKH2RSKH21VerdanaNotItalicLeft05cm">
    <w:name w:val="Style Heading 2RSKH2RSKH21 + Verdana Not Italic Left:  0.5 cm"/>
    <w:basedOn w:val="Heading2"/>
    <w:uiPriority w:val="99"/>
    <w:rsid w:val="008348F3"/>
    <w:pPr>
      <w:numPr>
        <w:numId w:val="3"/>
      </w:numPr>
    </w:pPr>
    <w:rPr>
      <w:rFonts w:cs="Times New Roman"/>
      <w:lang w:eastAsia="en-US"/>
    </w:rPr>
  </w:style>
  <w:style w:type="paragraph" w:customStyle="1" w:styleId="Style5">
    <w:name w:val="Style5"/>
    <w:basedOn w:val="Heading1"/>
    <w:uiPriority w:val="99"/>
    <w:rsid w:val="00EC5E6F"/>
    <w:pPr>
      <w:numPr>
        <w:numId w:val="4"/>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semiHidden/>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b/>
      <w:szCs w:val="22"/>
      <w:u w:val="single"/>
    </w:rPr>
  </w:style>
  <w:style w:type="paragraph" w:styleId="ListParagraph">
    <w:name w:val="List Paragraph"/>
    <w:basedOn w:val="Normal"/>
    <w:uiPriority w:val="34"/>
    <w:rsid w:val="00DA16EF"/>
    <w:pPr>
      <w:ind w:left="720"/>
      <w:contextualSpacing/>
    </w:pPr>
  </w:style>
  <w:style w:type="paragraph" w:customStyle="1" w:styleId="OldAction">
    <w:name w:val="Old Action"/>
    <w:basedOn w:val="Normal"/>
    <w:next w:val="Normal"/>
    <w:link w:val="OldActionChar"/>
    <w:qFormat/>
    <w:rsid w:val="00AB2B4C"/>
    <w:pPr>
      <w:ind w:left="1440" w:hanging="1440"/>
    </w:pPr>
    <w:rPr>
      <w:i/>
    </w:rPr>
  </w:style>
  <w:style w:type="numbering" w:customStyle="1" w:styleId="Style1">
    <w:name w:val="Style1"/>
    <w:uiPriority w:val="99"/>
    <w:rsid w:val="00347FA7"/>
    <w:pPr>
      <w:numPr>
        <w:numId w:val="42"/>
      </w:numPr>
    </w:pPr>
  </w:style>
  <w:style w:type="character" w:customStyle="1" w:styleId="OldActionChar">
    <w:name w:val="Old Action Char"/>
    <w:basedOn w:val="NewActionChar"/>
    <w:link w:val="OldAction"/>
    <w:rsid w:val="00AB2B4C"/>
    <w:rPr>
      <w:i/>
    </w:rPr>
  </w:style>
</w:styles>
</file>

<file path=word/webSettings.xml><?xml version="1.0" encoding="utf-8"?>
<w:webSettings xmlns:r="http://schemas.openxmlformats.org/officeDocument/2006/relationships" xmlns:w="http://schemas.openxmlformats.org/wordprocessingml/2006/main">
  <w:divs>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1153</TotalTime>
  <Pages>7</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13957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McConnell</dc:creator>
  <cp:lastModifiedBy>Goodfellow, Graham</cp:lastModifiedBy>
  <cp:revision>19</cp:revision>
  <cp:lastPrinted>2012-11-29T18:11:00Z</cp:lastPrinted>
  <dcterms:created xsi:type="dcterms:W3CDTF">2012-11-29T09:18:00Z</dcterms:created>
  <dcterms:modified xsi:type="dcterms:W3CDTF">2013-01-29T16:20:00Z</dcterms:modified>
</cp:coreProperties>
</file>