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6" w:type="dxa"/>
        <w:tblInd w:w="108" w:type="dxa"/>
        <w:tblLayout w:type="fixed"/>
        <w:tblLook w:val="01E0" w:firstRow="1" w:lastRow="1" w:firstColumn="1" w:lastColumn="1" w:noHBand="0" w:noVBand="0"/>
      </w:tblPr>
      <w:tblGrid>
        <w:gridCol w:w="9526"/>
      </w:tblGrid>
      <w:tr w:rsidR="004126BF" w:rsidRPr="004126BF" w14:paraId="7AA4FBA6" w14:textId="77777777" w:rsidTr="004126BF">
        <w:tc>
          <w:tcPr>
            <w:tcW w:w="9526" w:type="dxa"/>
            <w:tcBorders>
              <w:top w:val="single" w:sz="4" w:space="0" w:color="auto"/>
              <w:left w:val="single" w:sz="4" w:space="0" w:color="auto"/>
              <w:bottom w:val="single" w:sz="4" w:space="0" w:color="auto"/>
              <w:right w:val="single" w:sz="4" w:space="0" w:color="auto"/>
            </w:tcBorders>
            <w:shd w:val="clear" w:color="auto" w:fill="99D6F0"/>
            <w:hideMark/>
          </w:tcPr>
          <w:p w14:paraId="417683A4" w14:textId="77777777" w:rsidR="004126BF" w:rsidRPr="004126BF" w:rsidRDefault="004126BF">
            <w:pPr>
              <w:spacing w:before="120" w:after="120"/>
              <w:rPr>
                <w:b/>
              </w:rPr>
            </w:pPr>
            <w:bookmarkStart w:id="0" w:name="_GoBack"/>
            <w:bookmarkEnd w:id="0"/>
            <w:r w:rsidRPr="004126BF">
              <w:rPr>
                <w:b/>
              </w:rPr>
              <w:t>Project Description and Services Offered:</w:t>
            </w:r>
          </w:p>
        </w:tc>
      </w:tr>
      <w:tr w:rsidR="004126BF" w14:paraId="7D5667EE" w14:textId="77777777" w:rsidTr="004126BF">
        <w:trPr>
          <w:trHeight w:val="58"/>
        </w:trPr>
        <w:tc>
          <w:tcPr>
            <w:tcW w:w="9526" w:type="dxa"/>
            <w:tcBorders>
              <w:top w:val="single" w:sz="4" w:space="0" w:color="auto"/>
              <w:left w:val="single" w:sz="4" w:space="0" w:color="auto"/>
              <w:bottom w:val="single" w:sz="4" w:space="0" w:color="auto"/>
              <w:right w:val="single" w:sz="4" w:space="0" w:color="auto"/>
            </w:tcBorders>
          </w:tcPr>
          <w:p w14:paraId="2656FDAD" w14:textId="77777777" w:rsidR="004126BF" w:rsidRDefault="004126BF">
            <w:pPr>
              <w:spacing w:before="120" w:after="120"/>
              <w:jc w:val="both"/>
              <w:rPr>
                <w:b/>
              </w:rPr>
            </w:pPr>
            <w:r>
              <w:rPr>
                <w:b/>
              </w:rPr>
              <w:t>Pipeline Hazards associated with Ground Movement and Construction Schemes:</w:t>
            </w:r>
          </w:p>
          <w:p w14:paraId="724E9EC0" w14:textId="77777777" w:rsidR="004126BF" w:rsidRDefault="004126BF">
            <w:pPr>
              <w:spacing w:before="120" w:after="120"/>
              <w:jc w:val="both"/>
            </w:pPr>
            <w:r>
              <w:t xml:space="preserve">SGN are in the process of reviewing their Pipeline Hazard governance documents and staff training.  SGN have identified potential mechanisms for knowledge loss; such as discontinuity in staff and changes in policy documents.  SGN have therefore invited DNV GL to provide advice, support and training in relation to Pipeline Hazard Identification, with reference to ground movement and construction scheme risk.  </w:t>
            </w:r>
          </w:p>
          <w:p w14:paraId="4D2D21D6" w14:textId="77777777" w:rsidR="004126BF" w:rsidRDefault="004126BF">
            <w:pPr>
              <w:spacing w:before="120" w:after="120"/>
              <w:jc w:val="both"/>
            </w:pPr>
            <w:r>
              <w:t xml:space="preserve">DNV GL have significant experience in investigating the many different mechanisms of Ground Movement and how it can directly affect the ongoing integrity and accessibility of critical pipelines.  DNV GL also have substantial experience in </w:t>
            </w:r>
            <w:r w:rsidRPr="00DB741E">
              <w:rPr>
                <w:highlight w:val="yellow"/>
              </w:rPr>
              <w:t>reviewing construction and infrastructure scheme designs and site works in progress to identify potential hazards to gas assets from ground movement, changes in loading conditions and from 3</w:t>
            </w:r>
            <w:r w:rsidRPr="00DB741E">
              <w:rPr>
                <w:highlight w:val="yellow"/>
                <w:vertAlign w:val="superscript"/>
              </w:rPr>
              <w:t>rd</w:t>
            </w:r>
            <w:r w:rsidRPr="00DB741E">
              <w:rPr>
                <w:highlight w:val="yellow"/>
              </w:rPr>
              <w:t xml:space="preserve"> party interactions.</w:t>
            </w:r>
            <w:r>
              <w:t xml:space="preserve"> </w:t>
            </w:r>
          </w:p>
          <w:p w14:paraId="5777F2C5" w14:textId="77777777" w:rsidR="004126BF" w:rsidRDefault="004126BF">
            <w:pPr>
              <w:spacing w:before="120" w:after="120"/>
              <w:jc w:val="both"/>
            </w:pPr>
            <w:r>
              <w:t xml:space="preserve">DNV GL are responding to a request by Ross Armstrong (Maintenance &amp; Transmission Learning Manager) for a high-level Hazard Awareness Presentation which could be used </w:t>
            </w:r>
            <w:r w:rsidRPr="00DB741E">
              <w:rPr>
                <w:highlight w:val="yellow"/>
              </w:rPr>
              <w:t>to introduce field staff and Asset Integrity Engineers to common pipeline hazards from ground movement and construction projects.</w:t>
            </w:r>
          </w:p>
          <w:p w14:paraId="2FA95C37" w14:textId="77777777" w:rsidR="004126BF" w:rsidRDefault="004126BF">
            <w:pPr>
              <w:spacing w:before="120" w:after="120"/>
              <w:jc w:val="both"/>
            </w:pPr>
            <w:r>
              <w:t>DNV GL have the pleasure of offering the following services for SGN’s consideration:</w:t>
            </w:r>
          </w:p>
          <w:p w14:paraId="0F436BFF" w14:textId="77777777" w:rsidR="004126BF" w:rsidRDefault="004126BF" w:rsidP="00F562CD">
            <w:pPr>
              <w:numPr>
                <w:ilvl w:val="0"/>
                <w:numId w:val="1"/>
              </w:numPr>
              <w:spacing w:before="120" w:after="120"/>
              <w:jc w:val="both"/>
            </w:pPr>
            <w:r>
              <w:rPr>
                <w:b/>
              </w:rPr>
              <w:t>Develop a Presentation on Pipeline Hazard Awareness and next steps</w:t>
            </w:r>
            <w:r>
              <w:t>:</w:t>
            </w:r>
          </w:p>
          <w:p w14:paraId="2892CA17" w14:textId="77777777" w:rsidR="004126BF" w:rsidRDefault="004126BF">
            <w:pPr>
              <w:spacing w:before="120" w:after="120"/>
              <w:jc w:val="both"/>
            </w:pPr>
            <w:r>
              <w:t>Prepare a PowerPoint Presentation and Course Materials.  (Price).</w:t>
            </w:r>
          </w:p>
          <w:p w14:paraId="225F8D87" w14:textId="77777777" w:rsidR="004126BF" w:rsidRDefault="004126BF">
            <w:pPr>
              <w:spacing w:before="120" w:after="120"/>
              <w:jc w:val="both"/>
            </w:pPr>
            <w:r>
              <w:t xml:space="preserve">DNV GL will use its expertise to develop a Presentation (maximum duration of 0.5 day) on Pipeline Hazard Identification relating to ground movement and construction/infrastructure schemes; which </w:t>
            </w:r>
            <w:r w:rsidRPr="00DB741E">
              <w:rPr>
                <w:highlight w:val="yellow"/>
              </w:rPr>
              <w:t>provides the candidates with a broad understanding of Pipeline Hazards, appreciation of risk and provides guidance on how to apply this knowledge in the field/on-site.  Direction on which legacy documents to follow and when to access additional help will be discussed.</w:t>
            </w:r>
            <w:r>
              <w:t xml:space="preserve">  </w:t>
            </w:r>
          </w:p>
          <w:p w14:paraId="46C53E39" w14:textId="77777777" w:rsidR="004126BF" w:rsidRDefault="004126BF">
            <w:pPr>
              <w:spacing w:before="120" w:after="120"/>
              <w:jc w:val="both"/>
            </w:pPr>
            <w:r>
              <w:t>The PowerPoint Presentation will cover the main topics and basic handouts will be provided.  The scope and topics for inclusion in the presentation will be discussed and agreed with SGN.</w:t>
            </w:r>
          </w:p>
          <w:p w14:paraId="17F0E3CE" w14:textId="77777777" w:rsidR="004126BF" w:rsidRDefault="004126BF" w:rsidP="00F562CD">
            <w:pPr>
              <w:numPr>
                <w:ilvl w:val="0"/>
                <w:numId w:val="1"/>
              </w:numPr>
              <w:spacing w:before="120" w:after="120"/>
              <w:jc w:val="both"/>
            </w:pPr>
            <w:r>
              <w:t>Pilot Presentations with workshop in Scotland and South England.</w:t>
            </w:r>
          </w:p>
          <w:p w14:paraId="0F601A2D" w14:textId="77777777" w:rsidR="004126BF" w:rsidRDefault="004126BF">
            <w:pPr>
              <w:spacing w:before="120" w:after="120"/>
              <w:jc w:val="both"/>
            </w:pPr>
            <w:r>
              <w:t>Deliver a Pilot Presentation and conduct a Workshop with SGN Representatives and adjust materials as required.  (Price).</w:t>
            </w:r>
          </w:p>
          <w:p w14:paraId="74D8D6A2" w14:textId="77777777" w:rsidR="004126BF" w:rsidRDefault="004126BF">
            <w:pPr>
              <w:spacing w:before="120" w:after="120"/>
              <w:jc w:val="both"/>
            </w:pPr>
            <w:r>
              <w:t>DNV GL will provide a Senior Geotechnical or Civil Engineer to deliver the Presentations to approximately 10 No. SGN representatives at a suitable venue in Scotland and in South England, provided or organised by SGN.  The DNV GL representative will then attend a workshop (assumed to be at the same or nearby venue) to review the content of the course and delivery, and feedback from delegates, with representatives from SGN.  DNV GL will endeavour to adjust content and/or delivery to meet the exact requirements of SGN if any areas for improvement are noted.  The task price includes the cost of materials as part of the presentation.  There is also an allowance for reasonably anticipated travel/subsistence expenses.</w:t>
            </w:r>
          </w:p>
          <w:p w14:paraId="3DAEFE16" w14:textId="77777777" w:rsidR="004126BF" w:rsidRDefault="004126BF">
            <w:pPr>
              <w:spacing w:before="120" w:after="120"/>
              <w:jc w:val="both"/>
            </w:pPr>
          </w:p>
        </w:tc>
      </w:tr>
      <w:tr w:rsidR="004126BF" w14:paraId="42E8F5F3" w14:textId="77777777" w:rsidTr="004126BF">
        <w:tc>
          <w:tcPr>
            <w:tcW w:w="9526" w:type="dxa"/>
            <w:tcBorders>
              <w:top w:val="single" w:sz="4" w:space="0" w:color="auto"/>
              <w:left w:val="single" w:sz="4" w:space="0" w:color="auto"/>
              <w:bottom w:val="single" w:sz="4" w:space="0" w:color="auto"/>
              <w:right w:val="single" w:sz="4" w:space="0" w:color="auto"/>
            </w:tcBorders>
            <w:shd w:val="clear" w:color="auto" w:fill="99D6F0"/>
            <w:hideMark/>
          </w:tcPr>
          <w:p w14:paraId="76DE22C6" w14:textId="77777777" w:rsidR="004126BF" w:rsidRDefault="004126BF">
            <w:pPr>
              <w:spacing w:before="120" w:after="120"/>
              <w:rPr>
                <w:b/>
              </w:rPr>
            </w:pPr>
            <w:r>
              <w:rPr>
                <w:b/>
              </w:rPr>
              <w:t xml:space="preserve">Pricing: </w:t>
            </w:r>
          </w:p>
        </w:tc>
      </w:tr>
      <w:tr w:rsidR="004126BF" w14:paraId="529E6759" w14:textId="77777777" w:rsidTr="004126BF">
        <w:tc>
          <w:tcPr>
            <w:tcW w:w="9526" w:type="dxa"/>
            <w:tcBorders>
              <w:top w:val="single" w:sz="4" w:space="0" w:color="auto"/>
              <w:left w:val="single" w:sz="4" w:space="0" w:color="auto"/>
              <w:bottom w:val="single" w:sz="4" w:space="0" w:color="auto"/>
              <w:right w:val="single" w:sz="4" w:space="0" w:color="auto"/>
            </w:tcBorders>
            <w:hideMark/>
          </w:tcPr>
          <w:p w14:paraId="7E303407" w14:textId="77777777" w:rsidR="004126BF" w:rsidRDefault="004126BF" w:rsidP="00F562CD">
            <w:pPr>
              <w:numPr>
                <w:ilvl w:val="0"/>
                <w:numId w:val="2"/>
              </w:numPr>
              <w:spacing w:before="120" w:after="120"/>
              <w:jc w:val="both"/>
            </w:pPr>
            <w:r>
              <w:t>Preparing Presentation Materials: Price</w:t>
            </w:r>
          </w:p>
          <w:p w14:paraId="1A48FF0F" w14:textId="77777777" w:rsidR="004126BF" w:rsidRDefault="004126BF" w:rsidP="00F562CD">
            <w:pPr>
              <w:numPr>
                <w:ilvl w:val="0"/>
                <w:numId w:val="2"/>
              </w:numPr>
              <w:spacing w:before="120" w:after="120"/>
              <w:jc w:val="both"/>
            </w:pPr>
            <w:r>
              <w:t>2 No. Presentations and Workshops: Price</w:t>
            </w:r>
          </w:p>
          <w:p w14:paraId="7D6DA881" w14:textId="77777777" w:rsidR="004126BF" w:rsidRDefault="004126BF">
            <w:pPr>
              <w:spacing w:before="120" w:after="120"/>
              <w:jc w:val="both"/>
            </w:pPr>
            <w:r>
              <w:t>These prices are based on best estimate using rates currently agreed with SGN.</w:t>
            </w:r>
          </w:p>
          <w:p w14:paraId="72E656B2" w14:textId="77777777" w:rsidR="004126BF" w:rsidRDefault="004126BF">
            <w:pPr>
              <w:spacing w:before="120" w:after="120"/>
              <w:jc w:val="both"/>
            </w:pPr>
            <w:r>
              <w:rPr>
                <w:color w:val="FF0000"/>
              </w:rPr>
              <w:t xml:space="preserve">Price </w:t>
            </w:r>
            <w:r>
              <w:t>should be allowed for the whole project (Fixed/</w:t>
            </w:r>
            <w:r>
              <w:rPr>
                <w:dstrike/>
              </w:rPr>
              <w:t>Time and Materials</w:t>
            </w:r>
            <w:r>
              <w:t>), assuming you retain DNV GL’s services for future training and the work is commissioned within our current Framework Agreement.  Any work commissioned outside of our current Framework Agreement would be subject to the newly agreed rates.</w:t>
            </w:r>
          </w:p>
          <w:p w14:paraId="0998D1FE" w14:textId="77777777" w:rsidR="004126BF" w:rsidRDefault="004126BF">
            <w:pPr>
              <w:spacing w:before="120" w:after="120"/>
              <w:jc w:val="both"/>
            </w:pPr>
            <w:r>
              <w:t>Where stated, the budget makes a small allowance for reasonably incurred expenses.</w:t>
            </w:r>
          </w:p>
          <w:p w14:paraId="46BCC355" w14:textId="77777777" w:rsidR="004126BF" w:rsidRDefault="004126BF">
            <w:pPr>
              <w:spacing w:before="120" w:after="120"/>
              <w:jc w:val="both"/>
            </w:pPr>
            <w:r>
              <w:t>The price for the undertaking of the services outlined above is quoted in pounds sterling and excludes V.A.T.</w:t>
            </w:r>
          </w:p>
        </w:tc>
      </w:tr>
    </w:tbl>
    <w:p w14:paraId="34E2AC87" w14:textId="49EFA435" w:rsidR="00DB741E" w:rsidRDefault="00DB741E" w:rsidP="00DB741E"/>
    <w:sectPr w:rsidR="00DB74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8DA1F" w14:textId="77777777" w:rsidR="00DB741E" w:rsidRDefault="00DB741E" w:rsidP="00DB741E">
      <w:r>
        <w:separator/>
      </w:r>
    </w:p>
  </w:endnote>
  <w:endnote w:type="continuationSeparator" w:id="0">
    <w:p w14:paraId="53374C55" w14:textId="77777777" w:rsidR="00DB741E" w:rsidRDefault="00DB741E" w:rsidP="00DB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E13C7" w14:textId="77777777" w:rsidR="00DB741E" w:rsidRDefault="00DB741E" w:rsidP="00DB741E">
      <w:r>
        <w:separator/>
      </w:r>
    </w:p>
  </w:footnote>
  <w:footnote w:type="continuationSeparator" w:id="0">
    <w:p w14:paraId="4581D632" w14:textId="77777777" w:rsidR="00DB741E" w:rsidRDefault="00DB741E" w:rsidP="00DB7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F551A"/>
    <w:multiLevelType w:val="multilevel"/>
    <w:tmpl w:val="D1E8553C"/>
    <w:lvl w:ilvl="0">
      <w:start w:val="1"/>
      <w:numFmt w:val="decimal"/>
      <w:lvlText w:val="%1."/>
      <w:lvlJc w:val="left"/>
      <w:pPr>
        <w:ind w:left="360" w:hanging="360"/>
      </w:pPr>
      <w:rPr>
        <w:color w:val="009FDA"/>
      </w:rPr>
    </w:lvl>
    <w:lvl w:ilvl="1">
      <w:start w:val="1"/>
      <w:numFmt w:val="decimal"/>
      <w:lvlText w:val="%1.%2."/>
      <w:lvlJc w:val="left"/>
      <w:pPr>
        <w:ind w:left="792" w:hanging="432"/>
      </w:pPr>
      <w:rPr>
        <w:color w:val="009FD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FE573C"/>
    <w:multiLevelType w:val="multilevel"/>
    <w:tmpl w:val="D1E8553C"/>
    <w:lvl w:ilvl="0">
      <w:start w:val="1"/>
      <w:numFmt w:val="decimal"/>
      <w:lvlText w:val="%1."/>
      <w:lvlJc w:val="left"/>
      <w:pPr>
        <w:ind w:left="360" w:hanging="360"/>
      </w:pPr>
      <w:rPr>
        <w:color w:val="009FDA"/>
      </w:rPr>
    </w:lvl>
    <w:lvl w:ilvl="1">
      <w:start w:val="1"/>
      <w:numFmt w:val="decimal"/>
      <w:lvlText w:val="%1.%2."/>
      <w:lvlJc w:val="left"/>
      <w:pPr>
        <w:ind w:left="792" w:hanging="432"/>
      </w:pPr>
      <w:rPr>
        <w:color w:val="009FD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BF"/>
    <w:rsid w:val="001B7518"/>
    <w:rsid w:val="004126BF"/>
    <w:rsid w:val="00D30E3D"/>
    <w:rsid w:val="00DB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BD55"/>
  <w15:chartTrackingRefBased/>
  <w15:docId w15:val="{2F97D273-492D-41E3-8EEF-4D46F973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6BF"/>
    <w:pPr>
      <w:spacing w:after="0" w:line="240" w:lineRule="auto"/>
    </w:pPr>
    <w:rPr>
      <w:rFonts w:ascii="Verdana" w:eastAsia="Times New Roman" w:hAnsi="Verdana"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41E"/>
    <w:pPr>
      <w:tabs>
        <w:tab w:val="center" w:pos="4513"/>
        <w:tab w:val="right" w:pos="9026"/>
      </w:tabs>
    </w:pPr>
  </w:style>
  <w:style w:type="character" w:customStyle="1" w:styleId="HeaderChar">
    <w:name w:val="Header Char"/>
    <w:basedOn w:val="DefaultParagraphFont"/>
    <w:link w:val="Header"/>
    <w:uiPriority w:val="99"/>
    <w:rsid w:val="00DB741E"/>
    <w:rPr>
      <w:rFonts w:ascii="Verdana" w:eastAsia="Times New Roman" w:hAnsi="Verdana" w:cs="Times New Roman"/>
      <w:sz w:val="18"/>
      <w:szCs w:val="20"/>
    </w:rPr>
  </w:style>
  <w:style w:type="paragraph" w:styleId="Footer">
    <w:name w:val="footer"/>
    <w:basedOn w:val="Normal"/>
    <w:link w:val="FooterChar"/>
    <w:uiPriority w:val="99"/>
    <w:unhideWhenUsed/>
    <w:rsid w:val="00DB741E"/>
    <w:pPr>
      <w:tabs>
        <w:tab w:val="center" w:pos="4513"/>
        <w:tab w:val="right" w:pos="9026"/>
      </w:tabs>
    </w:pPr>
  </w:style>
  <w:style w:type="character" w:customStyle="1" w:styleId="FooterChar">
    <w:name w:val="Footer Char"/>
    <w:basedOn w:val="DefaultParagraphFont"/>
    <w:link w:val="Footer"/>
    <w:uiPriority w:val="99"/>
    <w:rsid w:val="00DB741E"/>
    <w:rPr>
      <w:rFonts w:ascii="Verdana" w:eastAsia="Times New Roman" w:hAnsi="Verdana"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Ross</dc:creator>
  <cp:keywords/>
  <dc:description/>
  <cp:lastModifiedBy>Nikki Barker</cp:lastModifiedBy>
  <cp:revision>2</cp:revision>
  <dcterms:created xsi:type="dcterms:W3CDTF">2019-03-14T15:17:00Z</dcterms:created>
  <dcterms:modified xsi:type="dcterms:W3CDTF">2019-03-14T15:17:00Z</dcterms:modified>
</cp:coreProperties>
</file>