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45" w:rsidRPr="009D735F" w:rsidRDefault="004F4E45" w:rsidP="009D735F">
      <w:pPr>
        <w:ind w:left="540" w:right="1260"/>
        <w:jc w:val="center"/>
        <w:rPr>
          <w:b/>
          <w:sz w:val="28"/>
          <w:szCs w:val="28"/>
        </w:rPr>
      </w:pPr>
      <w:bookmarkStart w:id="0" w:name="_GoBack"/>
      <w:bookmarkEnd w:id="0"/>
      <w:r>
        <w:rPr>
          <w:b/>
          <w:sz w:val="28"/>
          <w:szCs w:val="28"/>
        </w:rPr>
        <w:t xml:space="preserve">Emergency Planning Work Group- Notes of Meeting held at </w:t>
      </w:r>
      <w:r w:rsidR="009D735F">
        <w:rPr>
          <w:b/>
          <w:sz w:val="28"/>
          <w:szCs w:val="28"/>
        </w:rPr>
        <w:t>Tebay</w:t>
      </w:r>
      <w:r>
        <w:rPr>
          <w:b/>
          <w:sz w:val="28"/>
          <w:szCs w:val="28"/>
        </w:rPr>
        <w:t xml:space="preserve"> on </w:t>
      </w:r>
      <w:r w:rsidR="00FA2125">
        <w:rPr>
          <w:b/>
          <w:sz w:val="28"/>
          <w:szCs w:val="28"/>
        </w:rPr>
        <w:t>2</w:t>
      </w:r>
      <w:r w:rsidR="00265592">
        <w:rPr>
          <w:b/>
          <w:sz w:val="28"/>
          <w:szCs w:val="28"/>
        </w:rPr>
        <w:t>6</w:t>
      </w:r>
      <w:r w:rsidR="008650DC" w:rsidRPr="009D735F">
        <w:rPr>
          <w:b/>
          <w:sz w:val="28"/>
          <w:szCs w:val="28"/>
          <w:vertAlign w:val="superscript"/>
        </w:rPr>
        <w:t>th</w:t>
      </w:r>
      <w:r w:rsidR="00265592">
        <w:rPr>
          <w:b/>
          <w:sz w:val="28"/>
          <w:szCs w:val="28"/>
        </w:rPr>
        <w:t xml:space="preserve"> </w:t>
      </w:r>
      <w:r w:rsidR="009D735F">
        <w:rPr>
          <w:b/>
          <w:sz w:val="28"/>
          <w:szCs w:val="28"/>
        </w:rPr>
        <w:t xml:space="preserve"> </w:t>
      </w:r>
      <w:r w:rsidR="00DD214C">
        <w:rPr>
          <w:b/>
          <w:sz w:val="28"/>
          <w:szCs w:val="28"/>
        </w:rPr>
        <w:t>January 2012</w:t>
      </w:r>
    </w:p>
    <w:p w:rsidR="009D735F" w:rsidRDefault="009D735F">
      <w:pPr>
        <w:rPr>
          <w:b/>
        </w:rPr>
      </w:pPr>
    </w:p>
    <w:p w:rsidR="004F4E45" w:rsidRDefault="004F4E45">
      <w:pPr>
        <w:rPr>
          <w:b/>
        </w:rPr>
      </w:pPr>
      <w:r>
        <w:rPr>
          <w:b/>
        </w:rPr>
        <w:t>Attendance:</w:t>
      </w:r>
    </w:p>
    <w:p w:rsidR="004F4E45" w:rsidRDefault="004F4E45">
      <w:pPr>
        <w:rPr>
          <w:b/>
          <w:sz w:val="16"/>
          <w:szCs w:val="16"/>
        </w:rPr>
      </w:pPr>
    </w:p>
    <w:p w:rsidR="00840B59" w:rsidRDefault="00840B59">
      <w:r>
        <w:t>Barry Dalus</w:t>
      </w:r>
      <w:r>
        <w:tab/>
      </w:r>
      <w:r>
        <w:tab/>
        <w:t>Northern Gas Networks (Chairman)</w:t>
      </w:r>
    </w:p>
    <w:p w:rsidR="009D735F" w:rsidRDefault="009D735F" w:rsidP="009D735F">
      <w:r>
        <w:t>R Armstrong</w:t>
      </w:r>
      <w:r>
        <w:tab/>
      </w:r>
      <w:r>
        <w:tab/>
        <w:t>Scotia Gas Networks</w:t>
      </w:r>
    </w:p>
    <w:p w:rsidR="00FA2125" w:rsidRDefault="00FA2125" w:rsidP="00FA2125">
      <w:r>
        <w:t>K McIntosh</w:t>
      </w:r>
      <w:r>
        <w:tab/>
      </w:r>
      <w:r>
        <w:tab/>
        <w:t>National Grid</w:t>
      </w:r>
      <w:r>
        <w:tab/>
      </w:r>
      <w:r>
        <w:tab/>
      </w:r>
    </w:p>
    <w:p w:rsidR="00FA2125" w:rsidRDefault="00FA2125" w:rsidP="009D735F">
      <w:r>
        <w:t>G Pailor</w:t>
      </w:r>
      <w:r>
        <w:tab/>
      </w:r>
      <w:r>
        <w:tab/>
        <w:t>SABIC UK</w:t>
      </w:r>
    </w:p>
    <w:p w:rsidR="00DD214C" w:rsidRDefault="00DD214C" w:rsidP="00DD214C">
      <w:r>
        <w:t>T Williams</w:t>
      </w:r>
      <w:r>
        <w:tab/>
      </w:r>
      <w:r>
        <w:tab/>
        <w:t>Total</w:t>
      </w:r>
    </w:p>
    <w:p w:rsidR="00DD214C" w:rsidRDefault="00DD214C" w:rsidP="00DD214C">
      <w:r>
        <w:t>A McCormick</w:t>
      </w:r>
      <w:r>
        <w:tab/>
      </w:r>
      <w:r>
        <w:tab/>
        <w:t>Shell UK</w:t>
      </w:r>
    </w:p>
    <w:p w:rsidR="00DD214C" w:rsidRDefault="00DD214C" w:rsidP="00DD214C">
      <w:r>
        <w:t>J Anstee de Mas</w:t>
      </w:r>
      <w:r>
        <w:tab/>
        <w:t>Exxonmobil</w:t>
      </w:r>
    </w:p>
    <w:p w:rsidR="00DD214C" w:rsidRDefault="00DD214C" w:rsidP="009D735F">
      <w:r>
        <w:t>M Du</w:t>
      </w:r>
      <w:r w:rsidR="00BF77DB">
        <w:t>r</w:t>
      </w:r>
      <w:r>
        <w:t>ant</w:t>
      </w:r>
      <w:r>
        <w:tab/>
      </w:r>
      <w:r>
        <w:tab/>
        <w:t>Exxonmobil</w:t>
      </w:r>
    </w:p>
    <w:p w:rsidR="008650DC" w:rsidRDefault="009D735F">
      <w:r>
        <w:t>J Haswell</w:t>
      </w:r>
      <w:r>
        <w:tab/>
      </w:r>
      <w:r>
        <w:tab/>
        <w:t>UKOPA</w:t>
      </w:r>
    </w:p>
    <w:p w:rsidR="00194C5F" w:rsidRDefault="00194C5F"/>
    <w:p w:rsidR="00194C5F" w:rsidRPr="00194C5F" w:rsidRDefault="00194C5F">
      <w:r>
        <w:t>Note:- J Anstee de Mas introduced M Durant as the new Exxonmo</w:t>
      </w:r>
      <w:r w:rsidR="00BF77DB">
        <w:t xml:space="preserve">bil representative. B Dalus </w:t>
      </w:r>
      <w:r>
        <w:t>thanked Jon for his work for the group, and welcomed Martin</w:t>
      </w:r>
      <w:r w:rsidR="00BF77DB">
        <w:t xml:space="preserve"> to the group</w:t>
      </w:r>
      <w:r>
        <w:t xml:space="preserve">. </w:t>
      </w:r>
    </w:p>
    <w:p w:rsidR="00C91942" w:rsidRDefault="00C91942" w:rsidP="0092586C"/>
    <w:p w:rsidR="00C91942" w:rsidRDefault="00C91942" w:rsidP="00A33551">
      <w:pPr>
        <w:numPr>
          <w:ilvl w:val="0"/>
          <w:numId w:val="2"/>
        </w:numPr>
        <w:ind w:left="993" w:hanging="993"/>
        <w:rPr>
          <w:b/>
        </w:rPr>
      </w:pPr>
      <w:r>
        <w:rPr>
          <w:b/>
        </w:rPr>
        <w:t>Notes and Actions of Previous Meeting</w:t>
      </w:r>
    </w:p>
    <w:p w:rsidR="00C91942" w:rsidRDefault="00C91942" w:rsidP="00C91942">
      <w:pPr>
        <w:ind w:left="993"/>
        <w:rPr>
          <w:b/>
        </w:rPr>
      </w:pPr>
    </w:p>
    <w:p w:rsidR="00C91942" w:rsidRDefault="00C91942" w:rsidP="00404AA0">
      <w:r>
        <w:t xml:space="preserve">The notes </w:t>
      </w:r>
      <w:r w:rsidR="00EB29D3">
        <w:t>of the</w:t>
      </w:r>
      <w:r w:rsidR="00DD214C">
        <w:t xml:space="preserve"> meeting held on 20</w:t>
      </w:r>
      <w:r w:rsidR="00FA2125" w:rsidRPr="00FA2125">
        <w:rPr>
          <w:vertAlign w:val="superscript"/>
        </w:rPr>
        <w:t>th</w:t>
      </w:r>
      <w:r w:rsidR="00DD214C">
        <w:t xml:space="preserve"> September</w:t>
      </w:r>
      <w:r>
        <w:t xml:space="preserve"> </w:t>
      </w:r>
      <w:r w:rsidR="00DD214C">
        <w:t xml:space="preserve">2011 </w:t>
      </w:r>
      <w:r>
        <w:t>were reviewed, agreed and the actions were updated.</w:t>
      </w:r>
    </w:p>
    <w:p w:rsidR="00126754" w:rsidRDefault="00126754" w:rsidP="00404AA0"/>
    <w:p w:rsidR="00126754" w:rsidRDefault="00126754" w:rsidP="00A33551">
      <w:pPr>
        <w:numPr>
          <w:ilvl w:val="0"/>
          <w:numId w:val="2"/>
        </w:numPr>
        <w:ind w:left="993" w:hanging="993"/>
        <w:rPr>
          <w:b/>
        </w:rPr>
      </w:pPr>
      <w:r>
        <w:rPr>
          <w:b/>
        </w:rPr>
        <w:t>PERO Course</w:t>
      </w:r>
    </w:p>
    <w:p w:rsidR="00B67EE9" w:rsidRDefault="00B67EE9" w:rsidP="00C475AE">
      <w:pPr>
        <w:tabs>
          <w:tab w:val="left" w:pos="0"/>
        </w:tabs>
        <w:rPr>
          <w:b/>
        </w:rPr>
      </w:pPr>
    </w:p>
    <w:p w:rsidR="00B36B25" w:rsidRDefault="00C12072" w:rsidP="00A33551">
      <w:pPr>
        <w:numPr>
          <w:ilvl w:val="1"/>
          <w:numId w:val="3"/>
        </w:numPr>
        <w:ind w:left="709" w:hanging="709"/>
      </w:pPr>
      <w:r>
        <w:t>Requirements for Future Courses</w:t>
      </w:r>
      <w:r w:rsidR="00C475AE">
        <w:t xml:space="preserve">  </w:t>
      </w:r>
    </w:p>
    <w:p w:rsidR="008C5FEF" w:rsidRDefault="008C5FEF" w:rsidP="008C5FEF">
      <w:pPr>
        <w:ind w:left="360"/>
      </w:pPr>
    </w:p>
    <w:p w:rsidR="00AE386E" w:rsidRDefault="00FA2125" w:rsidP="005C7D58">
      <w:pPr>
        <w:ind w:left="360"/>
      </w:pPr>
      <w:r>
        <w:t>T</w:t>
      </w:r>
      <w:r w:rsidR="0041705C">
        <w:t>he PERO course sch</w:t>
      </w:r>
      <w:r w:rsidR="00DD214C">
        <w:t>eduled for 12th</w:t>
      </w:r>
      <w:r w:rsidR="00CF3A45">
        <w:t>/13</w:t>
      </w:r>
      <w:r w:rsidR="00CF3A45" w:rsidRPr="00CF3A45">
        <w:rPr>
          <w:vertAlign w:val="superscript"/>
        </w:rPr>
        <w:t>th</w:t>
      </w:r>
      <w:r w:rsidR="00CF3A45">
        <w:t xml:space="preserve"> March 2012</w:t>
      </w:r>
      <w:r w:rsidR="00DD214C">
        <w:t xml:space="preserve"> is fully booked, and there is a current list of 11 further places required. It was agreed to ask P Jones to write out to UKOPA members requesting numbers for PERO courses in 2012, and drawing attention to the need for update training for those who have previously attended the course.  </w:t>
      </w:r>
      <w:r w:rsidR="00CF3A45">
        <w:t xml:space="preserve"> </w:t>
      </w:r>
    </w:p>
    <w:p w:rsidR="00AE386E" w:rsidRPr="005C7D58" w:rsidRDefault="00AE386E" w:rsidP="00AE386E">
      <w:pPr>
        <w:ind w:left="360"/>
        <w:jc w:val="right"/>
        <w:rPr>
          <w:b/>
        </w:rPr>
      </w:pPr>
      <w:r>
        <w:rPr>
          <w:b/>
        </w:rPr>
        <w:t>Action J Haswell</w:t>
      </w:r>
    </w:p>
    <w:p w:rsidR="00AE386E" w:rsidRDefault="00AE386E" w:rsidP="005C7D58">
      <w:pPr>
        <w:ind w:left="360"/>
      </w:pPr>
    </w:p>
    <w:p w:rsidR="00CF3A45" w:rsidRDefault="005C7D58" w:rsidP="005C7D58">
      <w:pPr>
        <w:ind w:left="360"/>
      </w:pPr>
      <w:r>
        <w:t xml:space="preserve">B Dalus </w:t>
      </w:r>
      <w:r w:rsidR="00DD214C">
        <w:t>stated that he will contact the newly appointed commercial manager of the FSC</w:t>
      </w:r>
      <w:r w:rsidR="00F05F33">
        <w:t>, Mark</w:t>
      </w:r>
      <w:r w:rsidR="00DD214C">
        <w:t xml:space="preserve"> Winder, </w:t>
      </w:r>
      <w:r w:rsidR="00F05F33">
        <w:t>to request</w:t>
      </w:r>
      <w:r w:rsidR="00FA2125">
        <w:t xml:space="preserve"> </w:t>
      </w:r>
      <w:r w:rsidR="00F05F33">
        <w:t xml:space="preserve">a further two </w:t>
      </w:r>
      <w:r w:rsidR="00DD214C">
        <w:t xml:space="preserve">course dates </w:t>
      </w:r>
      <w:r w:rsidR="00F05F33">
        <w:t xml:space="preserve">with the option for a third in 2012, </w:t>
      </w:r>
      <w:r w:rsidR="00DD214C">
        <w:t xml:space="preserve">and to negotiate the cost of future courses. </w:t>
      </w:r>
    </w:p>
    <w:p w:rsidR="00CF3A45" w:rsidRPr="005C7D58" w:rsidRDefault="00CF3A45" w:rsidP="00CF3A45">
      <w:pPr>
        <w:ind w:left="360"/>
        <w:jc w:val="right"/>
        <w:rPr>
          <w:b/>
        </w:rPr>
      </w:pPr>
      <w:r>
        <w:rPr>
          <w:b/>
        </w:rPr>
        <w:t>Action B Dalus</w:t>
      </w:r>
    </w:p>
    <w:p w:rsidR="00F05F33" w:rsidRDefault="00F05F33" w:rsidP="00F05F33">
      <w:pPr>
        <w:numPr>
          <w:ilvl w:val="1"/>
          <w:numId w:val="3"/>
        </w:numPr>
        <w:ind w:left="709" w:hanging="709"/>
      </w:pPr>
      <w:r>
        <w:t xml:space="preserve">Changes at the FSC </w:t>
      </w:r>
    </w:p>
    <w:p w:rsidR="00CF3A45" w:rsidRDefault="00CF3A45" w:rsidP="005C7D58">
      <w:pPr>
        <w:ind w:left="360"/>
      </w:pPr>
    </w:p>
    <w:p w:rsidR="008C5FEF" w:rsidRPr="005C7D58" w:rsidRDefault="00F05F33" w:rsidP="00F05F33">
      <w:pPr>
        <w:ind w:left="360"/>
        <w:rPr>
          <w:b/>
        </w:rPr>
      </w:pPr>
      <w:r>
        <w:t xml:space="preserve">K McIntosh reported that the FSC is undergoing of 30% reduction in staff, and may be sold </w:t>
      </w:r>
      <w:r w:rsidR="00BF77DB">
        <w:t>off to</w:t>
      </w:r>
      <w:r>
        <w:t xml:space="preserve"> operate as a commercial organisation. </w:t>
      </w:r>
      <w:r w:rsidR="00CF3A45">
        <w:t xml:space="preserve">It was </w:t>
      </w:r>
      <w:r>
        <w:t xml:space="preserve">agreed that </w:t>
      </w:r>
      <w:r w:rsidR="00BF77DB">
        <w:t>the</w:t>
      </w:r>
      <w:r>
        <w:t xml:space="preserve"> FSC currently offers </w:t>
      </w:r>
      <w:r w:rsidR="00BF77DB">
        <w:t>the</w:t>
      </w:r>
      <w:r>
        <w:t xml:space="preserve"> best facilities for emergency response training, and UKOPA would continue to use the FSC as acceptable arrangements are agreed. </w:t>
      </w:r>
    </w:p>
    <w:p w:rsidR="007902DF" w:rsidRDefault="00F05F33" w:rsidP="001E2E89">
      <w:pPr>
        <w:ind w:left="709" w:hanging="709"/>
      </w:pPr>
      <w:r>
        <w:lastRenderedPageBreak/>
        <w:t>2.3</w:t>
      </w:r>
      <w:r w:rsidR="001E2E89">
        <w:tab/>
      </w:r>
      <w:r w:rsidR="007902DF">
        <w:t>Feedback</w:t>
      </w:r>
    </w:p>
    <w:p w:rsidR="008C5FEF" w:rsidRDefault="008C5FEF" w:rsidP="008C5FEF">
      <w:pPr>
        <w:ind w:left="360"/>
      </w:pPr>
    </w:p>
    <w:p w:rsidR="007902DF" w:rsidRDefault="007902DF" w:rsidP="005C7D58">
      <w:pPr>
        <w:ind w:left="360"/>
      </w:pPr>
      <w:r>
        <w:t xml:space="preserve">B Dalus reported that feedback from recent courses </w:t>
      </w:r>
      <w:r w:rsidR="005C7D58">
        <w:t xml:space="preserve">continues to be very </w:t>
      </w:r>
      <w:r w:rsidR="00BF77DB">
        <w:t>positive,</w:t>
      </w:r>
      <w:r w:rsidR="00F05F33">
        <w:t xml:space="preserve"> all scores being 5/6. </w:t>
      </w:r>
      <w:r w:rsidR="00AE386E">
        <w:t xml:space="preserve"> </w:t>
      </w:r>
    </w:p>
    <w:p w:rsidR="002B7A0D" w:rsidRPr="007902DF" w:rsidRDefault="002B7A0D" w:rsidP="005C7D58">
      <w:pPr>
        <w:ind w:left="360"/>
        <w:rPr>
          <w:b/>
        </w:rPr>
      </w:pPr>
    </w:p>
    <w:p w:rsidR="002B7A0D" w:rsidRDefault="002B7A0D" w:rsidP="002B7A0D">
      <w:pPr>
        <w:ind w:left="709" w:hanging="709"/>
      </w:pPr>
      <w:r>
        <w:t>2.4</w:t>
      </w:r>
      <w:r>
        <w:tab/>
        <w:t>Future Courses</w:t>
      </w:r>
    </w:p>
    <w:p w:rsidR="002B7A0D" w:rsidRDefault="002B7A0D" w:rsidP="00612910">
      <w:pPr>
        <w:ind w:left="360"/>
      </w:pPr>
    </w:p>
    <w:p w:rsidR="00AE386E" w:rsidRDefault="00AE386E" w:rsidP="00AE386E">
      <w:pPr>
        <w:ind w:left="360"/>
      </w:pPr>
      <w:r>
        <w:t xml:space="preserve">B Dalus </w:t>
      </w:r>
      <w:r w:rsidR="00F05F33">
        <w:t xml:space="preserve">reported that following the discussion on succession planning, </w:t>
      </w:r>
      <w:r>
        <w:t xml:space="preserve">T Taylor and D Cullen had </w:t>
      </w:r>
      <w:r w:rsidR="00F05F33">
        <w:t xml:space="preserve">confirmed they were committed to supporting the course for the foreseeable future. </w:t>
      </w:r>
    </w:p>
    <w:p w:rsidR="00F05F33" w:rsidRDefault="00F05F33" w:rsidP="00AE386E">
      <w:pPr>
        <w:ind w:left="360"/>
      </w:pPr>
    </w:p>
    <w:p w:rsidR="005F6A48" w:rsidRDefault="00F05F33" w:rsidP="00194C5F">
      <w:pPr>
        <w:ind w:left="360"/>
      </w:pPr>
      <w:r>
        <w:t>The need to update the course material and format was considered. It was agreed that B Dalus would ask T Taylor and D Cullen for input regarding i) updating the course material to include details of more recent incidents (eg San Bruno, 2009, SNAM 2012)</w:t>
      </w:r>
      <w:r w:rsidR="00D5296F">
        <w:t xml:space="preserve">, ii) </w:t>
      </w:r>
      <w:r>
        <w:t>revising the emergency exercises and ii</w:t>
      </w:r>
      <w:r w:rsidR="00D5296F">
        <w:t>i</w:t>
      </w:r>
      <w:r>
        <w:t xml:space="preserve">) </w:t>
      </w:r>
      <w:r w:rsidR="00D5296F">
        <w:t>include fire demonstrations on the fire ground.</w:t>
      </w:r>
      <w:r w:rsidR="00300C67">
        <w:t xml:space="preserve"> In addition it was agreed that EPWG would continue to request UKOPA secretariat support for the administration and management of the PERO courses.</w:t>
      </w:r>
      <w:r w:rsidR="00D5296F">
        <w:t xml:space="preserve"> </w:t>
      </w:r>
    </w:p>
    <w:p w:rsidR="00C91942" w:rsidRPr="00DE338C" w:rsidRDefault="00D5296F" w:rsidP="00DE338C">
      <w:pPr>
        <w:ind w:left="360"/>
        <w:jc w:val="right"/>
        <w:rPr>
          <w:b/>
        </w:rPr>
      </w:pPr>
      <w:r>
        <w:rPr>
          <w:b/>
        </w:rPr>
        <w:t>Action B Dalus</w:t>
      </w:r>
    </w:p>
    <w:p w:rsidR="00C91942" w:rsidRDefault="00D5296F" w:rsidP="00A33551">
      <w:pPr>
        <w:numPr>
          <w:ilvl w:val="0"/>
          <w:numId w:val="2"/>
        </w:numPr>
        <w:ind w:left="993" w:hanging="993"/>
        <w:rPr>
          <w:b/>
        </w:rPr>
      </w:pPr>
      <w:r>
        <w:rPr>
          <w:b/>
        </w:rPr>
        <w:t>UKOPA Website</w:t>
      </w:r>
    </w:p>
    <w:p w:rsidR="004A67FE" w:rsidRDefault="004A67FE" w:rsidP="004A67FE">
      <w:pPr>
        <w:ind w:left="993"/>
        <w:rPr>
          <w:b/>
        </w:rPr>
      </w:pPr>
    </w:p>
    <w:p w:rsidR="00140CDF" w:rsidRDefault="00D5296F" w:rsidP="002B7A0D">
      <w:pPr>
        <w:ind w:left="426"/>
      </w:pPr>
      <w:r>
        <w:t xml:space="preserve">EPWG input to </w:t>
      </w:r>
      <w:r w:rsidR="002B7A0D">
        <w:t>the</w:t>
      </w:r>
      <w:r>
        <w:t xml:space="preserve"> new UKOPA </w:t>
      </w:r>
      <w:r w:rsidR="002B7A0D">
        <w:t>website</w:t>
      </w:r>
      <w:r>
        <w:t xml:space="preserve"> is complete. B Dalus agreed to lobby the UKOPA MC for the updated website to go live. The letter to </w:t>
      </w:r>
      <w:r w:rsidR="002B7A0D">
        <w:t>LAEPs advising</w:t>
      </w:r>
      <w:r>
        <w:t xml:space="preserve"> of </w:t>
      </w:r>
      <w:r w:rsidR="002B7A0D">
        <w:t>the</w:t>
      </w:r>
      <w:r>
        <w:t xml:space="preserve"> availability of EPWG documents on the preparation of emergency plans and carrying out </w:t>
      </w:r>
      <w:r w:rsidR="002B7A0D">
        <w:t>pipeline</w:t>
      </w:r>
      <w:r>
        <w:t xml:space="preserve"> emergency plan tests will be issued as soon </w:t>
      </w:r>
      <w:r w:rsidR="002B7A0D">
        <w:t>as the new website is available</w:t>
      </w:r>
      <w:r w:rsidR="00140CDF">
        <w:t>.</w:t>
      </w:r>
    </w:p>
    <w:p w:rsidR="00140CDF" w:rsidRDefault="00140CDF" w:rsidP="00140CDF">
      <w:pPr>
        <w:ind w:left="360"/>
        <w:jc w:val="right"/>
        <w:rPr>
          <w:b/>
        </w:rPr>
      </w:pPr>
      <w:r>
        <w:rPr>
          <w:b/>
        </w:rPr>
        <w:t>Action B Dalus</w:t>
      </w:r>
    </w:p>
    <w:p w:rsidR="002B7A0D" w:rsidRDefault="002B7A0D" w:rsidP="00140CDF">
      <w:pPr>
        <w:ind w:left="360"/>
        <w:jc w:val="right"/>
        <w:rPr>
          <w:b/>
        </w:rPr>
      </w:pPr>
    </w:p>
    <w:p w:rsidR="00140CDF" w:rsidRDefault="002B7A0D" w:rsidP="00194C5F">
      <w:pPr>
        <w:ind w:left="360"/>
      </w:pPr>
      <w:r w:rsidRPr="002B7A0D">
        <w:t xml:space="preserve">The </w:t>
      </w:r>
      <w:r>
        <w:t>contact list for LA EPUs was considered. K McIntosh agreed to supply the contact list used by National Grid UKT and UKD. P Jones will be asked to issue this to all UKOPA members to review and add any further contacts.</w:t>
      </w:r>
    </w:p>
    <w:p w:rsidR="002E7A19" w:rsidRPr="00194C5F" w:rsidRDefault="002B7A0D" w:rsidP="00194C5F">
      <w:pPr>
        <w:ind w:left="360"/>
        <w:jc w:val="right"/>
        <w:rPr>
          <w:b/>
        </w:rPr>
      </w:pPr>
      <w:r>
        <w:rPr>
          <w:b/>
        </w:rPr>
        <w:t>Action K McIntosh</w:t>
      </w:r>
    </w:p>
    <w:p w:rsidR="004F4DDF" w:rsidRDefault="002B7A0D" w:rsidP="00A33551">
      <w:pPr>
        <w:numPr>
          <w:ilvl w:val="0"/>
          <w:numId w:val="2"/>
        </w:numPr>
        <w:ind w:left="993" w:hanging="993"/>
        <w:rPr>
          <w:b/>
        </w:rPr>
      </w:pPr>
      <w:r>
        <w:rPr>
          <w:b/>
        </w:rPr>
        <w:t>National Environmental Strategy Group</w:t>
      </w:r>
    </w:p>
    <w:p w:rsidR="002B7A0D" w:rsidRDefault="002B7A0D" w:rsidP="001A5BBE">
      <w:pPr>
        <w:ind w:left="426"/>
      </w:pPr>
    </w:p>
    <w:p w:rsidR="002B7A0D" w:rsidRDefault="002B7A0D" w:rsidP="001A5BBE">
      <w:pPr>
        <w:ind w:left="426"/>
      </w:pPr>
      <w:r>
        <w:t xml:space="preserve">The National Environmental Strategy Group </w:t>
      </w:r>
      <w:r w:rsidR="00FF224C">
        <w:t xml:space="preserve">(NESG) </w:t>
      </w:r>
      <w:r>
        <w:t>is meeting on 9</w:t>
      </w:r>
      <w:r w:rsidRPr="002B7A0D">
        <w:rPr>
          <w:vertAlign w:val="superscript"/>
        </w:rPr>
        <w:t>th</w:t>
      </w:r>
      <w:r>
        <w:t xml:space="preserve"> </w:t>
      </w:r>
      <w:r w:rsidR="00FF224C">
        <w:t>February;</w:t>
      </w:r>
      <w:r>
        <w:t xml:space="preserve"> T Williams will attend for UKOPA. </w:t>
      </w:r>
    </w:p>
    <w:p w:rsidR="002B7A0D" w:rsidRDefault="002B7A0D" w:rsidP="001A5BBE">
      <w:pPr>
        <w:ind w:left="426"/>
      </w:pPr>
    </w:p>
    <w:p w:rsidR="002B7A0D" w:rsidRDefault="002B7A0D" w:rsidP="00C86068">
      <w:pPr>
        <w:ind w:left="426"/>
        <w:rPr>
          <w:color w:val="000000" w:themeColor="text1"/>
        </w:rPr>
      </w:pPr>
      <w:r w:rsidRPr="00C86068">
        <w:rPr>
          <w:color w:val="000000" w:themeColor="text1"/>
        </w:rPr>
        <w:t xml:space="preserve">B Dalus had arranged for a request from </w:t>
      </w:r>
      <w:r w:rsidR="00C86068" w:rsidRPr="00C86068">
        <w:rPr>
          <w:color w:val="000000" w:themeColor="text1"/>
        </w:rPr>
        <w:t>the</w:t>
      </w:r>
      <w:r w:rsidRPr="00C86068">
        <w:rPr>
          <w:color w:val="000000" w:themeColor="text1"/>
        </w:rPr>
        <w:t xml:space="preserve"> group </w:t>
      </w:r>
      <w:r w:rsidR="00C86068" w:rsidRPr="00C86068">
        <w:rPr>
          <w:color w:val="000000" w:themeColor="text1"/>
        </w:rPr>
        <w:t>Chairman</w:t>
      </w:r>
      <w:r w:rsidRPr="00C86068">
        <w:rPr>
          <w:color w:val="000000" w:themeColor="text1"/>
        </w:rPr>
        <w:t>,</w:t>
      </w:r>
      <w:r w:rsidR="00C86068" w:rsidRPr="00C86068">
        <w:rPr>
          <w:color w:val="000000" w:themeColor="text1"/>
        </w:rPr>
        <w:t xml:space="preserve"> Bruce McGlashan, for input into the development of </w:t>
      </w:r>
      <w:r w:rsidRPr="00C86068">
        <w:rPr>
          <w:color w:val="000000" w:themeColor="text1"/>
        </w:rPr>
        <w:t xml:space="preserve">an equipment sharing scheme </w:t>
      </w:r>
      <w:r w:rsidR="00C86068" w:rsidRPr="00C86068">
        <w:rPr>
          <w:color w:val="000000" w:themeColor="text1"/>
        </w:rPr>
        <w:t>for non-gas</w:t>
      </w:r>
      <w:r w:rsidRPr="00C86068">
        <w:rPr>
          <w:color w:val="000000" w:themeColor="text1"/>
        </w:rPr>
        <w:t xml:space="preserve"> operators.</w:t>
      </w:r>
      <w:r w:rsidR="00C86068" w:rsidRPr="00C86068">
        <w:rPr>
          <w:color w:val="000000" w:themeColor="text1"/>
        </w:rPr>
        <w:t xml:space="preserve"> </w:t>
      </w:r>
      <w:r w:rsidRPr="00C86068">
        <w:rPr>
          <w:color w:val="000000" w:themeColor="text1"/>
        </w:rPr>
        <w:t xml:space="preserve">The  FRS are keen to explore how they can  work </w:t>
      </w:r>
      <w:r w:rsidR="00C86068" w:rsidRPr="00C86068">
        <w:rPr>
          <w:color w:val="000000" w:themeColor="text1"/>
        </w:rPr>
        <w:t>with 3rd parties, to</w:t>
      </w:r>
      <w:r w:rsidRPr="00C86068">
        <w:rPr>
          <w:color w:val="000000" w:themeColor="text1"/>
        </w:rPr>
        <w:t xml:space="preserve"> better use the equipment/FRS capability and link this to other responders capabilities/equipment e.g. other Government Agencies, Operators etc.</w:t>
      </w:r>
      <w:r w:rsidR="00C86068">
        <w:rPr>
          <w:color w:val="000000" w:themeColor="text1"/>
        </w:rPr>
        <w:t xml:space="preserve"> EPWG supports this initiative. </w:t>
      </w:r>
      <w:r w:rsidR="00FF224C">
        <w:rPr>
          <w:color w:val="000000" w:themeColor="text1"/>
        </w:rPr>
        <w:t>T Williams will provide this feedback to the NESG, and request details of further information which can be circulated to UKOPA.</w:t>
      </w:r>
    </w:p>
    <w:p w:rsidR="003C667D" w:rsidRPr="005C7D58" w:rsidRDefault="003C667D" w:rsidP="00194C5F">
      <w:pPr>
        <w:jc w:val="right"/>
        <w:rPr>
          <w:b/>
        </w:rPr>
      </w:pPr>
      <w:r>
        <w:rPr>
          <w:b/>
        </w:rPr>
        <w:t>Action T Williams</w:t>
      </w:r>
    </w:p>
    <w:p w:rsidR="003C667D" w:rsidRDefault="003C667D" w:rsidP="00C86068">
      <w:pPr>
        <w:ind w:left="426"/>
        <w:rPr>
          <w:color w:val="000000" w:themeColor="text1"/>
        </w:rPr>
      </w:pPr>
    </w:p>
    <w:p w:rsidR="00C86068" w:rsidRDefault="00C86068" w:rsidP="00C86068">
      <w:pPr>
        <w:ind w:left="426"/>
        <w:rPr>
          <w:color w:val="000000" w:themeColor="text1"/>
        </w:rPr>
      </w:pPr>
      <w:r>
        <w:rPr>
          <w:color w:val="000000" w:themeColor="text1"/>
        </w:rPr>
        <w:lastRenderedPageBreak/>
        <w:t xml:space="preserve">The availability of information relating to emergency spares, and the wider issue of the emergency response services used by operators were discussed. </w:t>
      </w:r>
      <w:r w:rsidR="00FF224C">
        <w:rPr>
          <w:color w:val="000000" w:themeColor="text1"/>
        </w:rPr>
        <w:t>It was noted that operators are not generally in a position to make their emergency spares and equipment available to 3</w:t>
      </w:r>
      <w:r w:rsidR="00FF224C" w:rsidRPr="00FF224C">
        <w:rPr>
          <w:color w:val="000000" w:themeColor="text1"/>
          <w:vertAlign w:val="superscript"/>
        </w:rPr>
        <w:t>rd</w:t>
      </w:r>
      <w:r w:rsidR="00FF224C">
        <w:rPr>
          <w:color w:val="000000" w:themeColor="text1"/>
        </w:rPr>
        <w:t xml:space="preserve"> parties. </w:t>
      </w:r>
      <w:r>
        <w:rPr>
          <w:color w:val="000000" w:themeColor="text1"/>
        </w:rPr>
        <w:t>It was agreed that relevant information should be included on the UKOPA website</w:t>
      </w:r>
      <w:r w:rsidR="00FF224C">
        <w:rPr>
          <w:color w:val="000000" w:themeColor="text1"/>
        </w:rPr>
        <w:t>.</w:t>
      </w:r>
      <w:r>
        <w:rPr>
          <w:color w:val="000000" w:themeColor="text1"/>
        </w:rPr>
        <w:t xml:space="preserve">  It was agreed that the EPWG should review relevant information previously obtained, and request information on the service providers used by UKOPA members</w:t>
      </w:r>
      <w:r w:rsidR="00FF224C">
        <w:rPr>
          <w:color w:val="000000" w:themeColor="text1"/>
        </w:rPr>
        <w:t xml:space="preserve">, and any memoranda or understanding in place with other organisation (eg water industry) for support in </w:t>
      </w:r>
      <w:r w:rsidR="004D1781">
        <w:rPr>
          <w:color w:val="000000" w:themeColor="text1"/>
        </w:rPr>
        <w:t>the</w:t>
      </w:r>
      <w:r w:rsidR="00FF224C">
        <w:rPr>
          <w:color w:val="000000" w:themeColor="text1"/>
        </w:rPr>
        <w:t xml:space="preserve"> event of an incident. </w:t>
      </w:r>
      <w:r>
        <w:rPr>
          <w:color w:val="000000" w:themeColor="text1"/>
        </w:rPr>
        <w:t xml:space="preserve"> J Haswell to organise a request to UKOPA members via P Jones, and to obtain and circulate previous information:-</w:t>
      </w:r>
    </w:p>
    <w:p w:rsidR="00C86068" w:rsidRDefault="00C86068" w:rsidP="00C86068">
      <w:pPr>
        <w:ind w:left="426"/>
        <w:rPr>
          <w:color w:val="000000" w:themeColor="text1"/>
        </w:rPr>
      </w:pPr>
    </w:p>
    <w:p w:rsidR="00C86068" w:rsidRDefault="00C86068" w:rsidP="00C86068">
      <w:pPr>
        <w:numPr>
          <w:ilvl w:val="0"/>
          <w:numId w:val="6"/>
        </w:numPr>
        <w:rPr>
          <w:color w:val="000000" w:themeColor="text1"/>
        </w:rPr>
      </w:pPr>
      <w:r>
        <w:rPr>
          <w:color w:val="000000" w:themeColor="text1"/>
        </w:rPr>
        <w:t>Presentation on services by the Pipelines Maintenance Centre,  Ambergate</w:t>
      </w:r>
    </w:p>
    <w:p w:rsidR="00C86068" w:rsidRPr="00194C5F" w:rsidRDefault="00C86068" w:rsidP="00C86068">
      <w:pPr>
        <w:numPr>
          <w:ilvl w:val="0"/>
          <w:numId w:val="6"/>
        </w:numPr>
        <w:rPr>
          <w:color w:val="000000" w:themeColor="text1"/>
        </w:rPr>
      </w:pPr>
      <w:r>
        <w:rPr>
          <w:color w:val="000000" w:themeColor="text1"/>
        </w:rPr>
        <w:t>List of emergency equipment held by UKOPA members.</w:t>
      </w:r>
    </w:p>
    <w:p w:rsidR="00C86068" w:rsidRDefault="002B7A0D" w:rsidP="00C86068">
      <w:pPr>
        <w:ind w:left="360"/>
        <w:jc w:val="right"/>
        <w:rPr>
          <w:b/>
        </w:rPr>
      </w:pPr>
      <w:r>
        <w:rPr>
          <w:color w:val="1F497D"/>
        </w:rPr>
        <w:t> </w:t>
      </w:r>
      <w:r w:rsidR="00C86068">
        <w:rPr>
          <w:b/>
        </w:rPr>
        <w:t>Action J Haswell</w:t>
      </w:r>
    </w:p>
    <w:p w:rsidR="002B7A0D" w:rsidRDefault="002B7A0D" w:rsidP="00C86068"/>
    <w:p w:rsidR="00E41CCC" w:rsidRDefault="00FF224C" w:rsidP="00A33551">
      <w:pPr>
        <w:numPr>
          <w:ilvl w:val="0"/>
          <w:numId w:val="2"/>
        </w:numPr>
        <w:ind w:left="993" w:hanging="993"/>
        <w:rPr>
          <w:b/>
        </w:rPr>
      </w:pPr>
      <w:r>
        <w:rPr>
          <w:b/>
        </w:rPr>
        <w:t xml:space="preserve">CAPEPLG </w:t>
      </w:r>
    </w:p>
    <w:p w:rsidR="00823D1B" w:rsidRDefault="00823D1B" w:rsidP="00823D1B">
      <w:pPr>
        <w:ind w:left="993"/>
        <w:rPr>
          <w:b/>
        </w:rPr>
      </w:pPr>
    </w:p>
    <w:p w:rsidR="00FF224C" w:rsidRPr="00194C5F" w:rsidRDefault="00FF224C" w:rsidP="00194C5F">
      <w:pPr>
        <w:pStyle w:val="Title"/>
        <w:ind w:left="426"/>
        <w:jc w:val="left"/>
        <w:rPr>
          <w:b w:val="0"/>
        </w:rPr>
      </w:pPr>
      <w:r w:rsidRPr="00FF224C">
        <w:rPr>
          <w:b w:val="0"/>
        </w:rPr>
        <w:t>K McIntosh reported that the CAPEPLG h</w:t>
      </w:r>
      <w:r>
        <w:rPr>
          <w:b w:val="0"/>
        </w:rPr>
        <w:t>as been reinstated, and as the U</w:t>
      </w:r>
      <w:r w:rsidRPr="00FF224C">
        <w:rPr>
          <w:b w:val="0"/>
        </w:rPr>
        <w:t>KOPA representative he has received a document entitled Competent Authority Guidance for Inspectors on Emergency Arrangements for COMAH Establishments</w:t>
      </w:r>
      <w:r>
        <w:rPr>
          <w:b w:val="0"/>
        </w:rPr>
        <w:t xml:space="preserve"> for comment. (document circulated with agenda). The document was considered to be a comprehensive and useful document for inspectors which would provide assistance to operators in preparation for inspection visits</w:t>
      </w:r>
      <w:r w:rsidR="003C667D">
        <w:rPr>
          <w:b w:val="0"/>
        </w:rPr>
        <w:t>, and in addition contains</w:t>
      </w:r>
      <w:r>
        <w:rPr>
          <w:b w:val="0"/>
        </w:rPr>
        <w:t xml:space="preserve"> material which is relevant to pipelines.</w:t>
      </w:r>
      <w:r w:rsidR="003C667D">
        <w:rPr>
          <w:b w:val="0"/>
        </w:rPr>
        <w:t xml:space="preserve"> K McIntosh will provide this feedback to CAPEPLG.</w:t>
      </w:r>
    </w:p>
    <w:p w:rsidR="003C667D" w:rsidRDefault="003C667D" w:rsidP="003C667D">
      <w:pPr>
        <w:ind w:left="360"/>
        <w:jc w:val="right"/>
        <w:rPr>
          <w:b/>
        </w:rPr>
      </w:pPr>
      <w:r>
        <w:rPr>
          <w:color w:val="1F497D"/>
        </w:rPr>
        <w:t> </w:t>
      </w:r>
      <w:r>
        <w:rPr>
          <w:b/>
        </w:rPr>
        <w:t>Action K McIntosh</w:t>
      </w:r>
    </w:p>
    <w:p w:rsidR="003C667D" w:rsidRDefault="003C667D" w:rsidP="003C667D">
      <w:pPr>
        <w:numPr>
          <w:ilvl w:val="0"/>
          <w:numId w:val="2"/>
        </w:numPr>
        <w:ind w:left="993" w:hanging="993"/>
        <w:rPr>
          <w:b/>
        </w:rPr>
      </w:pPr>
      <w:r w:rsidRPr="003C667D">
        <w:rPr>
          <w:b/>
        </w:rPr>
        <w:t>Review of Post-Exercise Reports</w:t>
      </w:r>
      <w:r w:rsidR="00823D1B">
        <w:rPr>
          <w:b/>
        </w:rPr>
        <w:t xml:space="preserve"> (S</w:t>
      </w:r>
      <w:r>
        <w:rPr>
          <w:b/>
        </w:rPr>
        <w:t>tanding Item)</w:t>
      </w:r>
    </w:p>
    <w:p w:rsidR="00823D1B" w:rsidRPr="003C667D" w:rsidRDefault="00823D1B" w:rsidP="00823D1B">
      <w:pPr>
        <w:ind w:left="993"/>
        <w:rPr>
          <w:b/>
        </w:rPr>
      </w:pPr>
    </w:p>
    <w:p w:rsidR="003C667D" w:rsidRDefault="003C667D" w:rsidP="003C667D">
      <w:pPr>
        <w:ind w:left="360"/>
      </w:pPr>
      <w:r>
        <w:t>M Durant reported that Exonmobil had carried out an emergency exercise following an internal reorganisation. He agreed to share the findings (which related to internal arrangements) of the post exercise report at a future meeting.</w:t>
      </w:r>
    </w:p>
    <w:p w:rsidR="003C667D" w:rsidRDefault="003C667D" w:rsidP="003C667D">
      <w:pPr>
        <w:ind w:left="360"/>
        <w:jc w:val="right"/>
        <w:rPr>
          <w:b/>
        </w:rPr>
      </w:pPr>
      <w:r>
        <w:rPr>
          <w:color w:val="1F497D"/>
        </w:rPr>
        <w:t> </w:t>
      </w:r>
      <w:r>
        <w:rPr>
          <w:b/>
        </w:rPr>
        <w:t>Action M Durant</w:t>
      </w:r>
    </w:p>
    <w:p w:rsidR="00D85C8D" w:rsidRPr="005D75A3" w:rsidRDefault="00D85C8D" w:rsidP="00FA5C69">
      <w:pPr>
        <w:rPr>
          <w:b/>
        </w:rPr>
      </w:pPr>
    </w:p>
    <w:p w:rsidR="00CF6B4C" w:rsidRDefault="00CD4099" w:rsidP="003C667D">
      <w:pPr>
        <w:numPr>
          <w:ilvl w:val="0"/>
          <w:numId w:val="2"/>
        </w:numPr>
        <w:ind w:left="709" w:hanging="709"/>
        <w:rPr>
          <w:b/>
        </w:rPr>
      </w:pPr>
      <w:r>
        <w:rPr>
          <w:b/>
        </w:rPr>
        <w:t>AOB</w:t>
      </w:r>
    </w:p>
    <w:p w:rsidR="00194C5F" w:rsidRDefault="00194C5F" w:rsidP="00194C5F">
      <w:pPr>
        <w:ind w:left="709"/>
        <w:rPr>
          <w:b/>
        </w:rPr>
      </w:pPr>
    </w:p>
    <w:p w:rsidR="003C667D" w:rsidRDefault="003C667D" w:rsidP="003C667D">
      <w:r w:rsidRPr="003C667D">
        <w:t>EPWG will seek to ensure UKOPA investigates and if appropriate is represented on ant government committee looking at critical national infra</w:t>
      </w:r>
      <w:r>
        <w:t xml:space="preserve">structure via the Civil Contingencies Secretariat. </w:t>
      </w:r>
      <w:r w:rsidRPr="003C667D">
        <w:t xml:space="preserve"> </w:t>
      </w:r>
    </w:p>
    <w:p w:rsidR="0069427D" w:rsidRDefault="0069427D" w:rsidP="003C667D"/>
    <w:p w:rsidR="00B366A6" w:rsidRDefault="004D1781" w:rsidP="003C667D">
      <w:r>
        <w:t>G Pailor proposed that EPWG should consider holding a UKOPA workshop on emergency plans and procedures (similar to the Risk Assessment Workshop held in 2011</w:t>
      </w:r>
      <w:r w:rsidR="00B366A6">
        <w:t>). This proposal was supported.</w:t>
      </w:r>
    </w:p>
    <w:p w:rsidR="004D1781" w:rsidRDefault="004D1781" w:rsidP="003C667D">
      <w:r>
        <w:t xml:space="preserve"> </w:t>
      </w:r>
    </w:p>
    <w:p w:rsidR="0069427D" w:rsidRDefault="0069427D" w:rsidP="003C667D">
      <w:r>
        <w:t>B Dalus noted that the update on the proposed amendments to PSR issued by HSE indicated the next review will be 2017.</w:t>
      </w:r>
    </w:p>
    <w:p w:rsidR="0069427D" w:rsidRDefault="0069427D" w:rsidP="003C667D">
      <w:r>
        <w:t xml:space="preserve"> </w:t>
      </w:r>
    </w:p>
    <w:p w:rsidR="0069427D" w:rsidRDefault="0069427D" w:rsidP="003C667D">
      <w:r>
        <w:lastRenderedPageBreak/>
        <w:t xml:space="preserve">R Armstrong drew the EPWG attention to the standards BS 25999 – Business Continuity, and </w:t>
      </w:r>
      <w:r w:rsidR="00194C5F">
        <w:t>the</w:t>
      </w:r>
      <w:r>
        <w:t xml:space="preserve"> related document PD 25666 on exercising and testing for continuity and contingency programmes. He noted that SGN is planning to obtain accreditation to the standard BS 25999 (ISBMN no 9780580764783).</w:t>
      </w:r>
    </w:p>
    <w:p w:rsidR="0069427D" w:rsidRDefault="0069427D" w:rsidP="003C667D"/>
    <w:p w:rsidR="003C667D" w:rsidRDefault="003C667D" w:rsidP="003C667D">
      <w:r>
        <w:t xml:space="preserve">Update for UKOPA Meeting </w:t>
      </w:r>
      <w:r w:rsidR="00300C67">
        <w:t>– J</w:t>
      </w:r>
      <w:r w:rsidR="00020B4D">
        <w:t xml:space="preserve"> Haswell to prepare draft for development and presentation by B Dalus.</w:t>
      </w:r>
      <w:r w:rsidR="00300C67">
        <w:t xml:space="preserve"> This to include requirements for future PERO courses including refresher training, and the need for continued support for UKOPA by P Jones for course administration and management </w:t>
      </w:r>
    </w:p>
    <w:p w:rsidR="00823D1B" w:rsidRPr="003C667D" w:rsidRDefault="00823D1B" w:rsidP="003C667D"/>
    <w:p w:rsidR="00020B4D" w:rsidRDefault="00020B4D" w:rsidP="00020B4D">
      <w:pPr>
        <w:ind w:left="360"/>
        <w:jc w:val="right"/>
        <w:rPr>
          <w:b/>
        </w:rPr>
      </w:pPr>
      <w:r>
        <w:rPr>
          <w:color w:val="1F497D"/>
        </w:rPr>
        <w:t> </w:t>
      </w:r>
      <w:r>
        <w:rPr>
          <w:b/>
        </w:rPr>
        <w:t>Action B Dalus/J Haswell</w:t>
      </w:r>
    </w:p>
    <w:p w:rsidR="00AF3231" w:rsidRPr="00823D1B" w:rsidRDefault="00823D1B" w:rsidP="00823D1B">
      <w:r w:rsidRPr="00823D1B">
        <w:t>J A</w:t>
      </w:r>
      <w:r>
        <w:t>nstee de Mas briefed EPWG on the</w:t>
      </w:r>
      <w:r w:rsidRPr="00823D1B">
        <w:t xml:space="preserve"> recent gas incident, SNAM, Italy. He agreed to provide the</w:t>
      </w:r>
      <w:r>
        <w:t xml:space="preserve"> i</w:t>
      </w:r>
      <w:r w:rsidRPr="00823D1B">
        <w:t>nformation to T Taylor for use at the PERO course.</w:t>
      </w:r>
    </w:p>
    <w:p w:rsidR="00823D1B" w:rsidRPr="00194C5F" w:rsidRDefault="00823D1B" w:rsidP="00823D1B">
      <w:pPr>
        <w:ind w:left="360"/>
        <w:jc w:val="right"/>
        <w:rPr>
          <w:b/>
        </w:rPr>
      </w:pPr>
      <w:r w:rsidRPr="00194C5F">
        <w:rPr>
          <w:b/>
          <w:color w:val="1F497D"/>
        </w:rPr>
        <w:t> </w:t>
      </w:r>
      <w:r w:rsidRPr="00194C5F">
        <w:rPr>
          <w:b/>
        </w:rPr>
        <w:t>Action J Anstee de Mas</w:t>
      </w:r>
    </w:p>
    <w:p w:rsidR="00823D1B" w:rsidRPr="00AF3231" w:rsidRDefault="00823D1B" w:rsidP="00823D1B">
      <w:pPr>
        <w:rPr>
          <w:b/>
        </w:rPr>
      </w:pPr>
    </w:p>
    <w:p w:rsidR="004347E2" w:rsidRDefault="0027018F" w:rsidP="00A33551">
      <w:pPr>
        <w:numPr>
          <w:ilvl w:val="0"/>
          <w:numId w:val="2"/>
        </w:numPr>
        <w:ind w:left="709" w:hanging="709"/>
        <w:rPr>
          <w:b/>
        </w:rPr>
      </w:pPr>
      <w:r w:rsidRPr="00257D2B">
        <w:rPr>
          <w:b/>
        </w:rPr>
        <w:t xml:space="preserve">Review of </w:t>
      </w:r>
      <w:r w:rsidR="004347E2">
        <w:rPr>
          <w:b/>
        </w:rPr>
        <w:t>EPWG Actions</w:t>
      </w:r>
    </w:p>
    <w:p w:rsidR="00CF6245" w:rsidRDefault="00CF6245"/>
    <w:p w:rsidR="00B51D58" w:rsidRDefault="00101971">
      <w:r>
        <w:t xml:space="preserve">The </w:t>
      </w:r>
      <w:r w:rsidR="00257D2B">
        <w:t xml:space="preserve">status of </w:t>
      </w:r>
      <w:r w:rsidR="0027018F">
        <w:t xml:space="preserve">EPWG </w:t>
      </w:r>
      <w:r w:rsidR="005F1DD5">
        <w:t>actions</w:t>
      </w:r>
      <w:r>
        <w:t xml:space="preserve"> </w:t>
      </w:r>
      <w:r w:rsidR="00257D2B">
        <w:t>is summarised</w:t>
      </w:r>
      <w:r w:rsidR="004347E2">
        <w:t xml:space="preserve"> as follows:-</w:t>
      </w:r>
    </w:p>
    <w:p w:rsidR="00257D2B" w:rsidRDefault="00257D2B" w:rsidP="00012AA5">
      <w:pPr>
        <w:rPr>
          <w:b/>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3554"/>
        <w:gridCol w:w="1133"/>
        <w:gridCol w:w="994"/>
        <w:gridCol w:w="3563"/>
      </w:tblGrid>
      <w:tr w:rsidR="00257D2B" w:rsidTr="00362506">
        <w:trPr>
          <w:trHeight w:val="540"/>
          <w:tblHeader/>
        </w:trPr>
        <w:tc>
          <w:tcPr>
            <w:tcW w:w="5000" w:type="pct"/>
            <w:gridSpan w:val="5"/>
          </w:tcPr>
          <w:p w:rsidR="00257D2B" w:rsidRPr="008C7DCA" w:rsidRDefault="00257D2B" w:rsidP="00216EA3">
            <w:pPr>
              <w:spacing w:beforeLines="60" w:before="144" w:afterLines="60" w:after="144"/>
              <w:jc w:val="center"/>
              <w:rPr>
                <w:rFonts w:ascii="Verdana" w:hAnsi="Verdana"/>
                <w:b/>
                <w:sz w:val="20"/>
                <w:szCs w:val="20"/>
              </w:rPr>
            </w:pPr>
            <w:r>
              <w:rPr>
                <w:rFonts w:ascii="Verdana" w:hAnsi="Verdana"/>
                <w:b/>
                <w:sz w:val="20"/>
                <w:szCs w:val="20"/>
              </w:rPr>
              <w:t xml:space="preserve">EPWG </w:t>
            </w:r>
            <w:r w:rsidRPr="008C7DCA">
              <w:rPr>
                <w:rFonts w:ascii="Verdana" w:hAnsi="Verdana"/>
                <w:b/>
                <w:sz w:val="20"/>
                <w:szCs w:val="20"/>
              </w:rPr>
              <w:t>Action</w:t>
            </w:r>
            <w:r>
              <w:rPr>
                <w:rFonts w:ascii="Verdana" w:hAnsi="Verdana"/>
                <w:b/>
                <w:sz w:val="20"/>
                <w:szCs w:val="20"/>
              </w:rPr>
              <w:t xml:space="preserve"> Summary </w:t>
            </w:r>
            <w:r w:rsidR="00172128">
              <w:rPr>
                <w:rFonts w:ascii="Verdana" w:hAnsi="Verdana"/>
                <w:b/>
                <w:sz w:val="20"/>
                <w:szCs w:val="20"/>
              </w:rPr>
              <w:t>2</w:t>
            </w:r>
            <w:r w:rsidR="00194C5F">
              <w:rPr>
                <w:rFonts w:ascii="Verdana" w:hAnsi="Verdana"/>
                <w:b/>
                <w:sz w:val="20"/>
                <w:szCs w:val="20"/>
              </w:rPr>
              <w:t>6</w:t>
            </w:r>
            <w:r w:rsidR="004A67FE" w:rsidRPr="004A67FE">
              <w:rPr>
                <w:rFonts w:ascii="Verdana" w:hAnsi="Verdana"/>
                <w:b/>
                <w:sz w:val="20"/>
                <w:szCs w:val="20"/>
                <w:vertAlign w:val="superscript"/>
              </w:rPr>
              <w:t>th</w:t>
            </w:r>
            <w:r w:rsidR="00194C5F">
              <w:rPr>
                <w:rFonts w:ascii="Verdana" w:hAnsi="Verdana"/>
                <w:b/>
                <w:sz w:val="20"/>
                <w:szCs w:val="20"/>
              </w:rPr>
              <w:t xml:space="preserve"> January</w:t>
            </w:r>
            <w:r w:rsidR="004A67FE">
              <w:rPr>
                <w:rFonts w:ascii="Verdana" w:hAnsi="Verdana"/>
                <w:b/>
                <w:sz w:val="20"/>
                <w:szCs w:val="20"/>
              </w:rPr>
              <w:t xml:space="preserve"> 201</w:t>
            </w:r>
            <w:r w:rsidR="00194C5F">
              <w:rPr>
                <w:rFonts w:ascii="Verdana" w:hAnsi="Verdana"/>
                <w:b/>
                <w:sz w:val="20"/>
                <w:szCs w:val="20"/>
              </w:rPr>
              <w:t>2</w:t>
            </w:r>
          </w:p>
        </w:tc>
      </w:tr>
      <w:tr w:rsidR="00257D2B" w:rsidTr="007075B0">
        <w:trPr>
          <w:trHeight w:val="540"/>
          <w:tblHeader/>
        </w:trPr>
        <w:tc>
          <w:tcPr>
            <w:tcW w:w="268" w:type="pct"/>
          </w:tcPr>
          <w:p w:rsidR="00257D2B" w:rsidRPr="007075B0" w:rsidRDefault="00257D2B" w:rsidP="00216EA3">
            <w:pPr>
              <w:spacing w:beforeLines="50" w:before="120" w:afterLines="50" w:after="120"/>
              <w:jc w:val="center"/>
              <w:rPr>
                <w:b/>
              </w:rPr>
            </w:pPr>
            <w:r w:rsidRPr="007075B0">
              <w:rPr>
                <w:b/>
              </w:rPr>
              <w:t>No</w:t>
            </w:r>
          </w:p>
        </w:tc>
        <w:tc>
          <w:tcPr>
            <w:tcW w:w="1819" w:type="pct"/>
          </w:tcPr>
          <w:p w:rsidR="00257D2B" w:rsidRPr="007075B0" w:rsidRDefault="00257D2B" w:rsidP="00216EA3">
            <w:pPr>
              <w:spacing w:beforeLines="50" w:before="120" w:afterLines="50" w:after="120"/>
              <w:jc w:val="center"/>
              <w:rPr>
                <w:b/>
              </w:rPr>
            </w:pPr>
            <w:r w:rsidRPr="007075B0">
              <w:rPr>
                <w:b/>
              </w:rPr>
              <w:t>Action</w:t>
            </w:r>
          </w:p>
        </w:tc>
        <w:tc>
          <w:tcPr>
            <w:tcW w:w="580" w:type="pct"/>
          </w:tcPr>
          <w:p w:rsidR="00257D2B" w:rsidRPr="007075B0" w:rsidRDefault="00257D2B" w:rsidP="00216EA3">
            <w:pPr>
              <w:spacing w:beforeLines="50" w:before="120" w:afterLines="50" w:after="120"/>
              <w:jc w:val="center"/>
              <w:rPr>
                <w:b/>
              </w:rPr>
            </w:pPr>
            <w:r w:rsidRPr="007075B0">
              <w:rPr>
                <w:b/>
              </w:rPr>
              <w:t xml:space="preserve">Date raised </w:t>
            </w:r>
          </w:p>
        </w:tc>
        <w:tc>
          <w:tcPr>
            <w:tcW w:w="509" w:type="pct"/>
          </w:tcPr>
          <w:p w:rsidR="00257D2B" w:rsidRPr="007075B0" w:rsidRDefault="00257D2B" w:rsidP="00216EA3">
            <w:pPr>
              <w:spacing w:beforeLines="50" w:before="120" w:afterLines="50" w:after="120"/>
              <w:jc w:val="center"/>
              <w:rPr>
                <w:b/>
              </w:rPr>
            </w:pPr>
            <w:r w:rsidRPr="007075B0">
              <w:rPr>
                <w:b/>
              </w:rPr>
              <w:t>By</w:t>
            </w:r>
          </w:p>
        </w:tc>
        <w:tc>
          <w:tcPr>
            <w:tcW w:w="1824" w:type="pct"/>
          </w:tcPr>
          <w:p w:rsidR="00257D2B" w:rsidRPr="007075B0" w:rsidRDefault="00257D2B" w:rsidP="00216EA3">
            <w:pPr>
              <w:spacing w:beforeLines="50" w:before="120" w:afterLines="50" w:after="120"/>
              <w:jc w:val="center"/>
              <w:rPr>
                <w:b/>
              </w:rPr>
            </w:pPr>
            <w:r w:rsidRPr="007075B0">
              <w:rPr>
                <w:b/>
              </w:rPr>
              <w:t>Progress</w:t>
            </w:r>
            <w:r w:rsidR="004347E2" w:rsidRPr="007075B0">
              <w:rPr>
                <w:b/>
              </w:rPr>
              <w:t xml:space="preserve"> –</w:t>
            </w:r>
            <w:r w:rsidR="00172128">
              <w:rPr>
                <w:b/>
              </w:rPr>
              <w:t xml:space="preserve"> 2</w:t>
            </w:r>
            <w:r w:rsidR="00300C67">
              <w:rPr>
                <w:b/>
              </w:rPr>
              <w:t>6</w:t>
            </w:r>
            <w:r w:rsidR="004A67FE" w:rsidRPr="004A67FE">
              <w:rPr>
                <w:b/>
                <w:vertAlign w:val="superscript"/>
              </w:rPr>
              <w:t>th</w:t>
            </w:r>
            <w:r w:rsidR="00300C67">
              <w:rPr>
                <w:b/>
              </w:rPr>
              <w:t xml:space="preserve"> January</w:t>
            </w:r>
            <w:r w:rsidR="004347E2" w:rsidRPr="007075B0">
              <w:rPr>
                <w:b/>
              </w:rPr>
              <w:t xml:space="preserve"> 20</w:t>
            </w:r>
            <w:r w:rsidR="006E672F">
              <w:rPr>
                <w:b/>
              </w:rPr>
              <w:t>1</w:t>
            </w:r>
            <w:r w:rsidR="00300C67">
              <w:rPr>
                <w:b/>
              </w:rPr>
              <w:t>2</w:t>
            </w:r>
          </w:p>
        </w:tc>
      </w:tr>
      <w:tr w:rsidR="00B6363F" w:rsidTr="007075B0">
        <w:trPr>
          <w:trHeight w:val="720"/>
        </w:trPr>
        <w:tc>
          <w:tcPr>
            <w:tcW w:w="268" w:type="pct"/>
            <w:vAlign w:val="center"/>
          </w:tcPr>
          <w:p w:rsidR="00B6363F" w:rsidRDefault="00B6363F" w:rsidP="00216EA3">
            <w:pPr>
              <w:spacing w:beforeLines="40" w:before="96" w:afterLines="40" w:after="96"/>
              <w:jc w:val="center"/>
              <w:rPr>
                <w:b/>
              </w:rPr>
            </w:pPr>
            <w:r>
              <w:rPr>
                <w:b/>
              </w:rPr>
              <w:t>32</w:t>
            </w:r>
          </w:p>
        </w:tc>
        <w:tc>
          <w:tcPr>
            <w:tcW w:w="1819" w:type="pct"/>
          </w:tcPr>
          <w:p w:rsidR="00B6363F" w:rsidRDefault="00B6363F" w:rsidP="0080023A">
            <w:r>
              <w:t>Develop UKOPA guidance on pipeline accident hazard distances and exclusion zones.</w:t>
            </w:r>
          </w:p>
        </w:tc>
        <w:tc>
          <w:tcPr>
            <w:tcW w:w="580" w:type="pct"/>
          </w:tcPr>
          <w:p w:rsidR="00B6363F" w:rsidRDefault="00B6363F" w:rsidP="00216EA3">
            <w:pPr>
              <w:spacing w:beforeLines="40" w:before="96" w:afterLines="40" w:after="96"/>
              <w:rPr>
                <w:b/>
              </w:rPr>
            </w:pPr>
            <w:r>
              <w:rPr>
                <w:b/>
              </w:rPr>
              <w:t>20/05/09</w:t>
            </w:r>
            <w:r w:rsidR="00300C67">
              <w:rPr>
                <w:b/>
              </w:rPr>
              <w:t>, updated 26/01/12</w:t>
            </w:r>
          </w:p>
        </w:tc>
        <w:tc>
          <w:tcPr>
            <w:tcW w:w="509" w:type="pct"/>
          </w:tcPr>
          <w:p w:rsidR="00B6363F" w:rsidRDefault="00B6363F" w:rsidP="00216EA3">
            <w:pPr>
              <w:spacing w:beforeLines="40" w:before="96" w:afterLines="40" w:after="96"/>
              <w:rPr>
                <w:b/>
              </w:rPr>
            </w:pPr>
            <w:r>
              <w:rPr>
                <w:b/>
              </w:rPr>
              <w:t>EPWG</w:t>
            </w:r>
          </w:p>
        </w:tc>
        <w:tc>
          <w:tcPr>
            <w:tcW w:w="1824" w:type="pct"/>
          </w:tcPr>
          <w:p w:rsidR="00172128" w:rsidRDefault="00172128" w:rsidP="00216EA3">
            <w:pPr>
              <w:spacing w:beforeLines="40" w:before="96" w:afterLines="40" w:after="96"/>
            </w:pPr>
            <w:r>
              <w:t xml:space="preserve">Access to hazard distances developed by GLND for National Grid to be investigated. </w:t>
            </w:r>
          </w:p>
          <w:p w:rsidR="00B6363F" w:rsidRDefault="00300C67" w:rsidP="00216EA3">
            <w:pPr>
              <w:spacing w:beforeLines="40" w:before="96" w:afterLines="40" w:after="96"/>
            </w:pPr>
            <w:r>
              <w:t>J Haswell has requested information from GLND, and confirmed that R McConnell will develop distances for non-natural gas pipelines using a similar approach.</w:t>
            </w:r>
          </w:p>
          <w:p w:rsidR="004A67FE" w:rsidRDefault="004A67FE" w:rsidP="00216EA3">
            <w:pPr>
              <w:spacing w:beforeLines="40" w:before="96" w:afterLines="40" w:after="96"/>
            </w:pPr>
            <w:r>
              <w:t>This action</w:t>
            </w:r>
            <w:r w:rsidR="00300C67">
              <w:t xml:space="preserve"> is ongoing</w:t>
            </w:r>
          </w:p>
        </w:tc>
      </w:tr>
      <w:tr w:rsidR="00453B1F" w:rsidTr="007075B0">
        <w:trPr>
          <w:trHeight w:val="720"/>
        </w:trPr>
        <w:tc>
          <w:tcPr>
            <w:tcW w:w="268" w:type="pct"/>
            <w:vAlign w:val="center"/>
          </w:tcPr>
          <w:p w:rsidR="00453B1F" w:rsidRDefault="00453B1F" w:rsidP="00216EA3">
            <w:pPr>
              <w:spacing w:beforeLines="40" w:before="96" w:afterLines="40" w:after="96"/>
              <w:jc w:val="center"/>
              <w:rPr>
                <w:b/>
              </w:rPr>
            </w:pPr>
            <w:r>
              <w:rPr>
                <w:b/>
              </w:rPr>
              <w:t>37</w:t>
            </w:r>
          </w:p>
        </w:tc>
        <w:tc>
          <w:tcPr>
            <w:tcW w:w="1819" w:type="pct"/>
          </w:tcPr>
          <w:p w:rsidR="006466A9" w:rsidRDefault="006466A9" w:rsidP="00453B1F"/>
          <w:p w:rsidR="006466A9" w:rsidRDefault="006466A9" w:rsidP="00453B1F"/>
          <w:p w:rsidR="00453B1F" w:rsidRDefault="008C5FEF" w:rsidP="00453B1F">
            <w:r>
              <w:t>PERO Course Actions</w:t>
            </w:r>
            <w:r w:rsidR="00453B1F">
              <w:t xml:space="preserve"> </w:t>
            </w:r>
          </w:p>
        </w:tc>
        <w:tc>
          <w:tcPr>
            <w:tcW w:w="580" w:type="pct"/>
          </w:tcPr>
          <w:p w:rsidR="00453B1F" w:rsidRDefault="00453B1F" w:rsidP="00216EA3">
            <w:pPr>
              <w:spacing w:beforeLines="40" w:before="96" w:afterLines="40" w:after="96"/>
              <w:rPr>
                <w:b/>
              </w:rPr>
            </w:pPr>
            <w:r>
              <w:rPr>
                <w:b/>
              </w:rPr>
              <w:t>10/03/10</w:t>
            </w:r>
          </w:p>
          <w:p w:rsidR="004A67FE" w:rsidRDefault="004A67FE" w:rsidP="00216EA3">
            <w:pPr>
              <w:spacing w:beforeLines="40" w:before="96" w:afterLines="40" w:after="96"/>
              <w:rPr>
                <w:b/>
              </w:rPr>
            </w:pPr>
            <w:r>
              <w:rPr>
                <w:b/>
              </w:rPr>
              <w:t>Updated</w:t>
            </w:r>
          </w:p>
          <w:p w:rsidR="004A67FE" w:rsidRDefault="00172128" w:rsidP="00216EA3">
            <w:pPr>
              <w:spacing w:beforeLines="40" w:before="96" w:afterLines="40" w:after="96"/>
              <w:rPr>
                <w:b/>
              </w:rPr>
            </w:pPr>
            <w:r>
              <w:rPr>
                <w:b/>
              </w:rPr>
              <w:t>2</w:t>
            </w:r>
            <w:r w:rsidR="00823D1B">
              <w:rPr>
                <w:b/>
              </w:rPr>
              <w:t>6</w:t>
            </w:r>
            <w:r w:rsidR="00300C67">
              <w:rPr>
                <w:b/>
              </w:rPr>
              <w:t>/01/12</w:t>
            </w:r>
          </w:p>
        </w:tc>
        <w:tc>
          <w:tcPr>
            <w:tcW w:w="509" w:type="pct"/>
          </w:tcPr>
          <w:p w:rsidR="00453B1F" w:rsidRDefault="00172128" w:rsidP="00216EA3">
            <w:pPr>
              <w:spacing w:beforeLines="40" w:before="96" w:afterLines="40" w:after="96"/>
              <w:rPr>
                <w:b/>
              </w:rPr>
            </w:pPr>
            <w:r>
              <w:rPr>
                <w:b/>
              </w:rPr>
              <w:t>BD/</w:t>
            </w:r>
            <w:r w:rsidR="00453B1F">
              <w:rPr>
                <w:b/>
              </w:rPr>
              <w:t>JH</w:t>
            </w:r>
          </w:p>
          <w:p w:rsidR="00823D1B" w:rsidRDefault="00823D1B" w:rsidP="00216EA3">
            <w:pPr>
              <w:spacing w:beforeLines="40" w:before="96" w:afterLines="40" w:after="96"/>
              <w:rPr>
                <w:b/>
              </w:rPr>
            </w:pPr>
          </w:p>
          <w:p w:rsidR="00823D1B" w:rsidRDefault="00823D1B" w:rsidP="00216EA3">
            <w:pPr>
              <w:spacing w:beforeLines="40" w:before="96" w:afterLines="40" w:after="96"/>
              <w:rPr>
                <w:b/>
              </w:rPr>
            </w:pPr>
          </w:p>
          <w:p w:rsidR="00823D1B" w:rsidRDefault="00823D1B" w:rsidP="00216EA3">
            <w:pPr>
              <w:spacing w:beforeLines="40" w:before="96" w:afterLines="40" w:after="96"/>
              <w:rPr>
                <w:b/>
              </w:rPr>
            </w:pPr>
          </w:p>
          <w:p w:rsidR="00823D1B" w:rsidRDefault="00823D1B" w:rsidP="00216EA3">
            <w:pPr>
              <w:spacing w:beforeLines="40" w:before="96" w:afterLines="40" w:after="96"/>
              <w:rPr>
                <w:b/>
              </w:rPr>
            </w:pPr>
          </w:p>
          <w:p w:rsidR="00823D1B" w:rsidRDefault="00823D1B" w:rsidP="00216EA3">
            <w:pPr>
              <w:spacing w:beforeLines="40" w:before="96" w:afterLines="40" w:after="96"/>
              <w:rPr>
                <w:b/>
              </w:rPr>
            </w:pPr>
          </w:p>
          <w:p w:rsidR="00823D1B" w:rsidRDefault="00823D1B" w:rsidP="00216EA3">
            <w:pPr>
              <w:spacing w:beforeLines="40" w:before="96" w:afterLines="40" w:after="96"/>
              <w:rPr>
                <w:b/>
              </w:rPr>
            </w:pPr>
            <w:r>
              <w:rPr>
                <w:b/>
              </w:rPr>
              <w:lastRenderedPageBreak/>
              <w:t>JAdM</w:t>
            </w:r>
          </w:p>
        </w:tc>
        <w:tc>
          <w:tcPr>
            <w:tcW w:w="1824" w:type="pct"/>
          </w:tcPr>
          <w:p w:rsidR="004A67FE" w:rsidRDefault="00300C67" w:rsidP="00216EA3">
            <w:pPr>
              <w:spacing w:beforeLines="40" w:before="96" w:afterLines="40" w:after="96"/>
            </w:pPr>
            <w:r>
              <w:lastRenderedPageBreak/>
              <w:t xml:space="preserve">Negotiations with FSC relating to course costs and for 2 courses with option for third </w:t>
            </w:r>
            <w:r w:rsidR="00172128">
              <w:t xml:space="preserve"> c</w:t>
            </w:r>
            <w:r>
              <w:t>ourses 2012/13 to be progressed.</w:t>
            </w:r>
          </w:p>
          <w:p w:rsidR="00453B1F" w:rsidRDefault="00300C67" w:rsidP="00216EA3">
            <w:pPr>
              <w:spacing w:beforeLines="40" w:before="96" w:afterLines="40" w:after="96"/>
            </w:pPr>
            <w:r>
              <w:t>Updates to course content (exercises and incident information) to be progressed.</w:t>
            </w:r>
          </w:p>
          <w:p w:rsidR="00823D1B" w:rsidRDefault="00823D1B" w:rsidP="00216EA3">
            <w:pPr>
              <w:spacing w:beforeLines="40" w:before="96" w:afterLines="40" w:after="96"/>
            </w:pPr>
          </w:p>
          <w:p w:rsidR="00823D1B" w:rsidRDefault="00823D1B" w:rsidP="00216EA3">
            <w:pPr>
              <w:spacing w:beforeLines="40" w:before="96" w:afterLines="40" w:after="96"/>
            </w:pPr>
            <w:r>
              <w:lastRenderedPageBreak/>
              <w:t>J Anstee de Mas to provide information on the recent SNAM incident</w:t>
            </w:r>
          </w:p>
        </w:tc>
      </w:tr>
      <w:tr w:rsidR="006466A9" w:rsidTr="00947C71">
        <w:trPr>
          <w:trHeight w:val="720"/>
        </w:trPr>
        <w:tc>
          <w:tcPr>
            <w:tcW w:w="268" w:type="pct"/>
            <w:vAlign w:val="center"/>
          </w:tcPr>
          <w:p w:rsidR="006466A9" w:rsidRDefault="006466A9" w:rsidP="00216EA3">
            <w:pPr>
              <w:spacing w:beforeLines="40" w:before="96" w:afterLines="40" w:after="96"/>
              <w:jc w:val="center"/>
              <w:rPr>
                <w:b/>
              </w:rPr>
            </w:pPr>
            <w:r>
              <w:rPr>
                <w:b/>
              </w:rPr>
              <w:lastRenderedPageBreak/>
              <w:t>57</w:t>
            </w:r>
          </w:p>
        </w:tc>
        <w:tc>
          <w:tcPr>
            <w:tcW w:w="1819" w:type="pct"/>
            <w:vAlign w:val="center"/>
          </w:tcPr>
          <w:p w:rsidR="006466A9" w:rsidRDefault="006466A9" w:rsidP="008C5FEF">
            <w:r>
              <w:t>Letter to LAs</w:t>
            </w:r>
          </w:p>
        </w:tc>
        <w:tc>
          <w:tcPr>
            <w:tcW w:w="580" w:type="pct"/>
            <w:vAlign w:val="center"/>
          </w:tcPr>
          <w:p w:rsidR="006466A9" w:rsidRDefault="006466A9" w:rsidP="00216EA3">
            <w:pPr>
              <w:spacing w:beforeLines="40" w:before="96" w:afterLines="40" w:after="96"/>
              <w:jc w:val="center"/>
              <w:rPr>
                <w:b/>
              </w:rPr>
            </w:pPr>
            <w:r>
              <w:rPr>
                <w:b/>
              </w:rPr>
              <w:t>10/06/11</w:t>
            </w:r>
          </w:p>
          <w:p w:rsidR="00823D1B" w:rsidRDefault="00823D1B" w:rsidP="00216EA3">
            <w:pPr>
              <w:spacing w:beforeLines="40" w:before="96" w:afterLines="40" w:after="96"/>
              <w:jc w:val="center"/>
              <w:rPr>
                <w:b/>
              </w:rPr>
            </w:pPr>
            <w:r>
              <w:rPr>
                <w:b/>
              </w:rPr>
              <w:t>Updated 26/01/12</w:t>
            </w:r>
          </w:p>
        </w:tc>
        <w:tc>
          <w:tcPr>
            <w:tcW w:w="509" w:type="pct"/>
            <w:vAlign w:val="center"/>
          </w:tcPr>
          <w:p w:rsidR="006466A9" w:rsidRDefault="006466A9" w:rsidP="00216EA3">
            <w:pPr>
              <w:spacing w:beforeLines="40" w:before="96" w:afterLines="40" w:after="96"/>
              <w:rPr>
                <w:b/>
              </w:rPr>
            </w:pPr>
            <w:r>
              <w:rPr>
                <w:b/>
              </w:rPr>
              <w:t>BD/JH</w:t>
            </w:r>
          </w:p>
          <w:p w:rsidR="00823D1B" w:rsidRDefault="00823D1B" w:rsidP="00216EA3">
            <w:pPr>
              <w:spacing w:beforeLines="40" w:before="96" w:afterLines="40" w:after="96"/>
              <w:rPr>
                <w:b/>
              </w:rPr>
            </w:pPr>
          </w:p>
          <w:p w:rsidR="00823D1B" w:rsidRDefault="00823D1B" w:rsidP="00216EA3">
            <w:pPr>
              <w:spacing w:beforeLines="40" w:before="96" w:afterLines="40" w:after="96"/>
              <w:rPr>
                <w:b/>
              </w:rPr>
            </w:pPr>
          </w:p>
          <w:p w:rsidR="00823D1B" w:rsidRDefault="00823D1B" w:rsidP="00216EA3">
            <w:pPr>
              <w:spacing w:beforeLines="40" w:before="96" w:afterLines="40" w:after="96"/>
              <w:rPr>
                <w:b/>
              </w:rPr>
            </w:pPr>
            <w:r>
              <w:rPr>
                <w:b/>
              </w:rPr>
              <w:t>KMcI</w:t>
            </w:r>
          </w:p>
        </w:tc>
        <w:tc>
          <w:tcPr>
            <w:tcW w:w="1824" w:type="pct"/>
            <w:vAlign w:val="center"/>
          </w:tcPr>
          <w:p w:rsidR="006466A9" w:rsidRDefault="006466A9" w:rsidP="00216EA3">
            <w:pPr>
              <w:spacing w:beforeLines="40" w:before="96" w:afterLines="40" w:after="96"/>
            </w:pPr>
            <w:r>
              <w:t xml:space="preserve">Letter informing LAs of Emergency Planning documents available on </w:t>
            </w:r>
            <w:r w:rsidR="00172128">
              <w:t>the UKOPA</w:t>
            </w:r>
            <w:r>
              <w:t xml:space="preserve"> w</w:t>
            </w:r>
            <w:r w:rsidR="00300C67">
              <w:t xml:space="preserve">ebsite to prepared to be </w:t>
            </w:r>
            <w:r w:rsidR="002676E6">
              <w:t>issued</w:t>
            </w:r>
            <w:r w:rsidR="00300C67">
              <w:t xml:space="preserve"> via P Jones when updated website is available. </w:t>
            </w:r>
          </w:p>
          <w:p w:rsidR="00172128" w:rsidRDefault="00823D1B" w:rsidP="00216EA3">
            <w:pPr>
              <w:spacing w:beforeLines="40" w:before="96" w:afterLines="40" w:after="96"/>
            </w:pPr>
            <w:r>
              <w:t xml:space="preserve">K McIntosh to provide details of  LA EPU contacts,  </w:t>
            </w:r>
            <w:r w:rsidR="00172128">
              <w:t xml:space="preserve">J Haswell </w:t>
            </w:r>
            <w:r>
              <w:t>extend to include contacts for all UKOPA</w:t>
            </w:r>
            <w:r w:rsidR="00ED631D">
              <w:t>.</w:t>
            </w:r>
          </w:p>
        </w:tc>
      </w:tr>
      <w:tr w:rsidR="006466A9" w:rsidTr="00947C71">
        <w:trPr>
          <w:trHeight w:val="720"/>
        </w:trPr>
        <w:tc>
          <w:tcPr>
            <w:tcW w:w="268" w:type="pct"/>
            <w:vAlign w:val="center"/>
          </w:tcPr>
          <w:p w:rsidR="006466A9" w:rsidRDefault="00ED631D" w:rsidP="00216EA3">
            <w:pPr>
              <w:spacing w:beforeLines="40" w:before="96" w:afterLines="40" w:after="96"/>
              <w:jc w:val="center"/>
              <w:rPr>
                <w:b/>
              </w:rPr>
            </w:pPr>
            <w:r>
              <w:rPr>
                <w:b/>
              </w:rPr>
              <w:t>59</w:t>
            </w:r>
          </w:p>
        </w:tc>
        <w:tc>
          <w:tcPr>
            <w:tcW w:w="1819" w:type="pct"/>
            <w:vAlign w:val="center"/>
          </w:tcPr>
          <w:p w:rsidR="006466A9" w:rsidRDefault="00ED631D" w:rsidP="008C5FEF">
            <w:r>
              <w:t>UKOPA involvement in review of UK CNI</w:t>
            </w:r>
          </w:p>
        </w:tc>
        <w:tc>
          <w:tcPr>
            <w:tcW w:w="580" w:type="pct"/>
            <w:vAlign w:val="center"/>
          </w:tcPr>
          <w:p w:rsidR="006466A9" w:rsidRDefault="00ED631D" w:rsidP="00216EA3">
            <w:pPr>
              <w:spacing w:beforeLines="40" w:before="96" w:afterLines="40" w:after="96"/>
              <w:jc w:val="center"/>
              <w:rPr>
                <w:b/>
              </w:rPr>
            </w:pPr>
            <w:r>
              <w:rPr>
                <w:b/>
              </w:rPr>
              <w:t>20/09</w:t>
            </w:r>
            <w:r w:rsidR="006466A9">
              <w:rPr>
                <w:b/>
              </w:rPr>
              <w:t>/11</w:t>
            </w:r>
          </w:p>
        </w:tc>
        <w:tc>
          <w:tcPr>
            <w:tcW w:w="509" w:type="pct"/>
            <w:vAlign w:val="center"/>
          </w:tcPr>
          <w:p w:rsidR="006466A9" w:rsidRDefault="006466A9" w:rsidP="00216EA3">
            <w:pPr>
              <w:spacing w:beforeLines="40" w:before="96" w:afterLines="40" w:after="96"/>
              <w:rPr>
                <w:b/>
              </w:rPr>
            </w:pPr>
            <w:r>
              <w:rPr>
                <w:b/>
              </w:rPr>
              <w:t>BD/JH</w:t>
            </w:r>
          </w:p>
        </w:tc>
        <w:tc>
          <w:tcPr>
            <w:tcW w:w="1824" w:type="pct"/>
            <w:vAlign w:val="center"/>
          </w:tcPr>
          <w:p w:rsidR="006466A9" w:rsidRDefault="00ED631D" w:rsidP="00216EA3">
            <w:pPr>
              <w:spacing w:beforeLines="40" w:before="96" w:afterLines="40" w:after="96"/>
            </w:pPr>
            <w:r>
              <w:t>Consider strategy for UKOPA involvement at national level in the UK Government review of critical infrastructure.</w:t>
            </w:r>
          </w:p>
          <w:p w:rsidR="00823D1B" w:rsidRDefault="00823D1B" w:rsidP="00216EA3">
            <w:pPr>
              <w:spacing w:beforeLines="40" w:before="96" w:afterLines="40" w:after="96"/>
            </w:pPr>
            <w:r>
              <w:t>Ongoing action</w:t>
            </w:r>
          </w:p>
        </w:tc>
      </w:tr>
      <w:tr w:rsidR="00823D1B" w:rsidTr="00947C71">
        <w:trPr>
          <w:trHeight w:val="720"/>
        </w:trPr>
        <w:tc>
          <w:tcPr>
            <w:tcW w:w="268" w:type="pct"/>
            <w:vAlign w:val="center"/>
          </w:tcPr>
          <w:p w:rsidR="00823D1B" w:rsidRDefault="00823D1B" w:rsidP="00216EA3">
            <w:pPr>
              <w:spacing w:beforeLines="40" w:before="96" w:afterLines="40" w:after="96"/>
              <w:jc w:val="center"/>
              <w:rPr>
                <w:b/>
              </w:rPr>
            </w:pPr>
            <w:r>
              <w:rPr>
                <w:b/>
              </w:rPr>
              <w:t>60</w:t>
            </w:r>
          </w:p>
        </w:tc>
        <w:tc>
          <w:tcPr>
            <w:tcW w:w="1819" w:type="pct"/>
            <w:vAlign w:val="center"/>
          </w:tcPr>
          <w:p w:rsidR="00823D1B" w:rsidRDefault="00823D1B" w:rsidP="008C5FEF">
            <w:r>
              <w:t>Review of Post Exercise Report</w:t>
            </w:r>
          </w:p>
        </w:tc>
        <w:tc>
          <w:tcPr>
            <w:tcW w:w="580" w:type="pct"/>
            <w:vAlign w:val="center"/>
          </w:tcPr>
          <w:p w:rsidR="00823D1B" w:rsidRDefault="00823D1B" w:rsidP="00216EA3">
            <w:pPr>
              <w:spacing w:beforeLines="40" w:before="96" w:afterLines="40" w:after="96"/>
              <w:jc w:val="center"/>
              <w:rPr>
                <w:b/>
              </w:rPr>
            </w:pPr>
            <w:r>
              <w:rPr>
                <w:b/>
              </w:rPr>
              <w:t>26/01/12</w:t>
            </w:r>
          </w:p>
        </w:tc>
        <w:tc>
          <w:tcPr>
            <w:tcW w:w="509" w:type="pct"/>
            <w:vAlign w:val="center"/>
          </w:tcPr>
          <w:p w:rsidR="00823D1B" w:rsidRDefault="00823D1B" w:rsidP="00216EA3">
            <w:pPr>
              <w:spacing w:beforeLines="40" w:before="96" w:afterLines="40" w:after="96"/>
              <w:rPr>
                <w:b/>
              </w:rPr>
            </w:pPr>
            <w:r>
              <w:rPr>
                <w:b/>
              </w:rPr>
              <w:t>MD</w:t>
            </w:r>
          </w:p>
        </w:tc>
        <w:tc>
          <w:tcPr>
            <w:tcW w:w="1824" w:type="pct"/>
            <w:vAlign w:val="center"/>
          </w:tcPr>
          <w:p w:rsidR="00823D1B" w:rsidRDefault="00823D1B" w:rsidP="00216EA3">
            <w:pPr>
              <w:spacing w:beforeLines="40" w:before="96" w:afterLines="40" w:after="96"/>
            </w:pPr>
            <w:r>
              <w:t>Provide feedback as appropriate</w:t>
            </w:r>
          </w:p>
        </w:tc>
      </w:tr>
      <w:tr w:rsidR="00823D1B" w:rsidTr="00947C71">
        <w:trPr>
          <w:trHeight w:val="720"/>
        </w:trPr>
        <w:tc>
          <w:tcPr>
            <w:tcW w:w="268" w:type="pct"/>
            <w:vAlign w:val="center"/>
          </w:tcPr>
          <w:p w:rsidR="00823D1B" w:rsidRDefault="00823D1B" w:rsidP="00216EA3">
            <w:pPr>
              <w:spacing w:beforeLines="40" w:before="96" w:afterLines="40" w:after="96"/>
              <w:jc w:val="center"/>
              <w:rPr>
                <w:b/>
              </w:rPr>
            </w:pPr>
            <w:r>
              <w:rPr>
                <w:b/>
              </w:rPr>
              <w:t>61</w:t>
            </w:r>
          </w:p>
        </w:tc>
        <w:tc>
          <w:tcPr>
            <w:tcW w:w="1819" w:type="pct"/>
            <w:vAlign w:val="center"/>
          </w:tcPr>
          <w:p w:rsidR="00823D1B" w:rsidRDefault="00823D1B" w:rsidP="008C5FEF">
            <w:r>
              <w:t>Attend National Environment</w:t>
            </w:r>
            <w:r w:rsidR="00B366A6">
              <w:t>al</w:t>
            </w:r>
            <w:r>
              <w:t xml:space="preserve"> Strategy Group</w:t>
            </w:r>
          </w:p>
        </w:tc>
        <w:tc>
          <w:tcPr>
            <w:tcW w:w="580" w:type="pct"/>
            <w:vAlign w:val="center"/>
          </w:tcPr>
          <w:p w:rsidR="00823D1B" w:rsidRDefault="00823D1B" w:rsidP="00216EA3">
            <w:pPr>
              <w:spacing w:beforeLines="40" w:before="96" w:afterLines="40" w:after="96"/>
              <w:jc w:val="center"/>
              <w:rPr>
                <w:b/>
              </w:rPr>
            </w:pPr>
            <w:r>
              <w:rPr>
                <w:b/>
              </w:rPr>
              <w:t>26/01/12</w:t>
            </w:r>
          </w:p>
        </w:tc>
        <w:tc>
          <w:tcPr>
            <w:tcW w:w="509" w:type="pct"/>
            <w:vAlign w:val="center"/>
          </w:tcPr>
          <w:p w:rsidR="00823D1B" w:rsidRDefault="00823D1B" w:rsidP="00216EA3">
            <w:pPr>
              <w:spacing w:beforeLines="40" w:before="96" w:afterLines="40" w:after="96"/>
              <w:rPr>
                <w:b/>
              </w:rPr>
            </w:pPr>
            <w:r>
              <w:rPr>
                <w:b/>
              </w:rPr>
              <w:t>TW</w:t>
            </w:r>
          </w:p>
        </w:tc>
        <w:tc>
          <w:tcPr>
            <w:tcW w:w="1824" w:type="pct"/>
            <w:vAlign w:val="center"/>
          </w:tcPr>
          <w:p w:rsidR="00823D1B" w:rsidRDefault="00823D1B" w:rsidP="00216EA3">
            <w:pPr>
              <w:spacing w:beforeLines="40" w:before="96" w:afterLines="40" w:after="96"/>
            </w:pPr>
            <w:r>
              <w:t>Attend meeting and provide EPWG feedback on emergency equipment</w:t>
            </w:r>
          </w:p>
        </w:tc>
      </w:tr>
      <w:tr w:rsidR="00823D1B" w:rsidTr="00947C71">
        <w:trPr>
          <w:trHeight w:val="720"/>
        </w:trPr>
        <w:tc>
          <w:tcPr>
            <w:tcW w:w="268" w:type="pct"/>
            <w:vAlign w:val="center"/>
          </w:tcPr>
          <w:p w:rsidR="00823D1B" w:rsidRDefault="00823D1B" w:rsidP="00216EA3">
            <w:pPr>
              <w:spacing w:beforeLines="40" w:before="96" w:afterLines="40" w:after="96"/>
              <w:jc w:val="center"/>
              <w:rPr>
                <w:b/>
              </w:rPr>
            </w:pPr>
            <w:r>
              <w:rPr>
                <w:b/>
              </w:rPr>
              <w:t>62</w:t>
            </w:r>
          </w:p>
        </w:tc>
        <w:tc>
          <w:tcPr>
            <w:tcW w:w="1819" w:type="pct"/>
            <w:vAlign w:val="center"/>
          </w:tcPr>
          <w:p w:rsidR="00823D1B" w:rsidRDefault="00823D1B" w:rsidP="008C5FEF">
            <w:r>
              <w:t>CAPEPLG</w:t>
            </w:r>
          </w:p>
        </w:tc>
        <w:tc>
          <w:tcPr>
            <w:tcW w:w="580" w:type="pct"/>
            <w:vAlign w:val="center"/>
          </w:tcPr>
          <w:p w:rsidR="00823D1B" w:rsidRDefault="00823D1B" w:rsidP="00216EA3">
            <w:pPr>
              <w:spacing w:beforeLines="40" w:before="96" w:afterLines="40" w:after="96"/>
              <w:jc w:val="center"/>
              <w:rPr>
                <w:b/>
              </w:rPr>
            </w:pPr>
            <w:r>
              <w:rPr>
                <w:b/>
              </w:rPr>
              <w:t>26/01/12</w:t>
            </w:r>
          </w:p>
        </w:tc>
        <w:tc>
          <w:tcPr>
            <w:tcW w:w="509" w:type="pct"/>
            <w:vAlign w:val="center"/>
          </w:tcPr>
          <w:p w:rsidR="00823D1B" w:rsidRDefault="00823D1B" w:rsidP="00216EA3">
            <w:pPr>
              <w:spacing w:beforeLines="40" w:before="96" w:afterLines="40" w:after="96"/>
              <w:rPr>
                <w:b/>
              </w:rPr>
            </w:pPr>
            <w:r>
              <w:rPr>
                <w:b/>
              </w:rPr>
              <w:t>KMcI</w:t>
            </w:r>
          </w:p>
        </w:tc>
        <w:tc>
          <w:tcPr>
            <w:tcW w:w="1824" w:type="pct"/>
            <w:vAlign w:val="center"/>
          </w:tcPr>
          <w:p w:rsidR="00823D1B" w:rsidRDefault="00823D1B" w:rsidP="00216EA3">
            <w:pPr>
              <w:spacing w:beforeLines="40" w:before="96" w:afterLines="40" w:after="96"/>
            </w:pPr>
            <w:r>
              <w:t>Attend meeting and provide EPWG feedback on Guidance to Inspectors document</w:t>
            </w:r>
          </w:p>
        </w:tc>
      </w:tr>
    </w:tbl>
    <w:p w:rsidR="00194C5F" w:rsidRDefault="00194C5F" w:rsidP="00AF3231">
      <w:pPr>
        <w:rPr>
          <w:b/>
        </w:rPr>
      </w:pPr>
    </w:p>
    <w:p w:rsidR="00194C5F" w:rsidRPr="00257D2B" w:rsidRDefault="00194C5F" w:rsidP="00AF3231">
      <w:pPr>
        <w:rPr>
          <w:b/>
        </w:rPr>
      </w:pPr>
    </w:p>
    <w:p w:rsidR="00EC2663" w:rsidRPr="00257D2B" w:rsidRDefault="00EC2663" w:rsidP="00A33551">
      <w:pPr>
        <w:numPr>
          <w:ilvl w:val="0"/>
          <w:numId w:val="2"/>
        </w:numPr>
        <w:ind w:left="709" w:hanging="709"/>
        <w:rPr>
          <w:b/>
        </w:rPr>
      </w:pPr>
      <w:r w:rsidRPr="00257D2B">
        <w:rPr>
          <w:b/>
        </w:rPr>
        <w:t>Date of Next Meeting</w:t>
      </w:r>
    </w:p>
    <w:p w:rsidR="00EC2663" w:rsidRDefault="00EC2663" w:rsidP="00EC2663">
      <w:pPr>
        <w:rPr>
          <w:b/>
        </w:rPr>
      </w:pPr>
    </w:p>
    <w:p w:rsidR="00EC2663" w:rsidRDefault="00972E0A" w:rsidP="00012AA5">
      <w:r>
        <w:t xml:space="preserve">The </w:t>
      </w:r>
      <w:r w:rsidR="00D72432">
        <w:t xml:space="preserve">date of the </w:t>
      </w:r>
      <w:r>
        <w:t xml:space="preserve">next meeting </w:t>
      </w:r>
      <w:r w:rsidR="00194C5F">
        <w:t>is Thursday 21</w:t>
      </w:r>
      <w:r w:rsidR="00194C5F" w:rsidRPr="00194C5F">
        <w:rPr>
          <w:vertAlign w:val="superscript"/>
        </w:rPr>
        <w:t>st</w:t>
      </w:r>
      <w:r w:rsidR="00194C5F">
        <w:t xml:space="preserve">  June</w:t>
      </w:r>
      <w:r w:rsidR="0038602D">
        <w:t xml:space="preserve"> at Tebay.</w:t>
      </w:r>
    </w:p>
    <w:p w:rsidR="00B83FEA" w:rsidRPr="00F965FD" w:rsidRDefault="006466A9" w:rsidP="006466A9">
      <w:pPr>
        <w:rPr>
          <w:sz w:val="20"/>
          <w:szCs w:val="20"/>
        </w:rPr>
      </w:pPr>
      <w:r w:rsidRPr="00F965FD">
        <w:rPr>
          <w:sz w:val="20"/>
          <w:szCs w:val="20"/>
        </w:rPr>
        <w:t xml:space="preserve"> </w:t>
      </w:r>
    </w:p>
    <w:p w:rsidR="00B83FEA" w:rsidRPr="00012AA5" w:rsidRDefault="00B83FEA" w:rsidP="00012AA5"/>
    <w:sectPr w:rsidR="00B83FEA" w:rsidRPr="00012AA5" w:rsidSect="004B6EDD">
      <w:headerReference w:type="even" r:id="rId8"/>
      <w:headerReference w:type="default" r:id="rId9"/>
      <w:footerReference w:type="even" r:id="rId10"/>
      <w:footerReference w:type="default" r:id="rId11"/>
      <w:headerReference w:type="first" r:id="rId12"/>
      <w:footerReference w:type="first" r:id="rId13"/>
      <w:pgSz w:w="12240" w:h="15840"/>
      <w:pgMar w:top="1440" w:right="162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C7" w:rsidRDefault="00353CC7">
      <w:r>
        <w:separator/>
      </w:r>
    </w:p>
  </w:endnote>
  <w:endnote w:type="continuationSeparator" w:id="0">
    <w:p w:rsidR="00353CC7" w:rsidRDefault="0035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2B" w:rsidRDefault="004B6EDD">
    <w:pPr>
      <w:pStyle w:val="Footer"/>
      <w:framePr w:wrap="around" w:vAnchor="text" w:hAnchor="margin" w:xAlign="center" w:y="1"/>
      <w:rPr>
        <w:rStyle w:val="PageNumber"/>
      </w:rPr>
    </w:pPr>
    <w:r>
      <w:rPr>
        <w:rStyle w:val="PageNumber"/>
      </w:rPr>
      <w:fldChar w:fldCharType="begin"/>
    </w:r>
    <w:r w:rsidR="00257D2B">
      <w:rPr>
        <w:rStyle w:val="PageNumber"/>
      </w:rPr>
      <w:instrText xml:space="preserve">PAGE  </w:instrText>
    </w:r>
    <w:r>
      <w:rPr>
        <w:rStyle w:val="PageNumber"/>
      </w:rPr>
      <w:fldChar w:fldCharType="separate"/>
    </w:r>
    <w:r w:rsidR="00257D2B">
      <w:rPr>
        <w:rStyle w:val="PageNumber"/>
        <w:noProof/>
      </w:rPr>
      <w:t>18</w:t>
    </w:r>
    <w:r>
      <w:rPr>
        <w:rStyle w:val="PageNumber"/>
      </w:rPr>
      <w:fldChar w:fldCharType="end"/>
    </w:r>
  </w:p>
  <w:p w:rsidR="00257D2B" w:rsidRDefault="00257D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2B" w:rsidRDefault="004B6EDD">
    <w:pPr>
      <w:pStyle w:val="Footer"/>
      <w:framePr w:wrap="around" w:vAnchor="text" w:hAnchor="margin" w:xAlign="center" w:y="1"/>
      <w:rPr>
        <w:rStyle w:val="PageNumber"/>
      </w:rPr>
    </w:pPr>
    <w:r>
      <w:rPr>
        <w:rStyle w:val="PageNumber"/>
      </w:rPr>
      <w:fldChar w:fldCharType="begin"/>
    </w:r>
    <w:r w:rsidR="00257D2B">
      <w:rPr>
        <w:rStyle w:val="PageNumber"/>
      </w:rPr>
      <w:instrText xml:space="preserve">PAGE  </w:instrText>
    </w:r>
    <w:r>
      <w:rPr>
        <w:rStyle w:val="PageNumber"/>
      </w:rPr>
      <w:fldChar w:fldCharType="separate"/>
    </w:r>
    <w:r w:rsidR="00216EA3">
      <w:rPr>
        <w:rStyle w:val="PageNumber"/>
        <w:noProof/>
      </w:rPr>
      <w:t>5</w:t>
    </w:r>
    <w:r>
      <w:rPr>
        <w:rStyle w:val="PageNumber"/>
      </w:rPr>
      <w:fldChar w:fldCharType="end"/>
    </w:r>
  </w:p>
  <w:p w:rsidR="00257D2B" w:rsidRDefault="00B67EE9">
    <w:pPr>
      <w:pStyle w:val="Footer"/>
      <w:rPr>
        <w:sz w:val="16"/>
      </w:rPr>
    </w:pPr>
    <w:r>
      <w:rPr>
        <w:sz w:val="16"/>
      </w:rPr>
      <w:t>EPW</w:t>
    </w:r>
    <w:r w:rsidR="002B7A0D">
      <w:rPr>
        <w:sz w:val="16"/>
      </w:rPr>
      <w:t>G Meeting  26.01.12</w:t>
    </w:r>
  </w:p>
  <w:p w:rsidR="00257D2B" w:rsidRDefault="006C514D">
    <w:pPr>
      <w:pStyle w:val="Footer"/>
      <w:rPr>
        <w:sz w:val="16"/>
      </w:rPr>
    </w:pPr>
    <w:r>
      <w:rPr>
        <w:sz w:val="16"/>
      </w:rPr>
      <w:t xml:space="preserve">Notes </w:t>
    </w:r>
    <w:r w:rsidR="0059605D">
      <w:rPr>
        <w:sz w:val="16"/>
      </w:rPr>
      <w:t>V</w:t>
    </w:r>
    <w:r>
      <w:rPr>
        <w:sz w:val="16"/>
      </w:rPr>
      <w:t>1</w:t>
    </w:r>
    <w:r w:rsidR="00B67EE9">
      <w:rPr>
        <w:sz w:val="16"/>
      </w:rPr>
      <w:t xml:space="preserve"> J</w:t>
    </w:r>
    <w:r w:rsidR="00F957F3">
      <w:rPr>
        <w:sz w:val="16"/>
      </w:rPr>
      <w:t xml:space="preserve"> </w:t>
    </w:r>
    <w:r w:rsidR="00257D2B">
      <w:rPr>
        <w:sz w:val="16"/>
      </w:rPr>
      <w:t>VH</w:t>
    </w:r>
  </w:p>
  <w:p w:rsidR="00257D2B" w:rsidRDefault="00257D2B">
    <w:pPr>
      <w:pStyle w:val="Footer"/>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4D" w:rsidRDefault="006C51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C7" w:rsidRDefault="00353CC7">
      <w:r>
        <w:separator/>
      </w:r>
    </w:p>
  </w:footnote>
  <w:footnote w:type="continuationSeparator" w:id="0">
    <w:p w:rsidR="00353CC7" w:rsidRDefault="00353C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4D" w:rsidRDefault="006C51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2B" w:rsidRDefault="00194C5F">
    <w:pPr>
      <w:pStyle w:val="Header"/>
      <w:tabs>
        <w:tab w:val="clear" w:pos="4320"/>
        <w:tab w:val="clear" w:pos="8640"/>
        <w:tab w:val="left" w:pos="7947"/>
      </w:tabs>
      <w:ind w:right="-540"/>
    </w:pPr>
    <w:r>
      <w:rPr>
        <w:noProof/>
        <w:lang w:val="en-US"/>
      </w:rPr>
      <w:drawing>
        <wp:inline distT="0" distB="0" distL="0" distR="0">
          <wp:extent cx="1371600" cy="333375"/>
          <wp:effectExtent l="19050" t="0" r="0" b="0"/>
          <wp:docPr id="1" name="Picture 1"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srcRect/>
                  <a:stretch>
                    <a:fillRect/>
                  </a:stretch>
                </pic:blipFill>
                <pic:spPr bwMode="auto">
                  <a:xfrm>
                    <a:off x="0" y="0"/>
                    <a:ext cx="1371600" cy="333375"/>
                  </a:xfrm>
                  <a:prstGeom prst="rect">
                    <a:avLst/>
                  </a:prstGeom>
                  <a:noFill/>
                  <a:ln w="9525">
                    <a:noFill/>
                    <a:miter lim="800000"/>
                    <a:headEnd/>
                    <a:tailEnd/>
                  </a:ln>
                </pic:spPr>
              </pic:pic>
            </a:graphicData>
          </a:graphic>
        </wp:inline>
      </w:drawing>
    </w:r>
    <w:r w:rsidR="00257D2B">
      <w:t xml:space="preserve">                                                                            </w:t>
    </w:r>
    <w:r w:rsidR="00265592">
      <w:t xml:space="preserve">              UKOPA EPWG /12</w:t>
    </w:r>
    <w:r w:rsidR="00404AA0">
      <w:t>/0</w:t>
    </w:r>
    <w:r w:rsidR="00265592">
      <w:t>02</w:t>
    </w:r>
  </w:p>
  <w:p w:rsidR="00257D2B" w:rsidRDefault="00216EA3">
    <w:r>
      <w:rPr>
        <w:noProof/>
        <w:sz w:val="20"/>
        <w:lang w:val="en-US"/>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8255</wp:posOffset>
              </wp:positionV>
              <wp:extent cx="5143500" cy="0"/>
              <wp:effectExtent l="25400" t="20955" r="38100" b="425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" strokecolor="#36f" strokeweight="1.5pt"/>
          </w:pict>
        </mc:Fallback>
      </mc:AlternateContent>
    </w:r>
    <w:r w:rsidR="00257D2B">
      <w:br/>
    </w:r>
    <w:r w:rsidR="00257D2B">
      <w:rPr>
        <w:rFonts w:ascii="Verdana" w:hAnsi="Verdana"/>
        <w:b/>
        <w:bCs/>
        <w:sz w:val="16"/>
        <w:szCs w:val="15"/>
      </w:rPr>
      <w:t>United Kingdom Onshore Pipeline Operators’ Association</w:t>
    </w:r>
    <w:r w:rsidR="00257D2B">
      <w:rPr>
        <w:rFonts w:ascii="Verdana" w:hAnsi="Verdana"/>
        <w:b/>
        <w:bCs/>
        <w:sz w:val="16"/>
        <w:szCs w:val="15"/>
      </w:rPr>
      <w:tab/>
    </w:r>
  </w:p>
  <w:p w:rsidR="00257D2B" w:rsidRDefault="00257D2B">
    <w:pPr>
      <w:pStyle w:val="Header"/>
      <w:tabs>
        <w:tab w:val="clear" w:pos="4320"/>
        <w:tab w:val="clear" w:pos="8640"/>
        <w:tab w:val="left" w:pos="7046"/>
      </w:tabs>
      <w:ind w:left="-720"/>
      <w:rPr>
        <w:b/>
      </w:rPr>
    </w:pPr>
    <w:r>
      <w:rPr>
        <w:b/>
      </w:rPr>
      <w:t xml:space="preserve">                                                                                                      </w:t>
    </w:r>
  </w:p>
  <w:p w:rsidR="00257D2B" w:rsidRDefault="00257D2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4D" w:rsidRDefault="006C51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7631"/>
    <w:multiLevelType w:val="multilevel"/>
    <w:tmpl w:val="4A7E41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216D7E"/>
    <w:multiLevelType w:val="multilevel"/>
    <w:tmpl w:val="4A7E4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537B02"/>
    <w:multiLevelType w:val="multilevel"/>
    <w:tmpl w:val="0A024AB2"/>
    <w:lvl w:ilvl="0">
      <w:start w:val="13"/>
      <w:numFmt w:val="decimal"/>
      <w:pStyle w:val="Heading3"/>
      <w:lvlText w:val="%1"/>
      <w:lvlJc w:val="left"/>
      <w:pPr>
        <w:tabs>
          <w:tab w:val="num" w:pos="720"/>
        </w:tabs>
        <w:ind w:left="720" w:hanging="720"/>
      </w:pPr>
      <w:rPr>
        <w:rFonts w:hint="default"/>
        <w:u w:val="none"/>
      </w:rPr>
    </w:lvl>
    <w:lvl w:ilvl="1">
      <w:start w:val="1"/>
      <w:numFmt w:val="decimal"/>
      <w:lvlText w:val="%1.%2"/>
      <w:lvlJc w:val="left"/>
      <w:pPr>
        <w:tabs>
          <w:tab w:val="num" w:pos="1380"/>
        </w:tabs>
        <w:ind w:left="1380" w:hanging="720"/>
      </w:pPr>
      <w:rPr>
        <w:rFonts w:hint="default"/>
        <w:u w:val="none"/>
      </w:rPr>
    </w:lvl>
    <w:lvl w:ilvl="2">
      <w:start w:val="1"/>
      <w:numFmt w:val="decimal"/>
      <w:lvlText w:val="%1.%2.%3"/>
      <w:lvlJc w:val="left"/>
      <w:pPr>
        <w:tabs>
          <w:tab w:val="num" w:pos="2040"/>
        </w:tabs>
        <w:ind w:left="2040" w:hanging="720"/>
      </w:pPr>
      <w:rPr>
        <w:rFonts w:hint="default"/>
        <w:u w:val="none"/>
      </w:rPr>
    </w:lvl>
    <w:lvl w:ilvl="3">
      <w:start w:val="1"/>
      <w:numFmt w:val="decimal"/>
      <w:lvlText w:val="%1.%2.%3.%4"/>
      <w:lvlJc w:val="left"/>
      <w:pPr>
        <w:tabs>
          <w:tab w:val="num" w:pos="2700"/>
        </w:tabs>
        <w:ind w:left="2700" w:hanging="720"/>
      </w:pPr>
      <w:rPr>
        <w:rFonts w:hint="default"/>
        <w:u w:val="none"/>
      </w:rPr>
    </w:lvl>
    <w:lvl w:ilvl="4">
      <w:start w:val="1"/>
      <w:numFmt w:val="decimal"/>
      <w:lvlText w:val="%1.%2.%3.%4.%5"/>
      <w:lvlJc w:val="left"/>
      <w:pPr>
        <w:tabs>
          <w:tab w:val="num" w:pos="3720"/>
        </w:tabs>
        <w:ind w:left="3720" w:hanging="1080"/>
      </w:pPr>
      <w:rPr>
        <w:rFonts w:hint="default"/>
        <w:u w:val="none"/>
      </w:rPr>
    </w:lvl>
    <w:lvl w:ilvl="5">
      <w:start w:val="1"/>
      <w:numFmt w:val="decimal"/>
      <w:lvlText w:val="%1.%2.%3.%4.%5.%6"/>
      <w:lvlJc w:val="left"/>
      <w:pPr>
        <w:tabs>
          <w:tab w:val="num" w:pos="4380"/>
        </w:tabs>
        <w:ind w:left="4380" w:hanging="1080"/>
      </w:pPr>
      <w:rPr>
        <w:rFonts w:hint="default"/>
        <w:u w:val="none"/>
      </w:rPr>
    </w:lvl>
    <w:lvl w:ilvl="6">
      <w:start w:val="1"/>
      <w:numFmt w:val="decimal"/>
      <w:lvlText w:val="%1.%2.%3.%4.%5.%6.%7"/>
      <w:lvlJc w:val="left"/>
      <w:pPr>
        <w:tabs>
          <w:tab w:val="num" w:pos="5400"/>
        </w:tabs>
        <w:ind w:left="5400" w:hanging="1440"/>
      </w:pPr>
      <w:rPr>
        <w:rFonts w:hint="default"/>
        <w:u w:val="none"/>
      </w:rPr>
    </w:lvl>
    <w:lvl w:ilvl="7">
      <w:start w:val="1"/>
      <w:numFmt w:val="decimal"/>
      <w:lvlText w:val="%1.%2.%3.%4.%5.%6.%7.%8"/>
      <w:lvlJc w:val="left"/>
      <w:pPr>
        <w:tabs>
          <w:tab w:val="num" w:pos="6060"/>
        </w:tabs>
        <w:ind w:left="6060" w:hanging="1440"/>
      </w:pPr>
      <w:rPr>
        <w:rFonts w:hint="default"/>
        <w:u w:val="none"/>
      </w:rPr>
    </w:lvl>
    <w:lvl w:ilvl="8">
      <w:start w:val="1"/>
      <w:numFmt w:val="decimal"/>
      <w:lvlText w:val="%1.%2.%3.%4.%5.%6.%7.%8.%9"/>
      <w:lvlJc w:val="left"/>
      <w:pPr>
        <w:tabs>
          <w:tab w:val="num" w:pos="7080"/>
        </w:tabs>
        <w:ind w:left="7080" w:hanging="1800"/>
      </w:pPr>
      <w:rPr>
        <w:rFonts w:hint="default"/>
        <w:u w:val="none"/>
      </w:rPr>
    </w:lvl>
  </w:abstractNum>
  <w:abstractNum w:abstractNumId="3">
    <w:nsid w:val="4B537C8A"/>
    <w:multiLevelType w:val="hybridMultilevel"/>
    <w:tmpl w:val="FF74A878"/>
    <w:lvl w:ilvl="0" w:tplc="E7703DC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5A9F4DB7"/>
    <w:multiLevelType w:val="multilevel"/>
    <w:tmpl w:val="4A7E4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1865FE"/>
    <w:multiLevelType w:val="hybridMultilevel"/>
    <w:tmpl w:val="13064A7E"/>
    <w:lvl w:ilvl="0" w:tplc="BEFEB492">
      <w:start w:val="1"/>
      <w:numFmt w:val="decimal"/>
      <w:lvlText w:val="%1"/>
      <w:lvlJc w:val="left"/>
      <w:pPr>
        <w:ind w:left="10218" w:hanging="720"/>
      </w:pPr>
      <w:rPr>
        <w:rFonts w:hint="default"/>
      </w:rPr>
    </w:lvl>
    <w:lvl w:ilvl="1" w:tplc="4944410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3432FA"/>
    <w:multiLevelType w:val="hybridMultilevel"/>
    <w:tmpl w:val="598CBCBE"/>
    <w:lvl w:ilvl="0" w:tplc="702E06E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360"/>
        </w:tabs>
      </w:pPr>
      <w:rPr>
        <w:rFonts w:ascii="Symbol" w:hAnsi="Symbol" w:hint="default"/>
      </w:rPr>
    </w:lvl>
    <w:lvl w:ilvl="2" w:tplc="5AF01380">
      <w:numFmt w:val="none"/>
      <w:lvlText w:val=""/>
      <w:lvlJc w:val="left"/>
      <w:pPr>
        <w:tabs>
          <w:tab w:val="num" w:pos="360"/>
        </w:tabs>
      </w:pPr>
    </w:lvl>
    <w:lvl w:ilvl="3" w:tplc="799488F4">
      <w:numFmt w:val="none"/>
      <w:lvlText w:val=""/>
      <w:lvlJc w:val="left"/>
      <w:pPr>
        <w:tabs>
          <w:tab w:val="num" w:pos="360"/>
        </w:tabs>
      </w:pPr>
    </w:lvl>
    <w:lvl w:ilvl="4" w:tplc="7F30D1A6">
      <w:numFmt w:val="none"/>
      <w:lvlText w:val=""/>
      <w:lvlJc w:val="left"/>
      <w:pPr>
        <w:tabs>
          <w:tab w:val="num" w:pos="360"/>
        </w:tabs>
      </w:pPr>
    </w:lvl>
    <w:lvl w:ilvl="5" w:tplc="5EA68370">
      <w:numFmt w:val="none"/>
      <w:lvlText w:val=""/>
      <w:lvlJc w:val="left"/>
      <w:pPr>
        <w:tabs>
          <w:tab w:val="num" w:pos="360"/>
        </w:tabs>
      </w:pPr>
    </w:lvl>
    <w:lvl w:ilvl="6" w:tplc="C504A796">
      <w:numFmt w:val="none"/>
      <w:lvlText w:val=""/>
      <w:lvlJc w:val="left"/>
      <w:pPr>
        <w:tabs>
          <w:tab w:val="num" w:pos="360"/>
        </w:tabs>
      </w:pPr>
    </w:lvl>
    <w:lvl w:ilvl="7" w:tplc="D81E74E4">
      <w:numFmt w:val="none"/>
      <w:lvlText w:val=""/>
      <w:lvlJc w:val="left"/>
      <w:pPr>
        <w:tabs>
          <w:tab w:val="num" w:pos="360"/>
        </w:tabs>
      </w:pPr>
    </w:lvl>
    <w:lvl w:ilvl="8" w:tplc="ECF87F16">
      <w:numFmt w:val="none"/>
      <w:lvlText w:val=""/>
      <w:lvlJc w:val="left"/>
      <w:pPr>
        <w:tabs>
          <w:tab w:val="num" w:pos="360"/>
        </w:tabs>
      </w:p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0E"/>
    <w:rsid w:val="00001AF3"/>
    <w:rsid w:val="000059C3"/>
    <w:rsid w:val="00012AA5"/>
    <w:rsid w:val="00020B4D"/>
    <w:rsid w:val="00021461"/>
    <w:rsid w:val="00025DD3"/>
    <w:rsid w:val="000266D4"/>
    <w:rsid w:val="00076F78"/>
    <w:rsid w:val="00090C00"/>
    <w:rsid w:val="00091198"/>
    <w:rsid w:val="00093351"/>
    <w:rsid w:val="000D1690"/>
    <w:rsid w:val="000D4408"/>
    <w:rsid w:val="000D4A14"/>
    <w:rsid w:val="00101971"/>
    <w:rsid w:val="00103641"/>
    <w:rsid w:val="00126754"/>
    <w:rsid w:val="00133D4C"/>
    <w:rsid w:val="00140CDF"/>
    <w:rsid w:val="00144225"/>
    <w:rsid w:val="00144FDB"/>
    <w:rsid w:val="00153D3B"/>
    <w:rsid w:val="0016720D"/>
    <w:rsid w:val="0017066C"/>
    <w:rsid w:val="00172128"/>
    <w:rsid w:val="00182BC9"/>
    <w:rsid w:val="00183B53"/>
    <w:rsid w:val="001934D8"/>
    <w:rsid w:val="00194C5F"/>
    <w:rsid w:val="001A5BBE"/>
    <w:rsid w:val="001C23E9"/>
    <w:rsid w:val="001C6176"/>
    <w:rsid w:val="001D5E80"/>
    <w:rsid w:val="001E2E89"/>
    <w:rsid w:val="00207079"/>
    <w:rsid w:val="00216B14"/>
    <w:rsid w:val="00216EA3"/>
    <w:rsid w:val="00225559"/>
    <w:rsid w:val="00226F92"/>
    <w:rsid w:val="00231336"/>
    <w:rsid w:val="00242D94"/>
    <w:rsid w:val="00243B49"/>
    <w:rsid w:val="00257D2B"/>
    <w:rsid w:val="002647B3"/>
    <w:rsid w:val="00265592"/>
    <w:rsid w:val="002676E6"/>
    <w:rsid w:val="0027018F"/>
    <w:rsid w:val="00271CD1"/>
    <w:rsid w:val="00272B8C"/>
    <w:rsid w:val="002A62EB"/>
    <w:rsid w:val="002B7A0D"/>
    <w:rsid w:val="002D4775"/>
    <w:rsid w:val="002E790D"/>
    <w:rsid w:val="002E7A19"/>
    <w:rsid w:val="00300C67"/>
    <w:rsid w:val="0030416F"/>
    <w:rsid w:val="00312C09"/>
    <w:rsid w:val="0031679A"/>
    <w:rsid w:val="00320652"/>
    <w:rsid w:val="00333B67"/>
    <w:rsid w:val="00353CC7"/>
    <w:rsid w:val="00362506"/>
    <w:rsid w:val="00377C52"/>
    <w:rsid w:val="0038602D"/>
    <w:rsid w:val="00395FC8"/>
    <w:rsid w:val="003A1A9D"/>
    <w:rsid w:val="003A2CAF"/>
    <w:rsid w:val="003B1077"/>
    <w:rsid w:val="003B7E47"/>
    <w:rsid w:val="003C667D"/>
    <w:rsid w:val="003C7E4C"/>
    <w:rsid w:val="003E5133"/>
    <w:rsid w:val="003F1485"/>
    <w:rsid w:val="00404AA0"/>
    <w:rsid w:val="00410922"/>
    <w:rsid w:val="0041705C"/>
    <w:rsid w:val="00421D7A"/>
    <w:rsid w:val="004240E0"/>
    <w:rsid w:val="004347E2"/>
    <w:rsid w:val="004372DF"/>
    <w:rsid w:val="00453B1F"/>
    <w:rsid w:val="0045699E"/>
    <w:rsid w:val="00456F85"/>
    <w:rsid w:val="004603C8"/>
    <w:rsid w:val="004666D3"/>
    <w:rsid w:val="0046709A"/>
    <w:rsid w:val="0047140A"/>
    <w:rsid w:val="00484022"/>
    <w:rsid w:val="004A67FE"/>
    <w:rsid w:val="004B6EDD"/>
    <w:rsid w:val="004D1781"/>
    <w:rsid w:val="004E1115"/>
    <w:rsid w:val="004E206A"/>
    <w:rsid w:val="004F4DDF"/>
    <w:rsid w:val="004F4E45"/>
    <w:rsid w:val="00520E99"/>
    <w:rsid w:val="005223B9"/>
    <w:rsid w:val="00534E0C"/>
    <w:rsid w:val="00542E4C"/>
    <w:rsid w:val="00574039"/>
    <w:rsid w:val="00575AC4"/>
    <w:rsid w:val="00590028"/>
    <w:rsid w:val="005930A8"/>
    <w:rsid w:val="0059605D"/>
    <w:rsid w:val="005968C5"/>
    <w:rsid w:val="005A2129"/>
    <w:rsid w:val="005B220F"/>
    <w:rsid w:val="005B45C0"/>
    <w:rsid w:val="005B61F5"/>
    <w:rsid w:val="005C7D58"/>
    <w:rsid w:val="005D5661"/>
    <w:rsid w:val="005D7403"/>
    <w:rsid w:val="005D75A3"/>
    <w:rsid w:val="005E2DA5"/>
    <w:rsid w:val="005E793E"/>
    <w:rsid w:val="005F1DD5"/>
    <w:rsid w:val="005F6A48"/>
    <w:rsid w:val="00602208"/>
    <w:rsid w:val="00612910"/>
    <w:rsid w:val="00626F6A"/>
    <w:rsid w:val="00636C84"/>
    <w:rsid w:val="00637A83"/>
    <w:rsid w:val="006400CD"/>
    <w:rsid w:val="006466A9"/>
    <w:rsid w:val="006804B6"/>
    <w:rsid w:val="006936CA"/>
    <w:rsid w:val="00694263"/>
    <w:rsid w:val="0069427D"/>
    <w:rsid w:val="006A0B93"/>
    <w:rsid w:val="006B06CA"/>
    <w:rsid w:val="006B1E2D"/>
    <w:rsid w:val="006C514D"/>
    <w:rsid w:val="006C685C"/>
    <w:rsid w:val="006E1D01"/>
    <w:rsid w:val="006E672F"/>
    <w:rsid w:val="006F79A5"/>
    <w:rsid w:val="007075B0"/>
    <w:rsid w:val="0073449F"/>
    <w:rsid w:val="00764FED"/>
    <w:rsid w:val="0077060E"/>
    <w:rsid w:val="00781F39"/>
    <w:rsid w:val="007902DF"/>
    <w:rsid w:val="00793077"/>
    <w:rsid w:val="00794926"/>
    <w:rsid w:val="007C3487"/>
    <w:rsid w:val="007D234C"/>
    <w:rsid w:val="007F3913"/>
    <w:rsid w:val="007F6A0E"/>
    <w:rsid w:val="0080023A"/>
    <w:rsid w:val="008076D3"/>
    <w:rsid w:val="0081588F"/>
    <w:rsid w:val="00822ECE"/>
    <w:rsid w:val="00823D1B"/>
    <w:rsid w:val="00832D87"/>
    <w:rsid w:val="00840B59"/>
    <w:rsid w:val="008420C8"/>
    <w:rsid w:val="008650DC"/>
    <w:rsid w:val="008738BD"/>
    <w:rsid w:val="0088075C"/>
    <w:rsid w:val="00886D85"/>
    <w:rsid w:val="00890D03"/>
    <w:rsid w:val="008B5766"/>
    <w:rsid w:val="008C1A78"/>
    <w:rsid w:val="008C3A5B"/>
    <w:rsid w:val="008C5FEF"/>
    <w:rsid w:val="008C7DCA"/>
    <w:rsid w:val="008D062A"/>
    <w:rsid w:val="008F16DF"/>
    <w:rsid w:val="009019F5"/>
    <w:rsid w:val="00923A4C"/>
    <w:rsid w:val="00924BD2"/>
    <w:rsid w:val="0092586C"/>
    <w:rsid w:val="00934463"/>
    <w:rsid w:val="00947C71"/>
    <w:rsid w:val="00972E0A"/>
    <w:rsid w:val="00972E1E"/>
    <w:rsid w:val="009A1962"/>
    <w:rsid w:val="009B1AB3"/>
    <w:rsid w:val="009B206B"/>
    <w:rsid w:val="009C0E67"/>
    <w:rsid w:val="009C5B4D"/>
    <w:rsid w:val="009D735F"/>
    <w:rsid w:val="009E0002"/>
    <w:rsid w:val="009F220A"/>
    <w:rsid w:val="00A01324"/>
    <w:rsid w:val="00A04ED7"/>
    <w:rsid w:val="00A31D7C"/>
    <w:rsid w:val="00A326FA"/>
    <w:rsid w:val="00A33551"/>
    <w:rsid w:val="00A608D9"/>
    <w:rsid w:val="00A63963"/>
    <w:rsid w:val="00A64A1A"/>
    <w:rsid w:val="00A7548D"/>
    <w:rsid w:val="00A846DB"/>
    <w:rsid w:val="00AA4D17"/>
    <w:rsid w:val="00AC23B7"/>
    <w:rsid w:val="00AD4CE3"/>
    <w:rsid w:val="00AD5644"/>
    <w:rsid w:val="00AE386E"/>
    <w:rsid w:val="00AF3231"/>
    <w:rsid w:val="00AF64BD"/>
    <w:rsid w:val="00B02C4B"/>
    <w:rsid w:val="00B048E1"/>
    <w:rsid w:val="00B17ABD"/>
    <w:rsid w:val="00B34489"/>
    <w:rsid w:val="00B366A6"/>
    <w:rsid w:val="00B36B25"/>
    <w:rsid w:val="00B36FB9"/>
    <w:rsid w:val="00B40177"/>
    <w:rsid w:val="00B42337"/>
    <w:rsid w:val="00B46F61"/>
    <w:rsid w:val="00B51D58"/>
    <w:rsid w:val="00B56FFB"/>
    <w:rsid w:val="00B6363F"/>
    <w:rsid w:val="00B67EE9"/>
    <w:rsid w:val="00B83FEA"/>
    <w:rsid w:val="00B8657F"/>
    <w:rsid w:val="00B90BE0"/>
    <w:rsid w:val="00B9260F"/>
    <w:rsid w:val="00BA1FA5"/>
    <w:rsid w:val="00BF59DD"/>
    <w:rsid w:val="00BF77DB"/>
    <w:rsid w:val="00C01917"/>
    <w:rsid w:val="00C12072"/>
    <w:rsid w:val="00C30467"/>
    <w:rsid w:val="00C3581C"/>
    <w:rsid w:val="00C475AE"/>
    <w:rsid w:val="00C776F7"/>
    <w:rsid w:val="00C86068"/>
    <w:rsid w:val="00C874E4"/>
    <w:rsid w:val="00C91942"/>
    <w:rsid w:val="00C9380C"/>
    <w:rsid w:val="00C9572A"/>
    <w:rsid w:val="00CA0116"/>
    <w:rsid w:val="00CA055F"/>
    <w:rsid w:val="00CA2F1E"/>
    <w:rsid w:val="00CA70A9"/>
    <w:rsid w:val="00CB1BFC"/>
    <w:rsid w:val="00CC12F4"/>
    <w:rsid w:val="00CC5B32"/>
    <w:rsid w:val="00CD4099"/>
    <w:rsid w:val="00CD6589"/>
    <w:rsid w:val="00CE6540"/>
    <w:rsid w:val="00CF3A45"/>
    <w:rsid w:val="00CF6245"/>
    <w:rsid w:val="00CF6B4C"/>
    <w:rsid w:val="00D16424"/>
    <w:rsid w:val="00D26B49"/>
    <w:rsid w:val="00D30D70"/>
    <w:rsid w:val="00D35C4E"/>
    <w:rsid w:val="00D41514"/>
    <w:rsid w:val="00D448F4"/>
    <w:rsid w:val="00D5296F"/>
    <w:rsid w:val="00D53259"/>
    <w:rsid w:val="00D56BD7"/>
    <w:rsid w:val="00D6694A"/>
    <w:rsid w:val="00D72432"/>
    <w:rsid w:val="00D85C8D"/>
    <w:rsid w:val="00D969D0"/>
    <w:rsid w:val="00DA53D8"/>
    <w:rsid w:val="00DA7965"/>
    <w:rsid w:val="00DB15E4"/>
    <w:rsid w:val="00DC20EB"/>
    <w:rsid w:val="00DD214C"/>
    <w:rsid w:val="00DD502C"/>
    <w:rsid w:val="00DE228D"/>
    <w:rsid w:val="00DE338C"/>
    <w:rsid w:val="00DE55E8"/>
    <w:rsid w:val="00DF2803"/>
    <w:rsid w:val="00E03500"/>
    <w:rsid w:val="00E11A05"/>
    <w:rsid w:val="00E25816"/>
    <w:rsid w:val="00E41CCC"/>
    <w:rsid w:val="00E72C77"/>
    <w:rsid w:val="00E91406"/>
    <w:rsid w:val="00EB29D3"/>
    <w:rsid w:val="00EB79C1"/>
    <w:rsid w:val="00EB7BBB"/>
    <w:rsid w:val="00EC2663"/>
    <w:rsid w:val="00EC32C7"/>
    <w:rsid w:val="00ED17AB"/>
    <w:rsid w:val="00ED631D"/>
    <w:rsid w:val="00ED6C2F"/>
    <w:rsid w:val="00EE1384"/>
    <w:rsid w:val="00EF7FD6"/>
    <w:rsid w:val="00F05F33"/>
    <w:rsid w:val="00F13BDF"/>
    <w:rsid w:val="00F13DD1"/>
    <w:rsid w:val="00F1526F"/>
    <w:rsid w:val="00F6354C"/>
    <w:rsid w:val="00F957F3"/>
    <w:rsid w:val="00FA2125"/>
    <w:rsid w:val="00FA5C69"/>
    <w:rsid w:val="00FB0D0A"/>
    <w:rsid w:val="00FC0B87"/>
    <w:rsid w:val="00FD01FD"/>
    <w:rsid w:val="00FD7CEF"/>
    <w:rsid w:val="00FE1653"/>
    <w:rsid w:val="00FE27DD"/>
    <w:rsid w:val="00FE759D"/>
    <w:rsid w:val="00FF224C"/>
    <w:rsid w:val="00FF4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DD"/>
    <w:rPr>
      <w:sz w:val="24"/>
      <w:szCs w:val="24"/>
      <w:lang w:eastAsia="en-US"/>
    </w:rPr>
  </w:style>
  <w:style w:type="paragraph" w:styleId="Heading1">
    <w:name w:val="heading 1"/>
    <w:basedOn w:val="Normal"/>
    <w:next w:val="Normal"/>
    <w:qFormat/>
    <w:rsid w:val="004B6EDD"/>
    <w:pPr>
      <w:keepNext/>
      <w:ind w:left="1440"/>
      <w:outlineLvl w:val="0"/>
    </w:pPr>
    <w:rPr>
      <w:i/>
      <w:iCs/>
    </w:rPr>
  </w:style>
  <w:style w:type="paragraph" w:styleId="Heading2">
    <w:name w:val="heading 2"/>
    <w:basedOn w:val="Normal"/>
    <w:next w:val="Normal"/>
    <w:qFormat/>
    <w:rsid w:val="004B6EDD"/>
    <w:pPr>
      <w:keepNext/>
      <w:ind w:left="1440"/>
      <w:outlineLvl w:val="1"/>
    </w:pPr>
    <w:rPr>
      <w:u w:val="single"/>
    </w:rPr>
  </w:style>
  <w:style w:type="paragraph" w:styleId="Heading3">
    <w:name w:val="heading 3"/>
    <w:basedOn w:val="Normal"/>
    <w:next w:val="Normal"/>
    <w:qFormat/>
    <w:rsid w:val="004B6EDD"/>
    <w:pPr>
      <w:keepNext/>
      <w:numPr>
        <w:numId w:val="1"/>
      </w:numPr>
      <w:outlineLvl w:val="2"/>
    </w:pPr>
    <w:rPr>
      <w:b/>
      <w:u w:val="single"/>
    </w:rPr>
  </w:style>
  <w:style w:type="paragraph" w:styleId="Heading4">
    <w:name w:val="heading 4"/>
    <w:basedOn w:val="Normal"/>
    <w:next w:val="Normal"/>
    <w:qFormat/>
    <w:rsid w:val="004B6EDD"/>
    <w:pPr>
      <w:keepNext/>
      <w:ind w:left="5040" w:firstLine="720"/>
      <w:outlineLvl w:val="3"/>
    </w:pPr>
    <w:rPr>
      <w:b/>
      <w:bCs/>
    </w:rPr>
  </w:style>
  <w:style w:type="paragraph" w:styleId="Heading5">
    <w:name w:val="heading 5"/>
    <w:basedOn w:val="Normal"/>
    <w:next w:val="Normal"/>
    <w:qFormat/>
    <w:rsid w:val="004B6EDD"/>
    <w:pPr>
      <w:keepNext/>
      <w:jc w:val="both"/>
      <w:outlineLvl w:val="4"/>
    </w:pPr>
    <w:rPr>
      <w:b/>
      <w:bCs/>
    </w:rPr>
  </w:style>
  <w:style w:type="paragraph" w:styleId="Heading6">
    <w:name w:val="heading 6"/>
    <w:basedOn w:val="Normal"/>
    <w:next w:val="Normal"/>
    <w:qFormat/>
    <w:rsid w:val="004B6EDD"/>
    <w:pPr>
      <w:keepNext/>
      <w:ind w:left="5040"/>
      <w:outlineLvl w:val="5"/>
    </w:pPr>
    <w:rPr>
      <w:b/>
      <w:bCs/>
    </w:rPr>
  </w:style>
  <w:style w:type="paragraph" w:styleId="Heading7">
    <w:name w:val="heading 7"/>
    <w:basedOn w:val="Normal"/>
    <w:next w:val="Normal"/>
    <w:qFormat/>
    <w:rsid w:val="004B6EDD"/>
    <w:pPr>
      <w:keepNext/>
      <w:ind w:left="6480"/>
      <w:outlineLvl w:val="6"/>
    </w:pPr>
    <w:rPr>
      <w:b/>
      <w:bCs/>
    </w:rPr>
  </w:style>
  <w:style w:type="paragraph" w:styleId="Heading8">
    <w:name w:val="heading 8"/>
    <w:basedOn w:val="Normal"/>
    <w:next w:val="Normal"/>
    <w:qFormat/>
    <w:rsid w:val="004B6EDD"/>
    <w:pPr>
      <w:keepNext/>
      <w:ind w:left="720"/>
      <w:outlineLvl w:val="7"/>
    </w:pPr>
    <w:rPr>
      <w:b/>
    </w:rPr>
  </w:style>
  <w:style w:type="paragraph" w:styleId="Heading9">
    <w:name w:val="heading 9"/>
    <w:basedOn w:val="Normal"/>
    <w:next w:val="Normal"/>
    <w:qFormat/>
    <w:rsid w:val="004B6EDD"/>
    <w:pPr>
      <w:keepNext/>
      <w:ind w:left="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B6EDD"/>
    <w:pPr>
      <w:ind w:left="720"/>
    </w:pPr>
  </w:style>
  <w:style w:type="paragraph" w:styleId="BodyTextIndent2">
    <w:name w:val="Body Text Indent 2"/>
    <w:basedOn w:val="Normal"/>
    <w:semiHidden/>
    <w:rsid w:val="004B6EDD"/>
    <w:pPr>
      <w:ind w:left="1440"/>
    </w:pPr>
  </w:style>
  <w:style w:type="paragraph" w:styleId="BodyTextIndent3">
    <w:name w:val="Body Text Indent 3"/>
    <w:basedOn w:val="Normal"/>
    <w:semiHidden/>
    <w:rsid w:val="004B6EDD"/>
    <w:pPr>
      <w:ind w:left="2160"/>
      <w:jc w:val="both"/>
    </w:pPr>
  </w:style>
  <w:style w:type="paragraph" w:styleId="Footer">
    <w:name w:val="footer"/>
    <w:basedOn w:val="Normal"/>
    <w:semiHidden/>
    <w:rsid w:val="004B6EDD"/>
    <w:pPr>
      <w:tabs>
        <w:tab w:val="center" w:pos="4320"/>
        <w:tab w:val="right" w:pos="8640"/>
      </w:tabs>
    </w:pPr>
  </w:style>
  <w:style w:type="character" w:styleId="PageNumber">
    <w:name w:val="page number"/>
    <w:basedOn w:val="DefaultParagraphFont"/>
    <w:semiHidden/>
    <w:rsid w:val="004B6EDD"/>
  </w:style>
  <w:style w:type="paragraph" w:styleId="Header">
    <w:name w:val="header"/>
    <w:basedOn w:val="Normal"/>
    <w:semiHidden/>
    <w:rsid w:val="004B6EDD"/>
    <w:pPr>
      <w:tabs>
        <w:tab w:val="center" w:pos="4320"/>
        <w:tab w:val="right" w:pos="8640"/>
      </w:tabs>
    </w:pPr>
  </w:style>
  <w:style w:type="character" w:styleId="Hyperlink">
    <w:name w:val="Hyperlink"/>
    <w:basedOn w:val="DefaultParagraphFont"/>
    <w:semiHidden/>
    <w:rsid w:val="004B6EDD"/>
    <w:rPr>
      <w:color w:val="0000FF"/>
      <w:u w:val="single"/>
    </w:rPr>
  </w:style>
  <w:style w:type="paragraph" w:styleId="DocumentMap">
    <w:name w:val="Document Map"/>
    <w:basedOn w:val="Normal"/>
    <w:semiHidden/>
    <w:rsid w:val="004B6EDD"/>
    <w:pPr>
      <w:shd w:val="clear" w:color="auto" w:fill="000080"/>
    </w:pPr>
    <w:rPr>
      <w:rFonts w:ascii="Tahoma" w:hAnsi="Tahoma" w:cs="Tahoma"/>
    </w:rPr>
  </w:style>
  <w:style w:type="paragraph" w:styleId="Title">
    <w:name w:val="Title"/>
    <w:basedOn w:val="Normal"/>
    <w:qFormat/>
    <w:rsid w:val="004B6EDD"/>
    <w:pPr>
      <w:ind w:left="720" w:right="-1260"/>
      <w:jc w:val="center"/>
    </w:pPr>
    <w:rPr>
      <w:b/>
    </w:rPr>
  </w:style>
  <w:style w:type="character" w:styleId="CommentReference">
    <w:name w:val="annotation reference"/>
    <w:basedOn w:val="DefaultParagraphFont"/>
    <w:semiHidden/>
    <w:rsid w:val="004B6EDD"/>
    <w:rPr>
      <w:sz w:val="16"/>
      <w:szCs w:val="16"/>
    </w:rPr>
  </w:style>
  <w:style w:type="paragraph" w:styleId="CommentText">
    <w:name w:val="annotation text"/>
    <w:basedOn w:val="Normal"/>
    <w:semiHidden/>
    <w:rsid w:val="004B6EDD"/>
    <w:rPr>
      <w:sz w:val="20"/>
      <w:szCs w:val="20"/>
    </w:rPr>
  </w:style>
  <w:style w:type="paragraph" w:styleId="CommentSubject">
    <w:name w:val="annotation subject"/>
    <w:basedOn w:val="CommentText"/>
    <w:next w:val="CommentText"/>
    <w:semiHidden/>
    <w:rsid w:val="004B6EDD"/>
    <w:rPr>
      <w:b/>
      <w:bCs/>
    </w:rPr>
  </w:style>
  <w:style w:type="paragraph" w:styleId="BalloonText">
    <w:name w:val="Balloon Text"/>
    <w:basedOn w:val="Normal"/>
    <w:semiHidden/>
    <w:rsid w:val="004B6EDD"/>
    <w:rPr>
      <w:rFonts w:ascii="Tahoma" w:hAnsi="Tahoma" w:cs="Tahoma"/>
      <w:sz w:val="16"/>
      <w:szCs w:val="16"/>
    </w:rPr>
  </w:style>
  <w:style w:type="character" w:customStyle="1" w:styleId="EmailStyle281">
    <w:name w:val="EmailStyle281"/>
    <w:basedOn w:val="DefaultParagraphFont"/>
    <w:semiHidden/>
    <w:rsid w:val="004B6EDD"/>
    <w:rPr>
      <w:rFonts w:ascii="Arial" w:hAnsi="Arial" w:cs="Arial"/>
      <w:color w:val="auto"/>
      <w:sz w:val="20"/>
      <w:szCs w:val="20"/>
    </w:rPr>
  </w:style>
  <w:style w:type="paragraph" w:styleId="BodyText">
    <w:name w:val="Body Text"/>
    <w:basedOn w:val="Normal"/>
    <w:link w:val="BodyTextChar"/>
    <w:uiPriority w:val="99"/>
    <w:unhideWhenUsed/>
    <w:rsid w:val="008C7DCA"/>
    <w:pPr>
      <w:spacing w:after="120"/>
    </w:pPr>
  </w:style>
  <w:style w:type="paragraph" w:customStyle="1" w:styleId="Default">
    <w:name w:val="Default"/>
    <w:basedOn w:val="Normal"/>
    <w:rsid w:val="004B6EDD"/>
    <w:pPr>
      <w:tabs>
        <w:tab w:val="left" w:pos="540"/>
      </w:tabs>
      <w:spacing w:before="120" w:after="120"/>
      <w:jc w:val="both"/>
    </w:pPr>
    <w:rPr>
      <w:rFonts w:ascii="Arial" w:hAnsi="Arial"/>
    </w:rPr>
  </w:style>
  <w:style w:type="paragraph" w:styleId="NormalWeb">
    <w:name w:val="Normal (Web)"/>
    <w:basedOn w:val="Normal"/>
    <w:semiHidden/>
    <w:rsid w:val="004B6EDD"/>
    <w:pPr>
      <w:spacing w:before="100" w:beforeAutospacing="1" w:after="100" w:afterAutospacing="1"/>
    </w:pPr>
    <w:rPr>
      <w:lang w:eastAsia="en-GB"/>
    </w:rPr>
  </w:style>
  <w:style w:type="paragraph" w:styleId="ListParagraph">
    <w:name w:val="List Paragraph"/>
    <w:basedOn w:val="Normal"/>
    <w:qFormat/>
    <w:rsid w:val="004B6EDD"/>
    <w:pPr>
      <w:ind w:left="720"/>
    </w:pPr>
  </w:style>
  <w:style w:type="character" w:customStyle="1" w:styleId="BodyTextChar">
    <w:name w:val="Body Text Char"/>
    <w:basedOn w:val="DefaultParagraphFont"/>
    <w:link w:val="BodyText"/>
    <w:uiPriority w:val="99"/>
    <w:rsid w:val="008C7DCA"/>
    <w:rPr>
      <w:sz w:val="24"/>
      <w:szCs w:val="24"/>
      <w:lang w:val="en-US" w:eastAsia="en-US"/>
    </w:rPr>
  </w:style>
  <w:style w:type="paragraph" w:styleId="Subtitle">
    <w:name w:val="Subtitle"/>
    <w:basedOn w:val="Normal"/>
    <w:link w:val="SubtitleChar"/>
    <w:qFormat/>
    <w:rsid w:val="008C7DCA"/>
    <w:pPr>
      <w:jc w:val="center"/>
    </w:pPr>
    <w:rPr>
      <w:rFonts w:ascii="Arial" w:hAnsi="Arial"/>
      <w:b/>
      <w:color w:val="000000"/>
      <w:sz w:val="20"/>
      <w:szCs w:val="20"/>
    </w:rPr>
  </w:style>
  <w:style w:type="character" w:customStyle="1" w:styleId="SubtitleChar">
    <w:name w:val="Subtitle Char"/>
    <w:basedOn w:val="DefaultParagraphFont"/>
    <w:link w:val="Subtitle"/>
    <w:rsid w:val="008C7DCA"/>
    <w:rPr>
      <w:rFonts w:ascii="Arial" w:hAnsi="Arial"/>
      <w:b/>
      <w:color w:val="000000"/>
      <w:lang w:eastAsia="en-US"/>
    </w:rPr>
  </w:style>
  <w:style w:type="table" w:styleId="TableGrid">
    <w:name w:val="Table Grid"/>
    <w:basedOn w:val="TableNormal"/>
    <w:rsid w:val="008C7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636C84"/>
    <w:rPr>
      <w:rFonts w:ascii="Consolas" w:eastAsia="Calibri" w:hAnsi="Consolas"/>
      <w:sz w:val="21"/>
      <w:szCs w:val="21"/>
    </w:rPr>
  </w:style>
  <w:style w:type="character" w:customStyle="1" w:styleId="PlainTextChar">
    <w:name w:val="Plain Text Char"/>
    <w:basedOn w:val="DefaultParagraphFont"/>
    <w:link w:val="PlainText"/>
    <w:uiPriority w:val="99"/>
    <w:semiHidden/>
    <w:rsid w:val="00636C84"/>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DD"/>
    <w:rPr>
      <w:sz w:val="24"/>
      <w:szCs w:val="24"/>
      <w:lang w:eastAsia="en-US"/>
    </w:rPr>
  </w:style>
  <w:style w:type="paragraph" w:styleId="Heading1">
    <w:name w:val="heading 1"/>
    <w:basedOn w:val="Normal"/>
    <w:next w:val="Normal"/>
    <w:qFormat/>
    <w:rsid w:val="004B6EDD"/>
    <w:pPr>
      <w:keepNext/>
      <w:ind w:left="1440"/>
      <w:outlineLvl w:val="0"/>
    </w:pPr>
    <w:rPr>
      <w:i/>
      <w:iCs/>
    </w:rPr>
  </w:style>
  <w:style w:type="paragraph" w:styleId="Heading2">
    <w:name w:val="heading 2"/>
    <w:basedOn w:val="Normal"/>
    <w:next w:val="Normal"/>
    <w:qFormat/>
    <w:rsid w:val="004B6EDD"/>
    <w:pPr>
      <w:keepNext/>
      <w:ind w:left="1440"/>
      <w:outlineLvl w:val="1"/>
    </w:pPr>
    <w:rPr>
      <w:u w:val="single"/>
    </w:rPr>
  </w:style>
  <w:style w:type="paragraph" w:styleId="Heading3">
    <w:name w:val="heading 3"/>
    <w:basedOn w:val="Normal"/>
    <w:next w:val="Normal"/>
    <w:qFormat/>
    <w:rsid w:val="004B6EDD"/>
    <w:pPr>
      <w:keepNext/>
      <w:numPr>
        <w:numId w:val="1"/>
      </w:numPr>
      <w:outlineLvl w:val="2"/>
    </w:pPr>
    <w:rPr>
      <w:b/>
      <w:u w:val="single"/>
    </w:rPr>
  </w:style>
  <w:style w:type="paragraph" w:styleId="Heading4">
    <w:name w:val="heading 4"/>
    <w:basedOn w:val="Normal"/>
    <w:next w:val="Normal"/>
    <w:qFormat/>
    <w:rsid w:val="004B6EDD"/>
    <w:pPr>
      <w:keepNext/>
      <w:ind w:left="5040" w:firstLine="720"/>
      <w:outlineLvl w:val="3"/>
    </w:pPr>
    <w:rPr>
      <w:b/>
      <w:bCs/>
    </w:rPr>
  </w:style>
  <w:style w:type="paragraph" w:styleId="Heading5">
    <w:name w:val="heading 5"/>
    <w:basedOn w:val="Normal"/>
    <w:next w:val="Normal"/>
    <w:qFormat/>
    <w:rsid w:val="004B6EDD"/>
    <w:pPr>
      <w:keepNext/>
      <w:jc w:val="both"/>
      <w:outlineLvl w:val="4"/>
    </w:pPr>
    <w:rPr>
      <w:b/>
      <w:bCs/>
    </w:rPr>
  </w:style>
  <w:style w:type="paragraph" w:styleId="Heading6">
    <w:name w:val="heading 6"/>
    <w:basedOn w:val="Normal"/>
    <w:next w:val="Normal"/>
    <w:qFormat/>
    <w:rsid w:val="004B6EDD"/>
    <w:pPr>
      <w:keepNext/>
      <w:ind w:left="5040"/>
      <w:outlineLvl w:val="5"/>
    </w:pPr>
    <w:rPr>
      <w:b/>
      <w:bCs/>
    </w:rPr>
  </w:style>
  <w:style w:type="paragraph" w:styleId="Heading7">
    <w:name w:val="heading 7"/>
    <w:basedOn w:val="Normal"/>
    <w:next w:val="Normal"/>
    <w:qFormat/>
    <w:rsid w:val="004B6EDD"/>
    <w:pPr>
      <w:keepNext/>
      <w:ind w:left="6480"/>
      <w:outlineLvl w:val="6"/>
    </w:pPr>
    <w:rPr>
      <w:b/>
      <w:bCs/>
    </w:rPr>
  </w:style>
  <w:style w:type="paragraph" w:styleId="Heading8">
    <w:name w:val="heading 8"/>
    <w:basedOn w:val="Normal"/>
    <w:next w:val="Normal"/>
    <w:qFormat/>
    <w:rsid w:val="004B6EDD"/>
    <w:pPr>
      <w:keepNext/>
      <w:ind w:left="720"/>
      <w:outlineLvl w:val="7"/>
    </w:pPr>
    <w:rPr>
      <w:b/>
    </w:rPr>
  </w:style>
  <w:style w:type="paragraph" w:styleId="Heading9">
    <w:name w:val="heading 9"/>
    <w:basedOn w:val="Normal"/>
    <w:next w:val="Normal"/>
    <w:qFormat/>
    <w:rsid w:val="004B6EDD"/>
    <w:pPr>
      <w:keepNext/>
      <w:ind w:left="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B6EDD"/>
    <w:pPr>
      <w:ind w:left="720"/>
    </w:pPr>
  </w:style>
  <w:style w:type="paragraph" w:styleId="BodyTextIndent2">
    <w:name w:val="Body Text Indent 2"/>
    <w:basedOn w:val="Normal"/>
    <w:semiHidden/>
    <w:rsid w:val="004B6EDD"/>
    <w:pPr>
      <w:ind w:left="1440"/>
    </w:pPr>
  </w:style>
  <w:style w:type="paragraph" w:styleId="BodyTextIndent3">
    <w:name w:val="Body Text Indent 3"/>
    <w:basedOn w:val="Normal"/>
    <w:semiHidden/>
    <w:rsid w:val="004B6EDD"/>
    <w:pPr>
      <w:ind w:left="2160"/>
      <w:jc w:val="both"/>
    </w:pPr>
  </w:style>
  <w:style w:type="paragraph" w:styleId="Footer">
    <w:name w:val="footer"/>
    <w:basedOn w:val="Normal"/>
    <w:semiHidden/>
    <w:rsid w:val="004B6EDD"/>
    <w:pPr>
      <w:tabs>
        <w:tab w:val="center" w:pos="4320"/>
        <w:tab w:val="right" w:pos="8640"/>
      </w:tabs>
    </w:pPr>
  </w:style>
  <w:style w:type="character" w:styleId="PageNumber">
    <w:name w:val="page number"/>
    <w:basedOn w:val="DefaultParagraphFont"/>
    <w:semiHidden/>
    <w:rsid w:val="004B6EDD"/>
  </w:style>
  <w:style w:type="paragraph" w:styleId="Header">
    <w:name w:val="header"/>
    <w:basedOn w:val="Normal"/>
    <w:semiHidden/>
    <w:rsid w:val="004B6EDD"/>
    <w:pPr>
      <w:tabs>
        <w:tab w:val="center" w:pos="4320"/>
        <w:tab w:val="right" w:pos="8640"/>
      </w:tabs>
    </w:pPr>
  </w:style>
  <w:style w:type="character" w:styleId="Hyperlink">
    <w:name w:val="Hyperlink"/>
    <w:basedOn w:val="DefaultParagraphFont"/>
    <w:semiHidden/>
    <w:rsid w:val="004B6EDD"/>
    <w:rPr>
      <w:color w:val="0000FF"/>
      <w:u w:val="single"/>
    </w:rPr>
  </w:style>
  <w:style w:type="paragraph" w:styleId="DocumentMap">
    <w:name w:val="Document Map"/>
    <w:basedOn w:val="Normal"/>
    <w:semiHidden/>
    <w:rsid w:val="004B6EDD"/>
    <w:pPr>
      <w:shd w:val="clear" w:color="auto" w:fill="000080"/>
    </w:pPr>
    <w:rPr>
      <w:rFonts w:ascii="Tahoma" w:hAnsi="Tahoma" w:cs="Tahoma"/>
    </w:rPr>
  </w:style>
  <w:style w:type="paragraph" w:styleId="Title">
    <w:name w:val="Title"/>
    <w:basedOn w:val="Normal"/>
    <w:qFormat/>
    <w:rsid w:val="004B6EDD"/>
    <w:pPr>
      <w:ind w:left="720" w:right="-1260"/>
      <w:jc w:val="center"/>
    </w:pPr>
    <w:rPr>
      <w:b/>
    </w:rPr>
  </w:style>
  <w:style w:type="character" w:styleId="CommentReference">
    <w:name w:val="annotation reference"/>
    <w:basedOn w:val="DefaultParagraphFont"/>
    <w:semiHidden/>
    <w:rsid w:val="004B6EDD"/>
    <w:rPr>
      <w:sz w:val="16"/>
      <w:szCs w:val="16"/>
    </w:rPr>
  </w:style>
  <w:style w:type="paragraph" w:styleId="CommentText">
    <w:name w:val="annotation text"/>
    <w:basedOn w:val="Normal"/>
    <w:semiHidden/>
    <w:rsid w:val="004B6EDD"/>
    <w:rPr>
      <w:sz w:val="20"/>
      <w:szCs w:val="20"/>
    </w:rPr>
  </w:style>
  <w:style w:type="paragraph" w:styleId="CommentSubject">
    <w:name w:val="annotation subject"/>
    <w:basedOn w:val="CommentText"/>
    <w:next w:val="CommentText"/>
    <w:semiHidden/>
    <w:rsid w:val="004B6EDD"/>
    <w:rPr>
      <w:b/>
      <w:bCs/>
    </w:rPr>
  </w:style>
  <w:style w:type="paragraph" w:styleId="BalloonText">
    <w:name w:val="Balloon Text"/>
    <w:basedOn w:val="Normal"/>
    <w:semiHidden/>
    <w:rsid w:val="004B6EDD"/>
    <w:rPr>
      <w:rFonts w:ascii="Tahoma" w:hAnsi="Tahoma" w:cs="Tahoma"/>
      <w:sz w:val="16"/>
      <w:szCs w:val="16"/>
    </w:rPr>
  </w:style>
  <w:style w:type="character" w:customStyle="1" w:styleId="EmailStyle281">
    <w:name w:val="EmailStyle281"/>
    <w:basedOn w:val="DefaultParagraphFont"/>
    <w:semiHidden/>
    <w:rsid w:val="004B6EDD"/>
    <w:rPr>
      <w:rFonts w:ascii="Arial" w:hAnsi="Arial" w:cs="Arial"/>
      <w:color w:val="auto"/>
      <w:sz w:val="20"/>
      <w:szCs w:val="20"/>
    </w:rPr>
  </w:style>
  <w:style w:type="paragraph" w:styleId="BodyText">
    <w:name w:val="Body Text"/>
    <w:basedOn w:val="Normal"/>
    <w:link w:val="BodyTextChar"/>
    <w:uiPriority w:val="99"/>
    <w:unhideWhenUsed/>
    <w:rsid w:val="008C7DCA"/>
    <w:pPr>
      <w:spacing w:after="120"/>
    </w:pPr>
  </w:style>
  <w:style w:type="paragraph" w:customStyle="1" w:styleId="Default">
    <w:name w:val="Default"/>
    <w:basedOn w:val="Normal"/>
    <w:rsid w:val="004B6EDD"/>
    <w:pPr>
      <w:tabs>
        <w:tab w:val="left" w:pos="540"/>
      </w:tabs>
      <w:spacing w:before="120" w:after="120"/>
      <w:jc w:val="both"/>
    </w:pPr>
    <w:rPr>
      <w:rFonts w:ascii="Arial" w:hAnsi="Arial"/>
    </w:rPr>
  </w:style>
  <w:style w:type="paragraph" w:styleId="NormalWeb">
    <w:name w:val="Normal (Web)"/>
    <w:basedOn w:val="Normal"/>
    <w:semiHidden/>
    <w:rsid w:val="004B6EDD"/>
    <w:pPr>
      <w:spacing w:before="100" w:beforeAutospacing="1" w:after="100" w:afterAutospacing="1"/>
    </w:pPr>
    <w:rPr>
      <w:lang w:eastAsia="en-GB"/>
    </w:rPr>
  </w:style>
  <w:style w:type="paragraph" w:styleId="ListParagraph">
    <w:name w:val="List Paragraph"/>
    <w:basedOn w:val="Normal"/>
    <w:qFormat/>
    <w:rsid w:val="004B6EDD"/>
    <w:pPr>
      <w:ind w:left="720"/>
    </w:pPr>
  </w:style>
  <w:style w:type="character" w:customStyle="1" w:styleId="BodyTextChar">
    <w:name w:val="Body Text Char"/>
    <w:basedOn w:val="DefaultParagraphFont"/>
    <w:link w:val="BodyText"/>
    <w:uiPriority w:val="99"/>
    <w:rsid w:val="008C7DCA"/>
    <w:rPr>
      <w:sz w:val="24"/>
      <w:szCs w:val="24"/>
      <w:lang w:val="en-US" w:eastAsia="en-US"/>
    </w:rPr>
  </w:style>
  <w:style w:type="paragraph" w:styleId="Subtitle">
    <w:name w:val="Subtitle"/>
    <w:basedOn w:val="Normal"/>
    <w:link w:val="SubtitleChar"/>
    <w:qFormat/>
    <w:rsid w:val="008C7DCA"/>
    <w:pPr>
      <w:jc w:val="center"/>
    </w:pPr>
    <w:rPr>
      <w:rFonts w:ascii="Arial" w:hAnsi="Arial"/>
      <w:b/>
      <w:color w:val="000000"/>
      <w:sz w:val="20"/>
      <w:szCs w:val="20"/>
    </w:rPr>
  </w:style>
  <w:style w:type="character" w:customStyle="1" w:styleId="SubtitleChar">
    <w:name w:val="Subtitle Char"/>
    <w:basedOn w:val="DefaultParagraphFont"/>
    <w:link w:val="Subtitle"/>
    <w:rsid w:val="008C7DCA"/>
    <w:rPr>
      <w:rFonts w:ascii="Arial" w:hAnsi="Arial"/>
      <w:b/>
      <w:color w:val="000000"/>
      <w:lang w:eastAsia="en-US"/>
    </w:rPr>
  </w:style>
  <w:style w:type="table" w:styleId="TableGrid">
    <w:name w:val="Table Grid"/>
    <w:basedOn w:val="TableNormal"/>
    <w:rsid w:val="008C7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636C84"/>
    <w:rPr>
      <w:rFonts w:ascii="Consolas" w:eastAsia="Calibri" w:hAnsi="Consolas"/>
      <w:sz w:val="21"/>
      <w:szCs w:val="21"/>
    </w:rPr>
  </w:style>
  <w:style w:type="character" w:customStyle="1" w:styleId="PlainTextChar">
    <w:name w:val="Plain Text Char"/>
    <w:basedOn w:val="DefaultParagraphFont"/>
    <w:link w:val="PlainText"/>
    <w:uiPriority w:val="99"/>
    <w:semiHidden/>
    <w:rsid w:val="00636C84"/>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0977">
      <w:bodyDiv w:val="1"/>
      <w:marLeft w:val="0"/>
      <w:marRight w:val="0"/>
      <w:marTop w:val="0"/>
      <w:marBottom w:val="0"/>
      <w:divBdr>
        <w:top w:val="none" w:sz="0" w:space="0" w:color="auto"/>
        <w:left w:val="none" w:sz="0" w:space="0" w:color="auto"/>
        <w:bottom w:val="none" w:sz="0" w:space="0" w:color="auto"/>
        <w:right w:val="none" w:sz="0" w:space="0" w:color="auto"/>
      </w:divBdr>
    </w:div>
    <w:div w:id="738792232">
      <w:bodyDiv w:val="1"/>
      <w:marLeft w:val="0"/>
      <w:marRight w:val="0"/>
      <w:marTop w:val="0"/>
      <w:marBottom w:val="0"/>
      <w:divBdr>
        <w:top w:val="none" w:sz="0" w:space="0" w:color="auto"/>
        <w:left w:val="none" w:sz="0" w:space="0" w:color="auto"/>
        <w:bottom w:val="none" w:sz="0" w:space="0" w:color="auto"/>
        <w:right w:val="none" w:sz="0" w:space="0" w:color="auto"/>
      </w:divBdr>
    </w:div>
    <w:div w:id="1647513436">
      <w:bodyDiv w:val="1"/>
      <w:marLeft w:val="0"/>
      <w:marRight w:val="0"/>
      <w:marTop w:val="0"/>
      <w:marBottom w:val="0"/>
      <w:divBdr>
        <w:top w:val="none" w:sz="0" w:space="0" w:color="auto"/>
        <w:left w:val="none" w:sz="0" w:space="0" w:color="auto"/>
        <w:bottom w:val="none" w:sz="0" w:space="0" w:color="auto"/>
        <w:right w:val="none" w:sz="0" w:space="0" w:color="auto"/>
      </w:divBdr>
    </w:div>
    <w:div w:id="18202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UKOPA</vt:lpstr>
    </vt:vector>
  </TitlesOfParts>
  <Company>BG Technology</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UKOPA</dc:title>
  <dc:creator>HymersCA</dc:creator>
  <cp:lastModifiedBy>Jane Haswell</cp:lastModifiedBy>
  <cp:revision>2</cp:revision>
  <cp:lastPrinted>2010-05-16T11:39:00Z</cp:lastPrinted>
  <dcterms:created xsi:type="dcterms:W3CDTF">2012-06-19T13:00:00Z</dcterms:created>
  <dcterms:modified xsi:type="dcterms:W3CDTF">2012-06-19T13:00:00Z</dcterms:modified>
</cp:coreProperties>
</file>