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45" w:rsidRPr="009D735F" w:rsidRDefault="004F4E45" w:rsidP="009D735F">
      <w:pPr>
        <w:ind w:left="540" w:right="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Emergency Planning Work Group- Notes of Meeting held at </w:t>
      </w:r>
      <w:r w:rsidR="009D735F">
        <w:rPr>
          <w:b/>
          <w:sz w:val="28"/>
          <w:szCs w:val="28"/>
        </w:rPr>
        <w:t>Tebay</w:t>
      </w:r>
      <w:r>
        <w:rPr>
          <w:b/>
          <w:sz w:val="28"/>
          <w:szCs w:val="28"/>
        </w:rPr>
        <w:t xml:space="preserve"> on </w:t>
      </w:r>
      <w:r w:rsidR="00135E30">
        <w:rPr>
          <w:b/>
          <w:sz w:val="28"/>
          <w:szCs w:val="28"/>
        </w:rPr>
        <w:t>28</w:t>
      </w:r>
      <w:r w:rsidR="00135E30" w:rsidRPr="009D735F">
        <w:rPr>
          <w:b/>
          <w:sz w:val="28"/>
          <w:szCs w:val="28"/>
          <w:vertAlign w:val="superscript"/>
        </w:rPr>
        <w:t>th</w:t>
      </w:r>
      <w:r w:rsidR="00135E30">
        <w:rPr>
          <w:b/>
          <w:sz w:val="28"/>
          <w:szCs w:val="28"/>
        </w:rPr>
        <w:t xml:space="preserve"> June</w:t>
      </w:r>
      <w:bookmarkStart w:id="0" w:name="_GoBack"/>
      <w:bookmarkEnd w:id="0"/>
      <w:r w:rsidR="00DD214C">
        <w:rPr>
          <w:b/>
          <w:sz w:val="28"/>
          <w:szCs w:val="28"/>
        </w:rPr>
        <w:t xml:space="preserve"> 2012</w:t>
      </w:r>
    </w:p>
    <w:p w:rsidR="009D735F" w:rsidRDefault="009D735F">
      <w:pPr>
        <w:rPr>
          <w:b/>
        </w:rPr>
      </w:pPr>
    </w:p>
    <w:p w:rsidR="004F4E45" w:rsidRDefault="004F4E45">
      <w:pPr>
        <w:rPr>
          <w:b/>
        </w:rPr>
      </w:pPr>
      <w:r>
        <w:rPr>
          <w:b/>
        </w:rPr>
        <w:t>Attendance:</w:t>
      </w:r>
    </w:p>
    <w:p w:rsidR="00840B59" w:rsidRDefault="00840B59">
      <w:r>
        <w:t>Barry Dalus</w:t>
      </w:r>
      <w:r>
        <w:tab/>
      </w:r>
      <w:r>
        <w:tab/>
        <w:t>Northern Gas Networks (Chairman)</w:t>
      </w:r>
    </w:p>
    <w:p w:rsidR="009D735F" w:rsidRDefault="009D735F" w:rsidP="009D735F">
      <w:r>
        <w:t>R Armstrong</w:t>
      </w:r>
      <w:r>
        <w:tab/>
      </w:r>
      <w:r>
        <w:tab/>
        <w:t>Scotia Gas Networks</w:t>
      </w:r>
    </w:p>
    <w:p w:rsidR="00FA2125" w:rsidRDefault="00FA2125" w:rsidP="00FA2125">
      <w:r>
        <w:t>K McIntosh</w:t>
      </w:r>
      <w:r>
        <w:tab/>
      </w:r>
      <w:r>
        <w:tab/>
        <w:t>National Grid</w:t>
      </w:r>
      <w:r>
        <w:tab/>
      </w:r>
      <w:r>
        <w:tab/>
      </w:r>
    </w:p>
    <w:p w:rsidR="00DD214C" w:rsidRDefault="00DD214C" w:rsidP="00DD214C">
      <w:r>
        <w:t>T Williams</w:t>
      </w:r>
      <w:r>
        <w:tab/>
      </w:r>
      <w:r>
        <w:tab/>
        <w:t>Total</w:t>
      </w:r>
    </w:p>
    <w:p w:rsidR="008650DC" w:rsidRDefault="009D735F">
      <w:r>
        <w:t>J Haswell</w:t>
      </w:r>
      <w:r>
        <w:tab/>
      </w:r>
      <w:r>
        <w:tab/>
        <w:t>UKOPA</w:t>
      </w:r>
    </w:p>
    <w:p w:rsidR="00194C5F" w:rsidRDefault="00194C5F"/>
    <w:p w:rsidR="004B49F6" w:rsidRPr="004B49F6" w:rsidRDefault="004B49F6">
      <w:pPr>
        <w:rPr>
          <w:b/>
        </w:rPr>
      </w:pPr>
      <w:r w:rsidRPr="004B49F6">
        <w:rPr>
          <w:b/>
        </w:rPr>
        <w:t xml:space="preserve">Apologies </w:t>
      </w:r>
    </w:p>
    <w:p w:rsidR="004B49F6" w:rsidRDefault="004B49F6" w:rsidP="004B49F6">
      <w:r>
        <w:t>G Pailor</w:t>
      </w:r>
      <w:r>
        <w:tab/>
      </w:r>
      <w:r>
        <w:tab/>
        <w:t>SABIC UK</w:t>
      </w:r>
    </w:p>
    <w:p w:rsidR="004B49F6" w:rsidRDefault="004B49F6" w:rsidP="004B49F6">
      <w:r>
        <w:t>M Durant</w:t>
      </w:r>
      <w:r>
        <w:tab/>
      </w:r>
      <w:r>
        <w:tab/>
      </w:r>
      <w:proofErr w:type="spellStart"/>
      <w:r>
        <w:t>Exxonmobil</w:t>
      </w:r>
      <w:proofErr w:type="spellEnd"/>
    </w:p>
    <w:p w:rsidR="004B49F6" w:rsidRDefault="004B49F6" w:rsidP="004B49F6">
      <w:r>
        <w:t>A McCormick</w:t>
      </w:r>
      <w:r>
        <w:tab/>
      </w:r>
      <w:r>
        <w:tab/>
        <w:t>Shell UK</w:t>
      </w:r>
    </w:p>
    <w:p w:rsidR="004B49F6" w:rsidRDefault="004B49F6" w:rsidP="004B49F6"/>
    <w:p w:rsidR="004B49F6" w:rsidRPr="004B49F6" w:rsidRDefault="004B49F6" w:rsidP="004B49F6">
      <w:pPr>
        <w:rPr>
          <w:b/>
        </w:rPr>
      </w:pPr>
      <w:r w:rsidRPr="004B49F6">
        <w:rPr>
          <w:b/>
        </w:rPr>
        <w:t>Members</w:t>
      </w:r>
      <w:r>
        <w:rPr>
          <w:b/>
        </w:rPr>
        <w:t>h</w:t>
      </w:r>
      <w:r w:rsidRPr="004B49F6">
        <w:rPr>
          <w:b/>
        </w:rPr>
        <w:t xml:space="preserve">ip </w:t>
      </w:r>
    </w:p>
    <w:p w:rsidR="004B49F6" w:rsidRDefault="004B49F6" w:rsidP="004B49F6">
      <w:r>
        <w:t xml:space="preserve">I Reed, Northern Gas Networks, was welcomed to the EPWG. </w:t>
      </w:r>
    </w:p>
    <w:p w:rsidR="004B49F6" w:rsidRDefault="004B49F6"/>
    <w:p w:rsidR="00C91942" w:rsidRDefault="00C91942" w:rsidP="00A33551">
      <w:pPr>
        <w:numPr>
          <w:ilvl w:val="0"/>
          <w:numId w:val="2"/>
        </w:numPr>
        <w:ind w:left="993" w:hanging="993"/>
        <w:rPr>
          <w:b/>
        </w:rPr>
      </w:pPr>
      <w:r>
        <w:rPr>
          <w:b/>
        </w:rPr>
        <w:t>Notes and Actions of Previous Meeting</w:t>
      </w:r>
    </w:p>
    <w:p w:rsidR="00C91942" w:rsidRDefault="00C91942" w:rsidP="00C91942">
      <w:pPr>
        <w:ind w:left="993"/>
        <w:rPr>
          <w:b/>
        </w:rPr>
      </w:pPr>
    </w:p>
    <w:p w:rsidR="00C91942" w:rsidRDefault="00C91942" w:rsidP="00404AA0">
      <w:r>
        <w:t xml:space="preserve">The notes </w:t>
      </w:r>
      <w:r w:rsidR="002C1920">
        <w:t xml:space="preserve">and actions </w:t>
      </w:r>
      <w:r w:rsidR="00EB29D3">
        <w:t>of the</w:t>
      </w:r>
      <w:r w:rsidR="004B49F6">
        <w:t xml:space="preserve"> meeting held on 26</w:t>
      </w:r>
      <w:r w:rsidR="00FA2125" w:rsidRPr="00FA2125">
        <w:rPr>
          <w:vertAlign w:val="superscript"/>
        </w:rPr>
        <w:t>th</w:t>
      </w:r>
      <w:r w:rsidR="004B49F6">
        <w:t xml:space="preserve"> January 2012</w:t>
      </w:r>
      <w:r w:rsidR="00DD214C">
        <w:t xml:space="preserve"> </w:t>
      </w:r>
      <w:r w:rsidR="002C1920">
        <w:t xml:space="preserve">were </w:t>
      </w:r>
      <w:r>
        <w:t>agreed and the actions</w:t>
      </w:r>
      <w:r w:rsidR="002C1920">
        <w:t xml:space="preserve"> were reviewed</w:t>
      </w:r>
      <w:r>
        <w:t>.</w:t>
      </w:r>
    </w:p>
    <w:p w:rsidR="00126754" w:rsidRDefault="00126754" w:rsidP="00404AA0"/>
    <w:p w:rsidR="00126754" w:rsidRDefault="00126754" w:rsidP="0001074D">
      <w:pPr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PERO Course</w:t>
      </w:r>
    </w:p>
    <w:p w:rsidR="00B67EE9" w:rsidRDefault="00B67EE9" w:rsidP="00C475AE">
      <w:pPr>
        <w:tabs>
          <w:tab w:val="left" w:pos="0"/>
        </w:tabs>
        <w:rPr>
          <w:b/>
        </w:rPr>
      </w:pPr>
    </w:p>
    <w:p w:rsidR="0041506F" w:rsidRPr="0001074D" w:rsidRDefault="004B49F6" w:rsidP="0001074D">
      <w:pPr>
        <w:numPr>
          <w:ilvl w:val="1"/>
          <w:numId w:val="3"/>
        </w:numPr>
        <w:ind w:left="567" w:hanging="567"/>
        <w:rPr>
          <w:b/>
        </w:rPr>
      </w:pPr>
      <w:r w:rsidRPr="0001074D">
        <w:rPr>
          <w:b/>
        </w:rPr>
        <w:t>Feedback</w:t>
      </w:r>
    </w:p>
    <w:p w:rsidR="004B49F6" w:rsidRDefault="002C1920" w:rsidP="0001074D">
      <w:pPr>
        <w:ind w:left="567"/>
      </w:pPr>
      <w:r>
        <w:t>F</w:t>
      </w:r>
      <w:r w:rsidR="004B49F6">
        <w:t xml:space="preserve">eedback continues to be </w:t>
      </w:r>
      <w:r w:rsidR="000E3701">
        <w:t>p</w:t>
      </w:r>
      <w:r w:rsidR="004B49F6">
        <w:t>ositive</w:t>
      </w:r>
      <w:r w:rsidR="000E3701">
        <w:t xml:space="preserve"> overall, some negative comments regarding accommodation are still </w:t>
      </w:r>
      <w:r>
        <w:t xml:space="preserve">being </w:t>
      </w:r>
      <w:r w:rsidR="000E3701">
        <w:t xml:space="preserve">received. </w:t>
      </w:r>
      <w:r w:rsidR="004B49F6">
        <w:t>Negative feed</w:t>
      </w:r>
      <w:r w:rsidR="000E3701">
        <w:t>back from one attendee was noted</w:t>
      </w:r>
      <w:r w:rsidR="004B49F6">
        <w:t xml:space="preserve"> and will be followed up.</w:t>
      </w:r>
    </w:p>
    <w:p w:rsidR="002C1920" w:rsidRDefault="002C1920" w:rsidP="0001074D">
      <w:pPr>
        <w:ind w:left="567"/>
      </w:pPr>
    </w:p>
    <w:p w:rsidR="004B49F6" w:rsidRPr="002C1920" w:rsidRDefault="004B49F6" w:rsidP="0001074D">
      <w:pPr>
        <w:ind w:left="567"/>
        <w:rPr>
          <w:b/>
        </w:rPr>
      </w:pPr>
      <w:r w:rsidRPr="002C1920">
        <w:rPr>
          <w:b/>
        </w:rPr>
        <w:t>Action R Armstrong</w:t>
      </w:r>
    </w:p>
    <w:p w:rsidR="004B49F6" w:rsidRDefault="004B49F6" w:rsidP="004B49F6">
      <w:pPr>
        <w:ind w:left="360" w:firstLine="349"/>
      </w:pPr>
    </w:p>
    <w:p w:rsidR="00B36B25" w:rsidRPr="0001074D" w:rsidRDefault="00C12072" w:rsidP="0001074D">
      <w:pPr>
        <w:numPr>
          <w:ilvl w:val="1"/>
          <w:numId w:val="3"/>
        </w:numPr>
        <w:ind w:left="567" w:hanging="567"/>
        <w:rPr>
          <w:b/>
        </w:rPr>
      </w:pPr>
      <w:r w:rsidRPr="0001074D">
        <w:rPr>
          <w:b/>
        </w:rPr>
        <w:t>Requirements for Future Courses</w:t>
      </w:r>
      <w:r w:rsidR="00C475AE" w:rsidRPr="0001074D">
        <w:rPr>
          <w:b/>
        </w:rPr>
        <w:t xml:space="preserve">  </w:t>
      </w:r>
    </w:p>
    <w:p w:rsidR="00E43433" w:rsidRDefault="00E43433" w:rsidP="0001074D">
      <w:pPr>
        <w:ind w:left="567"/>
      </w:pPr>
      <w:r>
        <w:t>P Jones provided the f</w:t>
      </w:r>
      <w:r w:rsidR="004B49F6">
        <w:t>o</w:t>
      </w:r>
      <w:r>
        <w:t>llo</w:t>
      </w:r>
      <w:r w:rsidR="004B49F6">
        <w:t>wing update</w:t>
      </w:r>
      <w:proofErr w:type="gramStart"/>
      <w:r w:rsidR="004B49F6">
        <w:t>:-</w:t>
      </w:r>
      <w:proofErr w:type="gramEnd"/>
    </w:p>
    <w:p w:rsidR="00E43433" w:rsidRPr="00E43433" w:rsidRDefault="00E43433" w:rsidP="0001074D">
      <w:pPr>
        <w:ind w:left="567"/>
      </w:pPr>
      <w:r>
        <w:t>C</w:t>
      </w:r>
      <w:proofErr w:type="spellStart"/>
      <w:r w:rsidRPr="00E43433">
        <w:rPr>
          <w:lang w:val="en-US" w:eastAsia="en-GB"/>
        </w:rPr>
        <w:t>ourses</w:t>
      </w:r>
      <w:proofErr w:type="spellEnd"/>
      <w:r w:rsidRPr="00E43433">
        <w:rPr>
          <w:lang w:val="en-US" w:eastAsia="en-GB"/>
        </w:rPr>
        <w:t xml:space="preserve"> </w:t>
      </w:r>
      <w:proofErr w:type="spellStart"/>
      <w:r w:rsidRPr="00E43433">
        <w:rPr>
          <w:lang w:val="en-US" w:eastAsia="en-GB"/>
        </w:rPr>
        <w:t>organised</w:t>
      </w:r>
      <w:proofErr w:type="spellEnd"/>
      <w:r w:rsidRPr="00E43433">
        <w:rPr>
          <w:lang w:val="en-US" w:eastAsia="en-GB"/>
        </w:rPr>
        <w:t xml:space="preserve"> for March and May were completed successfully with full attendance. The course originally scheduled for July was cancelled due to lack of </w:t>
      </w:r>
      <w:r w:rsidR="002C1920" w:rsidRPr="00E43433">
        <w:rPr>
          <w:lang w:val="en-US" w:eastAsia="en-GB"/>
        </w:rPr>
        <w:t xml:space="preserve">support. </w:t>
      </w:r>
      <w:r>
        <w:rPr>
          <w:lang w:val="en-US" w:eastAsia="en-GB"/>
        </w:rPr>
        <w:t xml:space="preserve">The </w:t>
      </w:r>
      <w:r w:rsidRPr="00E43433">
        <w:rPr>
          <w:lang w:val="en-US" w:eastAsia="en-GB"/>
        </w:rPr>
        <w:t>course scheduled for 28th/29th November is full,</w:t>
      </w:r>
      <w:r>
        <w:rPr>
          <w:lang w:val="en-US" w:eastAsia="en-GB"/>
        </w:rPr>
        <w:t xml:space="preserve"> subject to confirmation of two attendees. </w:t>
      </w:r>
      <w:r w:rsidRPr="00E43433">
        <w:rPr>
          <w:lang w:val="en-US" w:eastAsia="en-GB"/>
        </w:rPr>
        <w:t xml:space="preserve"> </w:t>
      </w:r>
      <w:r>
        <w:rPr>
          <w:lang w:val="en-US" w:eastAsia="en-GB"/>
        </w:rPr>
        <w:t xml:space="preserve">Nine out of 12 provisional bookings have been made for </w:t>
      </w:r>
      <w:r w:rsidRPr="00E43433">
        <w:rPr>
          <w:lang w:val="en-US" w:eastAsia="en-GB"/>
        </w:rPr>
        <w:t>the course to be held in March 2013</w:t>
      </w:r>
      <w:r>
        <w:rPr>
          <w:lang w:val="en-US" w:eastAsia="en-GB"/>
        </w:rPr>
        <w:t>, dates are required for this course</w:t>
      </w:r>
      <w:r w:rsidR="000E3701">
        <w:rPr>
          <w:lang w:val="en-US" w:eastAsia="en-GB"/>
        </w:rPr>
        <w:t>.</w:t>
      </w:r>
    </w:p>
    <w:p w:rsidR="00E43433" w:rsidRDefault="00E43433" w:rsidP="0041506F">
      <w:pPr>
        <w:ind w:left="709"/>
      </w:pPr>
    </w:p>
    <w:p w:rsidR="002C1920" w:rsidRDefault="002C1920" w:rsidP="0041506F">
      <w:pPr>
        <w:ind w:left="709"/>
      </w:pPr>
    </w:p>
    <w:p w:rsidR="002C1920" w:rsidRDefault="002C1920" w:rsidP="0041506F">
      <w:pPr>
        <w:ind w:left="709"/>
      </w:pPr>
    </w:p>
    <w:p w:rsidR="002C1920" w:rsidRDefault="002C1920" w:rsidP="0041506F">
      <w:pPr>
        <w:ind w:left="709"/>
      </w:pPr>
    </w:p>
    <w:p w:rsidR="004B49F6" w:rsidRPr="0001074D" w:rsidRDefault="0041506F" w:rsidP="0001074D">
      <w:pPr>
        <w:numPr>
          <w:ilvl w:val="1"/>
          <w:numId w:val="3"/>
        </w:numPr>
        <w:ind w:left="567" w:hanging="567"/>
        <w:rPr>
          <w:b/>
        </w:rPr>
      </w:pPr>
      <w:r w:rsidRPr="0001074D">
        <w:rPr>
          <w:b/>
        </w:rPr>
        <w:lastRenderedPageBreak/>
        <w:t>Costs</w:t>
      </w:r>
    </w:p>
    <w:p w:rsidR="000E3701" w:rsidRDefault="000E3701" w:rsidP="0001074D">
      <w:pPr>
        <w:ind w:left="567"/>
      </w:pPr>
      <w:r>
        <w:t>Current costs of £1050.00 per delegate are agreed until end of March 2013. B Dalus is to arrange</w:t>
      </w:r>
      <w:r w:rsidR="001A418B">
        <w:t xml:space="preserve"> a meeting with M Winder</w:t>
      </w:r>
      <w:r>
        <w:t xml:space="preserve"> of the FSC to negotiate a </w:t>
      </w:r>
      <w:proofErr w:type="gramStart"/>
      <w:r>
        <w:t>two year</w:t>
      </w:r>
      <w:proofErr w:type="gramEnd"/>
      <w:r>
        <w:t xml:space="preserve"> contract for courses required in the</w:t>
      </w:r>
      <w:r w:rsidR="006F4263">
        <w:t xml:space="preserve"> </w:t>
      </w:r>
      <w:r w:rsidR="002C1920">
        <w:t>period April</w:t>
      </w:r>
      <w:r>
        <w:t xml:space="preserve"> 2013 – March 2015. </w:t>
      </w:r>
    </w:p>
    <w:p w:rsidR="002C1920" w:rsidRDefault="002C1920" w:rsidP="0001074D">
      <w:pPr>
        <w:ind w:left="567"/>
      </w:pPr>
    </w:p>
    <w:p w:rsidR="000E3701" w:rsidRPr="0001074D" w:rsidRDefault="001A5764" w:rsidP="0001074D">
      <w:pPr>
        <w:ind w:left="567"/>
        <w:rPr>
          <w:b/>
        </w:rPr>
      </w:pPr>
      <w:r w:rsidRPr="0001074D">
        <w:rPr>
          <w:b/>
        </w:rPr>
        <w:t>Action B D</w:t>
      </w:r>
      <w:r w:rsidR="000E3701" w:rsidRPr="0001074D">
        <w:rPr>
          <w:b/>
        </w:rPr>
        <w:t>alus</w:t>
      </w:r>
    </w:p>
    <w:p w:rsidR="008C5FEF" w:rsidRDefault="008C5FEF" w:rsidP="008C5FEF">
      <w:pPr>
        <w:ind w:left="360"/>
      </w:pPr>
    </w:p>
    <w:p w:rsidR="00B71EE5" w:rsidRDefault="00B71EE5" w:rsidP="0001074D">
      <w:pPr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EPWG Planned Activities and Expenditure Profile</w:t>
      </w:r>
    </w:p>
    <w:p w:rsidR="006F4263" w:rsidRDefault="001A5764" w:rsidP="0001074D">
      <w:pPr>
        <w:ind w:left="567"/>
      </w:pPr>
      <w:r>
        <w:t xml:space="preserve">B Dalus reported </w:t>
      </w:r>
      <w:proofErr w:type="gramStart"/>
      <w:r>
        <w:t>that the draft EPWG Expenditure Profi</w:t>
      </w:r>
      <w:r w:rsidR="006F4263">
        <w:t>le (circulated with agenda</w:t>
      </w:r>
      <w:r>
        <w:t>) has been agreed in principle by the UKOPA MC, subject to submission of an expenditure approval request</w:t>
      </w:r>
      <w:proofErr w:type="gramEnd"/>
      <w:r>
        <w:t xml:space="preserve">. </w:t>
      </w:r>
      <w:r w:rsidR="006F4263">
        <w:t>The costs and activities included are</w:t>
      </w:r>
      <w:proofErr w:type="gramStart"/>
      <w:r w:rsidR="006F4263">
        <w:t>:-</w:t>
      </w:r>
      <w:proofErr w:type="gramEnd"/>
    </w:p>
    <w:p w:rsidR="006F4263" w:rsidRDefault="006F4263" w:rsidP="0001074D">
      <w:pPr>
        <w:ind w:left="567"/>
      </w:pPr>
    </w:p>
    <w:p w:rsidR="00CB2934" w:rsidRDefault="006F4263" w:rsidP="0001074D">
      <w:pPr>
        <w:ind w:left="567"/>
      </w:pPr>
      <w:r>
        <w:t xml:space="preserve">Costs </w:t>
      </w:r>
      <w:r w:rsidR="002C1920">
        <w:t>for support</w:t>
      </w:r>
      <w:r>
        <w:t xml:space="preserve"> of PERO </w:t>
      </w:r>
      <w:proofErr w:type="gramStart"/>
      <w:r>
        <w:t xml:space="preserve">course </w:t>
      </w:r>
      <w:r w:rsidR="00CB2934">
        <w:t>:-</w:t>
      </w:r>
      <w:proofErr w:type="gramEnd"/>
    </w:p>
    <w:p w:rsidR="00CB2934" w:rsidRDefault="00CB2934" w:rsidP="0001074D">
      <w:pPr>
        <w:ind w:left="567"/>
      </w:pPr>
      <w:r>
        <w:t>Emergency response awareness DVDs</w:t>
      </w:r>
    </w:p>
    <w:p w:rsidR="00CB2934" w:rsidRDefault="00CB2934" w:rsidP="0001074D">
      <w:pPr>
        <w:ind w:left="567"/>
      </w:pPr>
      <w:r>
        <w:t>Admin support for bookings and registration (P Jones)</w:t>
      </w:r>
    </w:p>
    <w:p w:rsidR="006F4263" w:rsidRDefault="00CB2934" w:rsidP="0001074D">
      <w:pPr>
        <w:ind w:left="567"/>
      </w:pPr>
      <w:r>
        <w:t>Update of PERO course material (estimate for T Taylor and D Cullen)</w:t>
      </w:r>
    </w:p>
    <w:p w:rsidR="00CB2934" w:rsidRDefault="00CB2934" w:rsidP="0001074D">
      <w:pPr>
        <w:ind w:left="567"/>
      </w:pPr>
      <w:r>
        <w:t>Total £8250.00</w:t>
      </w:r>
    </w:p>
    <w:p w:rsidR="00CB2934" w:rsidRDefault="00CB2934" w:rsidP="0001074D">
      <w:pPr>
        <w:ind w:left="567"/>
      </w:pPr>
    </w:p>
    <w:p w:rsidR="00CB2934" w:rsidRDefault="00CB2934" w:rsidP="0001074D">
      <w:pPr>
        <w:ind w:left="567"/>
      </w:pPr>
      <w:r>
        <w:t>Costs for emergency response workshop (proposed by G Pailor)</w:t>
      </w:r>
    </w:p>
    <w:p w:rsidR="00CB2934" w:rsidRDefault="00CB2934" w:rsidP="0001074D">
      <w:pPr>
        <w:ind w:left="567"/>
      </w:pPr>
      <w:r>
        <w:t>Support for organisation (N Barker)</w:t>
      </w:r>
    </w:p>
    <w:p w:rsidR="00CB2934" w:rsidRDefault="00CB2934" w:rsidP="0001074D">
      <w:pPr>
        <w:ind w:left="567"/>
      </w:pPr>
      <w:r>
        <w:t xml:space="preserve">Presentation and facilitation (T Taylor, D Cullen) </w:t>
      </w:r>
    </w:p>
    <w:p w:rsidR="008C336D" w:rsidRDefault="008F1F5E" w:rsidP="0001074D">
      <w:pPr>
        <w:ind w:left="567"/>
      </w:pPr>
      <w:r>
        <w:t>Total £3500.00</w:t>
      </w:r>
    </w:p>
    <w:p w:rsidR="006F4263" w:rsidRPr="001A5764" w:rsidRDefault="008F1F5E" w:rsidP="0001074D">
      <w:pPr>
        <w:ind w:left="567"/>
      </w:pPr>
      <w:r>
        <w:tab/>
      </w:r>
      <w:r>
        <w:tab/>
      </w:r>
    </w:p>
    <w:p w:rsidR="00B71EE5" w:rsidRDefault="00B626C6" w:rsidP="00B626C6">
      <w:pPr>
        <w:ind w:left="567" w:hanging="567"/>
        <w:rPr>
          <w:b/>
        </w:rPr>
      </w:pPr>
      <w:r>
        <w:rPr>
          <w:b/>
        </w:rPr>
        <w:t>3.1</w:t>
      </w:r>
      <w:r>
        <w:rPr>
          <w:b/>
        </w:rPr>
        <w:tab/>
      </w:r>
      <w:r w:rsidR="008C336D">
        <w:rPr>
          <w:b/>
        </w:rPr>
        <w:t>Update of PERO Course M</w:t>
      </w:r>
      <w:r w:rsidR="00B71EE5">
        <w:rPr>
          <w:b/>
        </w:rPr>
        <w:t>aterial</w:t>
      </w:r>
    </w:p>
    <w:p w:rsidR="0001074D" w:rsidRDefault="008C336D" w:rsidP="00C8437D">
      <w:pPr>
        <w:ind w:left="567"/>
      </w:pPr>
      <w:r w:rsidRPr="001A418B">
        <w:t>Followi</w:t>
      </w:r>
      <w:r w:rsidR="00843919">
        <w:t>ng feedback from attendees it is</w:t>
      </w:r>
      <w:r w:rsidRPr="001A418B">
        <w:t xml:space="preserve"> proposed that the </w:t>
      </w:r>
      <w:r w:rsidR="0001074D" w:rsidRPr="001A418B">
        <w:t xml:space="preserve">incident examples and exercise scenarios should be reviewed and any required update </w:t>
      </w:r>
      <w:proofErr w:type="spellStart"/>
      <w:r w:rsidR="0001074D" w:rsidRPr="001A418B">
        <w:t>actioned</w:t>
      </w:r>
      <w:proofErr w:type="spellEnd"/>
      <w:r w:rsidR="0001074D" w:rsidRPr="001A418B">
        <w:t>. J Haswell is to contact T Taylor and D Cullen for advice and a proposal to do this.</w:t>
      </w:r>
    </w:p>
    <w:p w:rsidR="002C1920" w:rsidRPr="00C8437D" w:rsidRDefault="002C1920" w:rsidP="00C8437D">
      <w:pPr>
        <w:ind w:left="567"/>
      </w:pPr>
    </w:p>
    <w:p w:rsidR="0001074D" w:rsidRDefault="0001074D" w:rsidP="00B626C6">
      <w:pPr>
        <w:ind w:firstLine="567"/>
        <w:rPr>
          <w:b/>
        </w:rPr>
      </w:pPr>
      <w:proofErr w:type="gramStart"/>
      <w:r>
        <w:rPr>
          <w:b/>
        </w:rPr>
        <w:t>Action J Haswell.</w:t>
      </w:r>
      <w:proofErr w:type="gramEnd"/>
    </w:p>
    <w:p w:rsidR="0001074D" w:rsidRDefault="0001074D" w:rsidP="00B71EE5">
      <w:pPr>
        <w:rPr>
          <w:b/>
        </w:rPr>
      </w:pPr>
    </w:p>
    <w:p w:rsidR="00B71EE5" w:rsidRDefault="00B71EE5" w:rsidP="00843919">
      <w:pPr>
        <w:ind w:left="567" w:hanging="567"/>
        <w:rPr>
          <w:b/>
        </w:rPr>
      </w:pPr>
      <w:r>
        <w:rPr>
          <w:b/>
        </w:rPr>
        <w:t>3.2</w:t>
      </w:r>
      <w:r>
        <w:rPr>
          <w:b/>
        </w:rPr>
        <w:tab/>
        <w:t>Emergency Procedures Workshop</w:t>
      </w:r>
    </w:p>
    <w:p w:rsidR="008C336D" w:rsidRPr="00B71EE5" w:rsidRDefault="008C336D" w:rsidP="00B71EE5">
      <w:pPr>
        <w:rPr>
          <w:b/>
        </w:rPr>
      </w:pPr>
    </w:p>
    <w:p w:rsidR="008C336D" w:rsidRDefault="008C336D" w:rsidP="00843919">
      <w:pPr>
        <w:ind w:left="567"/>
      </w:pPr>
      <w:r>
        <w:t>Following discussions it was agreed the costs for organisation of the workshop should be increased to allow 4 days for support</w:t>
      </w:r>
      <w:r w:rsidR="00135E30">
        <w:t>,</w:t>
      </w:r>
      <w:r>
        <w:t xml:space="preserve"> and G Pailor be requested to lead a separate meeting to develop the scope and format for the workshop, which will be targeted for Q1 2013.</w:t>
      </w:r>
    </w:p>
    <w:p w:rsidR="008C336D" w:rsidRDefault="008C336D" w:rsidP="00843919">
      <w:pPr>
        <w:ind w:left="567"/>
      </w:pPr>
      <w:r>
        <w:t>J Haswell is to prepare the expenditure approval request and to contact G Pailor to progress the workshop.</w:t>
      </w:r>
    </w:p>
    <w:p w:rsidR="00C8437D" w:rsidRDefault="00C8437D" w:rsidP="00843919">
      <w:pPr>
        <w:ind w:left="567"/>
      </w:pPr>
    </w:p>
    <w:p w:rsidR="008C336D" w:rsidRPr="00C8437D" w:rsidRDefault="008C336D" w:rsidP="00843919">
      <w:pPr>
        <w:ind w:left="567"/>
        <w:rPr>
          <w:b/>
        </w:rPr>
      </w:pPr>
      <w:r w:rsidRPr="00C8437D">
        <w:rPr>
          <w:b/>
        </w:rPr>
        <w:t>Action J Haswell</w:t>
      </w:r>
    </w:p>
    <w:p w:rsidR="008C336D" w:rsidRDefault="008C336D" w:rsidP="00843919">
      <w:pPr>
        <w:ind w:left="567"/>
      </w:pPr>
    </w:p>
    <w:p w:rsidR="008C336D" w:rsidRDefault="008C336D" w:rsidP="00843919">
      <w:pPr>
        <w:ind w:left="567"/>
      </w:pPr>
      <w:r>
        <w:t xml:space="preserve">K McIntosh agreed to make arrangements to hold the workshop in the lecture room at PMC </w:t>
      </w:r>
      <w:proofErr w:type="spellStart"/>
      <w:r w:rsidR="00135E30">
        <w:t>Ambergate</w:t>
      </w:r>
      <w:proofErr w:type="spellEnd"/>
      <w:r w:rsidR="00135E30">
        <w:t xml:space="preserve"> following</w:t>
      </w:r>
      <w:r>
        <w:t xml:space="preserve"> the meeting to discuss requirements and arrangements.</w:t>
      </w:r>
    </w:p>
    <w:p w:rsidR="00C8437D" w:rsidRDefault="00C8437D" w:rsidP="00843919">
      <w:pPr>
        <w:ind w:left="567"/>
      </w:pPr>
    </w:p>
    <w:p w:rsidR="008C336D" w:rsidRPr="00C8437D" w:rsidRDefault="008C336D" w:rsidP="00843919">
      <w:pPr>
        <w:ind w:left="567"/>
        <w:rPr>
          <w:b/>
        </w:rPr>
      </w:pPr>
      <w:r w:rsidRPr="00C8437D">
        <w:rPr>
          <w:b/>
        </w:rPr>
        <w:t>Action K McIntosh</w:t>
      </w:r>
    </w:p>
    <w:p w:rsidR="004A67FE" w:rsidRDefault="004A67FE" w:rsidP="004A67FE">
      <w:pPr>
        <w:ind w:left="993"/>
        <w:rPr>
          <w:b/>
        </w:rPr>
      </w:pPr>
    </w:p>
    <w:p w:rsidR="004F4DDF" w:rsidRDefault="00B71EE5" w:rsidP="00843919">
      <w:pPr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EPWG Documents</w:t>
      </w:r>
    </w:p>
    <w:p w:rsidR="00843919" w:rsidRDefault="00843919" w:rsidP="00843919">
      <w:pPr>
        <w:ind w:left="567"/>
        <w:rPr>
          <w:b/>
        </w:rPr>
      </w:pPr>
    </w:p>
    <w:p w:rsidR="00B71EE5" w:rsidRDefault="00B71EE5" w:rsidP="00843919">
      <w:pPr>
        <w:ind w:left="567" w:hanging="567"/>
        <w:rPr>
          <w:b/>
        </w:rPr>
      </w:pPr>
      <w:r>
        <w:rPr>
          <w:b/>
        </w:rPr>
        <w:t>4.1</w:t>
      </w:r>
      <w:r>
        <w:rPr>
          <w:b/>
        </w:rPr>
        <w:tab/>
        <w:t>Feedback on MAHP Emergency Plan Document</w:t>
      </w:r>
    </w:p>
    <w:p w:rsidR="00BE24F1" w:rsidRDefault="00843919" w:rsidP="00BE24F1">
      <w:pPr>
        <w:ind w:left="567" w:hanging="567"/>
      </w:pPr>
      <w:r w:rsidRPr="00C8437D">
        <w:tab/>
      </w:r>
      <w:r w:rsidR="00C8437D" w:rsidRPr="00C8437D">
        <w:t xml:space="preserve">K McIntosh reported that National Grid had received </w:t>
      </w:r>
      <w:r w:rsidR="00C8437D">
        <w:t>feedback from</w:t>
      </w:r>
      <w:r w:rsidR="00C8437D" w:rsidRPr="00C8437D">
        <w:t xml:space="preserve"> LAEPs </w:t>
      </w:r>
      <w:r w:rsidR="00C8437D">
        <w:t xml:space="preserve">noting </w:t>
      </w:r>
      <w:r w:rsidR="00BE24F1">
        <w:t xml:space="preserve">that the </w:t>
      </w:r>
      <w:r w:rsidR="00C8437D">
        <w:t>term “RESTRICTED</w:t>
      </w:r>
      <w:r w:rsidR="00135E30">
        <w:t>” in</w:t>
      </w:r>
      <w:r w:rsidR="00C8437D">
        <w:t xml:space="preserve"> the MAHP Emergency P</w:t>
      </w:r>
      <w:r w:rsidR="00BE24F1">
        <w:t>l</w:t>
      </w:r>
      <w:r w:rsidR="00C8437D">
        <w:t xml:space="preserve">an </w:t>
      </w:r>
      <w:r w:rsidR="00135E30">
        <w:t xml:space="preserve">template </w:t>
      </w:r>
      <w:r w:rsidR="00C8437D">
        <w:t>document</w:t>
      </w:r>
      <w:r w:rsidR="00BE24F1">
        <w:t xml:space="preserve"> footer is problematic for documents to be prepared with open status. This point was noted, and it is agreed the word is </w:t>
      </w:r>
      <w:r w:rsidR="00C95B53">
        <w:t xml:space="preserve">to changed to lower case, the document </w:t>
      </w:r>
      <w:r w:rsidR="00135E30">
        <w:t>up revved</w:t>
      </w:r>
      <w:r w:rsidR="00C95B53">
        <w:t xml:space="preserve"> and reloaded on the website</w:t>
      </w:r>
    </w:p>
    <w:p w:rsidR="00BE24F1" w:rsidRDefault="00BE24F1" w:rsidP="00BE24F1">
      <w:pPr>
        <w:ind w:left="567" w:hanging="567"/>
      </w:pPr>
    </w:p>
    <w:p w:rsidR="00843919" w:rsidRDefault="00BE24F1" w:rsidP="00BE24F1">
      <w:pPr>
        <w:ind w:left="567"/>
        <w:rPr>
          <w:b/>
        </w:rPr>
      </w:pPr>
      <w:r w:rsidRPr="00BE24F1">
        <w:rPr>
          <w:b/>
        </w:rPr>
        <w:t xml:space="preserve">Action J Haswell </w:t>
      </w:r>
      <w:r w:rsidR="00C8437D" w:rsidRPr="00BE24F1">
        <w:rPr>
          <w:b/>
        </w:rPr>
        <w:t xml:space="preserve"> </w:t>
      </w:r>
    </w:p>
    <w:p w:rsidR="00EB058B" w:rsidRPr="00BE24F1" w:rsidRDefault="00EB058B" w:rsidP="00BE24F1">
      <w:pPr>
        <w:ind w:left="567"/>
        <w:rPr>
          <w:b/>
        </w:rPr>
      </w:pPr>
    </w:p>
    <w:p w:rsidR="00B71EE5" w:rsidRDefault="00B71EE5" w:rsidP="00843919">
      <w:pPr>
        <w:ind w:left="567" w:hanging="567"/>
        <w:rPr>
          <w:b/>
        </w:rPr>
      </w:pPr>
      <w:r>
        <w:rPr>
          <w:b/>
        </w:rPr>
        <w:t>4.2</w:t>
      </w:r>
      <w:r>
        <w:rPr>
          <w:b/>
        </w:rPr>
        <w:tab/>
        <w:t>Communication with Emergency Planners</w:t>
      </w:r>
    </w:p>
    <w:p w:rsidR="00BE24F1" w:rsidRDefault="00BE24F1" w:rsidP="00843919">
      <w:pPr>
        <w:ind w:left="567" w:hanging="567"/>
      </w:pPr>
      <w:r w:rsidRPr="00BE24F1">
        <w:tab/>
        <w:t xml:space="preserve">J Haswell reported that </w:t>
      </w:r>
      <w:proofErr w:type="gramStart"/>
      <w:r w:rsidRPr="00BE24F1">
        <w:t>LAEP contact details used by National Grid had been provided by K McIntosh, and Scottish and Southern Strategic Coordinating Group contacts had been provided by R Armstrong</w:t>
      </w:r>
      <w:proofErr w:type="gramEnd"/>
      <w:r w:rsidRPr="00BE24F1">
        <w:t xml:space="preserve">. </w:t>
      </w:r>
      <w:r>
        <w:t>The list of LAEP contacts</w:t>
      </w:r>
      <w:r w:rsidR="00EB058B">
        <w:t xml:space="preserve"> </w:t>
      </w:r>
      <w:r>
        <w:t>provided by K McIntosh has been circulated to UKOPA members to add any additional contacts.</w:t>
      </w:r>
      <w:r w:rsidR="00EB058B">
        <w:t xml:space="preserve"> B Dalus agreed to send a signed letter informing LAEPs of the UKOPA documents available on the website to J Haswell for circulation to all LAEPs. The same letter will also be set to the </w:t>
      </w:r>
      <w:r w:rsidR="00C95B53">
        <w:t>Strategic</w:t>
      </w:r>
      <w:r w:rsidR="00EB058B">
        <w:t xml:space="preserve"> Coordinating G</w:t>
      </w:r>
      <w:r w:rsidR="00E40E08">
        <w:t>r</w:t>
      </w:r>
      <w:r w:rsidR="00EB058B">
        <w:t>oup contacts.</w:t>
      </w:r>
    </w:p>
    <w:p w:rsidR="00EB058B" w:rsidRDefault="00EB058B" w:rsidP="00843919">
      <w:pPr>
        <w:ind w:left="567" w:hanging="567"/>
      </w:pPr>
    </w:p>
    <w:p w:rsidR="00EB058B" w:rsidRPr="00EB058B" w:rsidRDefault="00EB058B" w:rsidP="00843919">
      <w:pPr>
        <w:ind w:left="567" w:hanging="567"/>
        <w:rPr>
          <w:b/>
        </w:rPr>
      </w:pPr>
      <w:r w:rsidRPr="00EB058B">
        <w:rPr>
          <w:b/>
        </w:rPr>
        <w:tab/>
        <w:t>Action</w:t>
      </w:r>
      <w:r>
        <w:rPr>
          <w:b/>
        </w:rPr>
        <w:t xml:space="preserve"> </w:t>
      </w:r>
      <w:r w:rsidRPr="00EB058B">
        <w:rPr>
          <w:b/>
        </w:rPr>
        <w:t>B Dalus/J Haswell</w:t>
      </w:r>
    </w:p>
    <w:p w:rsidR="002B7A0D" w:rsidRDefault="002B7A0D" w:rsidP="00C86068"/>
    <w:p w:rsidR="00C95B53" w:rsidRDefault="00C95B53" w:rsidP="00C86068"/>
    <w:p w:rsidR="00E41CCC" w:rsidRDefault="00B71EE5" w:rsidP="00EB058B">
      <w:pPr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Emergency Response</w:t>
      </w:r>
    </w:p>
    <w:p w:rsidR="00B71EE5" w:rsidRDefault="00B71EE5" w:rsidP="00EB058B">
      <w:pPr>
        <w:ind w:left="567" w:hanging="567"/>
        <w:rPr>
          <w:b/>
        </w:rPr>
      </w:pPr>
      <w:r>
        <w:rPr>
          <w:b/>
        </w:rPr>
        <w:t>5.1</w:t>
      </w:r>
      <w:r>
        <w:rPr>
          <w:b/>
        </w:rPr>
        <w:tab/>
        <w:t>Availability of Materials and Equipment</w:t>
      </w:r>
      <w:r w:rsidR="00973F62">
        <w:rPr>
          <w:b/>
        </w:rPr>
        <w:t xml:space="preserve"> and Emergency Response Service Providers</w:t>
      </w:r>
    </w:p>
    <w:p w:rsidR="00C95B53" w:rsidRDefault="00C95B53" w:rsidP="00555BCA">
      <w:pPr>
        <w:ind w:left="567"/>
      </w:pPr>
      <w:r w:rsidRPr="00555BCA">
        <w:t>The existing list of emergency materials and spares available on the members section of the</w:t>
      </w:r>
      <w:r w:rsidR="00555BCA">
        <w:t xml:space="preserve"> website was </w:t>
      </w:r>
      <w:r w:rsidR="00973F62">
        <w:t>considered</w:t>
      </w:r>
      <w:r w:rsidR="00555BCA">
        <w:t>. It w</w:t>
      </w:r>
      <w:r w:rsidRPr="00555BCA">
        <w:t xml:space="preserve">as agreed that </w:t>
      </w:r>
      <w:r w:rsidR="00555BCA" w:rsidRPr="00555BCA">
        <w:t xml:space="preserve">a useful update of this would be a </w:t>
      </w:r>
      <w:r w:rsidR="00973F62">
        <w:t>l</w:t>
      </w:r>
      <w:r w:rsidR="00555BCA" w:rsidRPr="00555BCA">
        <w:t>ist of emerg</w:t>
      </w:r>
      <w:r w:rsidR="00555BCA">
        <w:t xml:space="preserve">ency response service providers, the type of service which </w:t>
      </w:r>
      <w:r w:rsidR="00973F62">
        <w:t>they provide (</w:t>
      </w:r>
      <w:proofErr w:type="spellStart"/>
      <w:r w:rsidR="00973F62">
        <w:t>eg</w:t>
      </w:r>
      <w:proofErr w:type="spellEnd"/>
      <w:r w:rsidR="00973F62">
        <w:t xml:space="preserve"> repair, environmental clean-up </w:t>
      </w:r>
      <w:proofErr w:type="spellStart"/>
      <w:r w:rsidR="00973F62">
        <w:t>etc</w:t>
      </w:r>
      <w:proofErr w:type="spellEnd"/>
      <w:r w:rsidR="00973F62">
        <w:t xml:space="preserve">), the equipment help for immediate deployment in the event of an incident, response service </w:t>
      </w:r>
      <w:r w:rsidR="00555BCA">
        <w:t>and contact details</w:t>
      </w:r>
      <w:r w:rsidR="00973F62">
        <w:t xml:space="preserve"> etc. This information is t</w:t>
      </w:r>
      <w:r w:rsidR="00E2118B">
        <w:t xml:space="preserve">o </w:t>
      </w:r>
      <w:r w:rsidR="00973F62">
        <w:t>be collated and placed o the</w:t>
      </w:r>
      <w:r w:rsidR="00E2118B">
        <w:t xml:space="preserve"> UKO</w:t>
      </w:r>
      <w:r w:rsidR="00973F62">
        <w:t>PA website for use by members.</w:t>
      </w:r>
      <w:r w:rsidR="00E2118B">
        <w:t xml:space="preserve"> J Haswell to progress update of information.</w:t>
      </w:r>
    </w:p>
    <w:p w:rsidR="00973F62" w:rsidRDefault="00973F62" w:rsidP="00555BCA">
      <w:pPr>
        <w:ind w:left="567"/>
      </w:pPr>
    </w:p>
    <w:p w:rsidR="00973F62" w:rsidRDefault="00973F62" w:rsidP="00555BCA">
      <w:pPr>
        <w:ind w:left="567"/>
        <w:rPr>
          <w:b/>
        </w:rPr>
      </w:pPr>
      <w:r w:rsidRPr="00973F62">
        <w:rPr>
          <w:b/>
        </w:rPr>
        <w:t>Action J Haswell</w:t>
      </w:r>
    </w:p>
    <w:p w:rsidR="00E2118B" w:rsidRPr="00973F62" w:rsidRDefault="00E2118B" w:rsidP="00555BCA">
      <w:pPr>
        <w:ind w:left="567"/>
        <w:rPr>
          <w:b/>
        </w:rPr>
      </w:pPr>
    </w:p>
    <w:p w:rsidR="00973F62" w:rsidRPr="00555BCA" w:rsidRDefault="00973F62" w:rsidP="00555BCA">
      <w:pPr>
        <w:ind w:left="567"/>
      </w:pPr>
    </w:p>
    <w:p w:rsidR="00B71EE5" w:rsidRDefault="00B71EE5" w:rsidP="00EB058B">
      <w:pPr>
        <w:ind w:left="567" w:hanging="567"/>
        <w:rPr>
          <w:b/>
        </w:rPr>
      </w:pPr>
      <w:r>
        <w:rPr>
          <w:b/>
        </w:rPr>
        <w:t>5.3</w:t>
      </w:r>
      <w:r>
        <w:rPr>
          <w:b/>
        </w:rPr>
        <w:tab/>
        <w:t>Development of Operator Guidance for Planning for Emergency Response</w:t>
      </w:r>
    </w:p>
    <w:p w:rsidR="00D4573A" w:rsidRDefault="00D4573A" w:rsidP="00EB058B">
      <w:pPr>
        <w:ind w:left="567" w:hanging="567"/>
        <w:rPr>
          <w:b/>
        </w:rPr>
      </w:pPr>
    </w:p>
    <w:p w:rsidR="00E2118B" w:rsidRDefault="00DE1EE1" w:rsidP="005C2CBF">
      <w:pPr>
        <w:ind w:left="567"/>
      </w:pPr>
      <w:r w:rsidRPr="00DE1EE1">
        <w:t xml:space="preserve">The </w:t>
      </w:r>
      <w:r>
        <w:t xml:space="preserve">proposal by G Pailor for EPWG to consider development </w:t>
      </w:r>
      <w:proofErr w:type="gramStart"/>
      <w:r>
        <w:t>of  a</w:t>
      </w:r>
      <w:proofErr w:type="gramEnd"/>
      <w:r>
        <w:t xml:space="preserve"> template for an “Operators Emergency Plan”  </w:t>
      </w:r>
      <w:r w:rsidR="00E40E08">
        <w:t xml:space="preserve">(analogous </w:t>
      </w:r>
      <w:r>
        <w:t>a</w:t>
      </w:r>
      <w:r w:rsidR="00E40E08">
        <w:t xml:space="preserve"> to the document produces for Local Authorities  but for use by pipeline operators) as</w:t>
      </w:r>
      <w:r>
        <w:t xml:space="preserve"> part of EPWG’s input to the UKOPA Strategy was considered, </w:t>
      </w:r>
      <w:r w:rsidR="005C2CBF">
        <w:t>together</w:t>
      </w:r>
      <w:r>
        <w:t xml:space="preserve"> with the following </w:t>
      </w:r>
      <w:r w:rsidR="005C2CBF">
        <w:t>documents</w:t>
      </w:r>
      <w:r>
        <w:t xml:space="preserve"> supplied by G Pailor for background and information:-</w:t>
      </w:r>
    </w:p>
    <w:p w:rsidR="00E40E08" w:rsidRDefault="00E40E08" w:rsidP="005C2CBF">
      <w:pPr>
        <w:ind w:left="567"/>
      </w:pPr>
    </w:p>
    <w:p w:rsidR="005C2CBF" w:rsidRPr="005C2CBF" w:rsidRDefault="005C2CBF" w:rsidP="005C2CBF">
      <w:pPr>
        <w:pStyle w:val="ListParagraph"/>
        <w:numPr>
          <w:ilvl w:val="0"/>
          <w:numId w:val="9"/>
        </w:numPr>
        <w:ind w:left="993" w:hanging="426"/>
      </w:pPr>
      <w:r w:rsidRPr="005C2CBF">
        <w:t xml:space="preserve">HSE Guidance on Emergency Planning for pipelines </w:t>
      </w:r>
    </w:p>
    <w:p w:rsidR="005C2CBF" w:rsidRPr="005C2CBF" w:rsidRDefault="005C2CBF" w:rsidP="005C2CB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993" w:hanging="426"/>
      </w:pPr>
      <w:r w:rsidRPr="005C2CBF">
        <w:t>HSG191 - Guidelines for emergency planning for major accidents (for COMAH sites)</w:t>
      </w:r>
    </w:p>
    <w:p w:rsidR="005C2CBF" w:rsidRPr="005C2CBF" w:rsidRDefault="005C2CBF" w:rsidP="005C2CB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993" w:hanging="426"/>
      </w:pPr>
      <w:r w:rsidRPr="005C2CBF">
        <w:t>Example of Local Authority emergency plan</w:t>
      </w:r>
    </w:p>
    <w:p w:rsidR="005C2CBF" w:rsidRPr="005C2CBF" w:rsidRDefault="005C2CBF" w:rsidP="005C2CB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993" w:hanging="426"/>
      </w:pPr>
      <w:r w:rsidRPr="005C2CBF">
        <w:t>Example of pipeline operators emergency plan template</w:t>
      </w:r>
    </w:p>
    <w:p w:rsidR="005C2CBF" w:rsidRPr="005C2CBF" w:rsidRDefault="005C2CBF" w:rsidP="005C2CB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993" w:hanging="426"/>
      </w:pPr>
      <w:r w:rsidRPr="005C2CBF">
        <w:t>Example of oil and gas emergency plan</w:t>
      </w:r>
    </w:p>
    <w:p w:rsidR="005C2CBF" w:rsidRPr="00DE1EE1" w:rsidRDefault="005C2CBF" w:rsidP="00E2118B">
      <w:pPr>
        <w:ind w:left="567" w:hanging="567"/>
      </w:pPr>
    </w:p>
    <w:p w:rsidR="00D4573A" w:rsidRPr="00D4573A" w:rsidRDefault="005C2CBF" w:rsidP="00D4573A">
      <w:pPr>
        <w:ind w:left="567"/>
      </w:pPr>
      <w:r w:rsidRPr="005C2CBF">
        <w:t xml:space="preserve">It was agreed that </w:t>
      </w:r>
      <w:proofErr w:type="gramStart"/>
      <w:r w:rsidRPr="005C2CBF">
        <w:t>a summary of the key section of the above documents should be provided for a detailed discussion lead by G Pailor</w:t>
      </w:r>
      <w:proofErr w:type="gramEnd"/>
      <w:r w:rsidRPr="005C2CBF">
        <w:t xml:space="preserve"> at the</w:t>
      </w:r>
      <w:r>
        <w:t xml:space="preserve"> next</w:t>
      </w:r>
      <w:r w:rsidRPr="005C2CBF">
        <w:t xml:space="preserve"> meeting.</w:t>
      </w:r>
      <w:r w:rsidR="00D4573A">
        <w:t xml:space="preserve"> Also p</w:t>
      </w:r>
      <w:r w:rsidR="00D4573A" w:rsidRPr="00D4573A">
        <w:t xml:space="preserve">revious related documents developed by the EPWG </w:t>
      </w:r>
      <w:r w:rsidR="00D4573A">
        <w:t xml:space="preserve">(management of damaged pipelines and liquid spill response) </w:t>
      </w:r>
      <w:r w:rsidR="00D4573A" w:rsidRPr="00D4573A">
        <w:t xml:space="preserve">are to be circulated for information. </w:t>
      </w:r>
    </w:p>
    <w:p w:rsidR="005C2CBF" w:rsidRDefault="005C2CBF" w:rsidP="00D4573A"/>
    <w:p w:rsidR="005C2CBF" w:rsidRDefault="005C2CBF" w:rsidP="005C2CBF">
      <w:pPr>
        <w:ind w:left="567"/>
        <w:rPr>
          <w:b/>
        </w:rPr>
      </w:pPr>
      <w:r w:rsidRPr="005C2CBF">
        <w:rPr>
          <w:b/>
        </w:rPr>
        <w:t>Action J Haswell</w:t>
      </w:r>
    </w:p>
    <w:p w:rsidR="005C2CBF" w:rsidRPr="005C2CBF" w:rsidRDefault="005C2CBF" w:rsidP="00D4573A">
      <w:pPr>
        <w:rPr>
          <w:b/>
        </w:rPr>
      </w:pPr>
    </w:p>
    <w:p w:rsidR="00E25798" w:rsidRDefault="00E25798" w:rsidP="00EB058B">
      <w:pPr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National Environmental Strategy Group</w:t>
      </w:r>
      <w:r w:rsidR="00D4573A">
        <w:rPr>
          <w:b/>
        </w:rPr>
        <w:t xml:space="preserve"> (NESG) </w:t>
      </w:r>
      <w:r w:rsidR="00B9622D">
        <w:rPr>
          <w:b/>
        </w:rPr>
        <w:t>(Standing Item)</w:t>
      </w:r>
    </w:p>
    <w:p w:rsidR="00D4573A" w:rsidRPr="00D4573A" w:rsidRDefault="00D4573A" w:rsidP="00D4573A">
      <w:pPr>
        <w:ind w:left="567"/>
      </w:pPr>
      <w:r w:rsidRPr="00D4573A">
        <w:t xml:space="preserve">T Williams provided a brief update on discussions with NESG following their meeting in February, covering </w:t>
      </w:r>
    </w:p>
    <w:p w:rsidR="00D4573A" w:rsidRPr="00D4573A" w:rsidRDefault="00D4573A" w:rsidP="00D4573A">
      <w:pPr>
        <w:pStyle w:val="ListParagraph"/>
        <w:numPr>
          <w:ilvl w:val="0"/>
          <w:numId w:val="10"/>
        </w:numPr>
      </w:pPr>
      <w:proofErr w:type="gramStart"/>
      <w:r w:rsidRPr="00D4573A">
        <w:t>opportunities</w:t>
      </w:r>
      <w:proofErr w:type="gramEnd"/>
      <w:r w:rsidRPr="00D4573A">
        <w:t xml:space="preserve"> to share emergency equipment</w:t>
      </w:r>
    </w:p>
    <w:p w:rsidR="00D4573A" w:rsidRPr="00D4573A" w:rsidRDefault="00D4573A" w:rsidP="00D4573A">
      <w:pPr>
        <w:pStyle w:val="ListParagraph"/>
        <w:numPr>
          <w:ilvl w:val="0"/>
          <w:numId w:val="10"/>
        </w:numPr>
      </w:pPr>
      <w:proofErr w:type="gramStart"/>
      <w:r w:rsidRPr="00D4573A">
        <w:t>possibilities</w:t>
      </w:r>
      <w:proofErr w:type="gramEnd"/>
      <w:r w:rsidRPr="00D4573A">
        <w:t xml:space="preserve"> for joint EA/UKOPA training</w:t>
      </w:r>
    </w:p>
    <w:p w:rsidR="00D4573A" w:rsidRPr="00D4573A" w:rsidRDefault="00D4573A" w:rsidP="00D4573A">
      <w:pPr>
        <w:pStyle w:val="ListParagraph"/>
        <w:numPr>
          <w:ilvl w:val="0"/>
          <w:numId w:val="10"/>
        </w:numPr>
      </w:pPr>
      <w:proofErr w:type="gramStart"/>
      <w:r w:rsidRPr="00D4573A">
        <w:t>access</w:t>
      </w:r>
      <w:proofErr w:type="gramEnd"/>
      <w:r w:rsidRPr="00D4573A">
        <w:t xml:space="preserve"> to the EA flood warning database</w:t>
      </w:r>
    </w:p>
    <w:p w:rsidR="00D4573A" w:rsidRDefault="00D4573A" w:rsidP="00D4573A">
      <w:pPr>
        <w:pStyle w:val="ListParagraph"/>
        <w:numPr>
          <w:ilvl w:val="0"/>
          <w:numId w:val="10"/>
        </w:numPr>
      </w:pPr>
      <w:proofErr w:type="gramStart"/>
      <w:r w:rsidRPr="00D4573A">
        <w:t>commercial</w:t>
      </w:r>
      <w:proofErr w:type="gramEnd"/>
      <w:r w:rsidRPr="00D4573A">
        <w:t xml:space="preserve"> access to the EA </w:t>
      </w:r>
      <w:proofErr w:type="spellStart"/>
      <w:r w:rsidRPr="00D4573A">
        <w:t>datashare</w:t>
      </w:r>
      <w:proofErr w:type="spellEnd"/>
      <w:r w:rsidRPr="00D4573A">
        <w:t xml:space="preserve"> software.</w:t>
      </w:r>
    </w:p>
    <w:p w:rsidR="00D4573A" w:rsidRPr="00D4573A" w:rsidRDefault="00D4573A" w:rsidP="00D4573A">
      <w:pPr>
        <w:ind w:left="567"/>
      </w:pPr>
      <w:r>
        <w:t>T Williams agreed to p</w:t>
      </w:r>
      <w:r w:rsidR="00B9622D">
        <w:t>repare a briefing note for EPWG and UKOPA.</w:t>
      </w:r>
    </w:p>
    <w:p w:rsidR="00E25798" w:rsidRDefault="00E25798" w:rsidP="00E25798">
      <w:pPr>
        <w:rPr>
          <w:b/>
        </w:rPr>
      </w:pPr>
    </w:p>
    <w:p w:rsidR="00135E30" w:rsidRDefault="00135E30" w:rsidP="00135E30">
      <w:pPr>
        <w:ind w:firstLine="567"/>
        <w:rPr>
          <w:b/>
        </w:rPr>
      </w:pPr>
      <w:r>
        <w:rPr>
          <w:b/>
        </w:rPr>
        <w:t>Action T Williams</w:t>
      </w:r>
    </w:p>
    <w:p w:rsidR="00135E30" w:rsidRPr="00E25798" w:rsidRDefault="00135E30" w:rsidP="00E25798">
      <w:pPr>
        <w:rPr>
          <w:b/>
        </w:rPr>
      </w:pPr>
    </w:p>
    <w:p w:rsidR="00E25798" w:rsidRDefault="00E25798" w:rsidP="00B9622D">
      <w:pPr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CAPEPLG</w:t>
      </w:r>
      <w:r w:rsidR="00B9622D">
        <w:rPr>
          <w:b/>
        </w:rPr>
        <w:t xml:space="preserve"> (Standing Item)</w:t>
      </w:r>
    </w:p>
    <w:p w:rsidR="00B9622D" w:rsidRPr="00B9622D" w:rsidRDefault="00B9622D" w:rsidP="00B9622D">
      <w:pPr>
        <w:ind w:left="567"/>
      </w:pPr>
      <w:r w:rsidRPr="00B9622D">
        <w:t>K McIntosh reported there has been no recent activity by this group.</w:t>
      </w:r>
    </w:p>
    <w:p w:rsidR="00E25798" w:rsidRDefault="00E25798" w:rsidP="00B9622D">
      <w:pPr>
        <w:rPr>
          <w:b/>
        </w:rPr>
      </w:pPr>
    </w:p>
    <w:p w:rsidR="003C667D" w:rsidRDefault="00E25798" w:rsidP="00B9622D">
      <w:pPr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 xml:space="preserve">Pipeline Hazard Distances for Liquid Pipelines </w:t>
      </w:r>
    </w:p>
    <w:p w:rsidR="00B9622D" w:rsidRDefault="00B9622D" w:rsidP="00B9622D">
      <w:pPr>
        <w:ind w:left="567"/>
      </w:pPr>
      <w:r w:rsidRPr="00B9622D">
        <w:t xml:space="preserve">The </w:t>
      </w:r>
      <w:r w:rsidR="00503D5C">
        <w:t xml:space="preserve">draft </w:t>
      </w:r>
      <w:r w:rsidRPr="00B9622D">
        <w:t>report produced by R McConnell providing hazard distances for liquid pipelines was considered.</w:t>
      </w:r>
      <w:r w:rsidR="00E40E08">
        <w:t xml:space="preserve"> </w:t>
      </w:r>
      <w:r w:rsidR="0091330B">
        <w:t xml:space="preserve"> Thi</w:t>
      </w:r>
      <w:r w:rsidR="00135E30">
        <w:t>s report references a National G</w:t>
      </w:r>
      <w:r w:rsidR="0091330B">
        <w:t xml:space="preserve">rid document entitled </w:t>
      </w:r>
      <w:r w:rsidR="00503D5C">
        <w:t>Information</w:t>
      </w:r>
      <w:r w:rsidR="0091330B">
        <w:t xml:space="preserve"> </w:t>
      </w:r>
      <w:r w:rsidR="00503D5C">
        <w:t>Available</w:t>
      </w:r>
      <w:r w:rsidR="0091330B">
        <w:t xml:space="preserve"> to Emergency Planners </w:t>
      </w:r>
      <w:r w:rsidR="00503D5C">
        <w:t xml:space="preserve">and a report by Advantica entitled Calculation of Hazard Ranges Associated with Gas Transmission Pipeline, supplied by National Grid. </w:t>
      </w:r>
      <w:r w:rsidR="00E40E08">
        <w:t xml:space="preserve">The </w:t>
      </w:r>
      <w:r w:rsidR="00503D5C">
        <w:t xml:space="preserve">draft </w:t>
      </w:r>
      <w:r w:rsidR="00E40E08">
        <w:t xml:space="preserve">report provides </w:t>
      </w:r>
      <w:r w:rsidR="0091330B">
        <w:t xml:space="preserve">thermal hazard distances for a pool fire (termed the emergency planning distance) and the maximum thermal hazard distance for a spray fire, (termed the maximum hazard distance).  </w:t>
      </w:r>
    </w:p>
    <w:p w:rsidR="00503D5C" w:rsidRDefault="00503D5C" w:rsidP="00B9622D">
      <w:pPr>
        <w:ind w:left="567"/>
      </w:pPr>
    </w:p>
    <w:p w:rsidR="00503D5C" w:rsidRDefault="00503D5C" w:rsidP="00B9622D">
      <w:pPr>
        <w:ind w:left="567"/>
      </w:pPr>
      <w:r>
        <w:t xml:space="preserve">The philosophy for defining pipeline hazard distances was discussed. K McIntosh stated that </w:t>
      </w:r>
      <w:r w:rsidR="00135E30">
        <w:t xml:space="preserve">the </w:t>
      </w:r>
      <w:r>
        <w:t xml:space="preserve">National Grid </w:t>
      </w:r>
      <w:r w:rsidR="00135E30">
        <w:t xml:space="preserve">document referenced is out of date, National Grid </w:t>
      </w:r>
      <w:r>
        <w:t>now supply only one hazard distance for each pipeline. B Da</w:t>
      </w:r>
      <w:r w:rsidR="00135E30">
        <w:t>lus and R Armstrong stated the Gas N</w:t>
      </w:r>
      <w:r>
        <w:t>etwork</w:t>
      </w:r>
      <w:r w:rsidR="00135E30">
        <w:t>s</w:t>
      </w:r>
      <w:r>
        <w:t xml:space="preserve"> provide a risk based emergency planning distance and a maximum thermal hazard range. It was agreed that a consistent </w:t>
      </w:r>
      <w:r w:rsidR="00CD07A6">
        <w:t>approach</w:t>
      </w:r>
      <w:r>
        <w:t xml:space="preserve"> by UKOPA members </w:t>
      </w:r>
      <w:r w:rsidR="00CD07A6">
        <w:t xml:space="preserve">should be established. It was agreed that J Haswell would summarise the basis for the calculation of hazard ranges in the </w:t>
      </w:r>
      <w:r w:rsidR="00CD07A6">
        <w:lastRenderedPageBreak/>
        <w:t xml:space="preserve">Advantica Report </w:t>
      </w:r>
      <w:r w:rsidR="00135E30">
        <w:t>and circulate</w:t>
      </w:r>
      <w:r w:rsidR="00CD07A6">
        <w:t xml:space="preserve"> this report for further discussion and agreement at the next meeting.</w:t>
      </w:r>
    </w:p>
    <w:p w:rsidR="00135E30" w:rsidRDefault="00135E30" w:rsidP="00B9622D">
      <w:pPr>
        <w:ind w:left="567"/>
      </w:pPr>
    </w:p>
    <w:p w:rsidR="00CD07A6" w:rsidRPr="00CD07A6" w:rsidRDefault="00CD07A6" w:rsidP="00B9622D">
      <w:pPr>
        <w:ind w:left="567"/>
        <w:rPr>
          <w:b/>
        </w:rPr>
      </w:pPr>
      <w:r w:rsidRPr="00CD07A6">
        <w:rPr>
          <w:b/>
        </w:rPr>
        <w:t>Action J Haswell</w:t>
      </w:r>
    </w:p>
    <w:p w:rsidR="00B9622D" w:rsidRDefault="00B9622D" w:rsidP="00B9622D">
      <w:pPr>
        <w:ind w:left="993"/>
        <w:rPr>
          <w:b/>
        </w:rPr>
      </w:pPr>
    </w:p>
    <w:p w:rsidR="00E25798" w:rsidRDefault="00E25798" w:rsidP="00E40E08">
      <w:pPr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UK Review of Critical Infrastructure</w:t>
      </w:r>
      <w:r w:rsidR="00CD07A6">
        <w:rPr>
          <w:b/>
        </w:rPr>
        <w:t xml:space="preserve"> </w:t>
      </w:r>
    </w:p>
    <w:p w:rsidR="00CD07A6" w:rsidRPr="00CD07A6" w:rsidRDefault="00CD07A6" w:rsidP="00CD07A6">
      <w:pPr>
        <w:ind w:left="567"/>
      </w:pPr>
      <w:r w:rsidRPr="00CD07A6">
        <w:t>To be retained as standing agenda item for update as appropriate.</w:t>
      </w:r>
    </w:p>
    <w:p w:rsidR="00E40E08" w:rsidRDefault="00E40E08" w:rsidP="00E40E08">
      <w:pPr>
        <w:ind w:left="567"/>
        <w:rPr>
          <w:b/>
        </w:rPr>
      </w:pPr>
    </w:p>
    <w:p w:rsidR="00E25798" w:rsidRDefault="00E25798" w:rsidP="00E40E08">
      <w:pPr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Review of Post-Exercise Reports</w:t>
      </w:r>
      <w:r w:rsidR="00CD07A6">
        <w:rPr>
          <w:b/>
        </w:rPr>
        <w:t xml:space="preserve"> (Standing Item)</w:t>
      </w:r>
    </w:p>
    <w:p w:rsidR="00823D1B" w:rsidRPr="00135E30" w:rsidRDefault="00CD07A6" w:rsidP="00135E30">
      <w:pPr>
        <w:ind w:left="567"/>
      </w:pPr>
      <w:r w:rsidRPr="00CD07A6">
        <w:t>No activity to report.</w:t>
      </w:r>
    </w:p>
    <w:p w:rsidR="00D85C8D" w:rsidRPr="005D75A3" w:rsidRDefault="00D85C8D" w:rsidP="00FA5C69">
      <w:pPr>
        <w:rPr>
          <w:b/>
        </w:rPr>
      </w:pPr>
    </w:p>
    <w:p w:rsidR="00CF6B4C" w:rsidRDefault="00E25798" w:rsidP="003C667D">
      <w:pPr>
        <w:numPr>
          <w:ilvl w:val="0"/>
          <w:numId w:val="2"/>
        </w:numPr>
        <w:ind w:left="709" w:hanging="709"/>
        <w:rPr>
          <w:b/>
        </w:rPr>
      </w:pPr>
      <w:r>
        <w:rPr>
          <w:b/>
        </w:rPr>
        <w:t>Date of Next Meeting</w:t>
      </w:r>
    </w:p>
    <w:p w:rsidR="00011744" w:rsidRPr="00011744" w:rsidRDefault="00011744" w:rsidP="00011744">
      <w:pPr>
        <w:ind w:left="709"/>
      </w:pPr>
      <w:r w:rsidRPr="00011744">
        <w:t>The next meeting is scheduled for Tuesday 25</w:t>
      </w:r>
      <w:r w:rsidRPr="00011744">
        <w:rPr>
          <w:vertAlign w:val="superscript"/>
        </w:rPr>
        <w:t>th</w:t>
      </w:r>
      <w:r w:rsidRPr="00011744">
        <w:t xml:space="preserve"> September, Tebay.</w:t>
      </w:r>
    </w:p>
    <w:p w:rsidR="00194C5F" w:rsidRDefault="00194C5F" w:rsidP="00194C5F">
      <w:pPr>
        <w:ind w:left="709"/>
        <w:rPr>
          <w:b/>
        </w:rPr>
      </w:pPr>
    </w:p>
    <w:p w:rsidR="004347E2" w:rsidRDefault="0027018F" w:rsidP="00A33551">
      <w:pPr>
        <w:numPr>
          <w:ilvl w:val="0"/>
          <w:numId w:val="2"/>
        </w:numPr>
        <w:ind w:left="709" w:hanging="709"/>
        <w:rPr>
          <w:b/>
        </w:rPr>
      </w:pPr>
      <w:r w:rsidRPr="00257D2B">
        <w:rPr>
          <w:b/>
        </w:rPr>
        <w:t xml:space="preserve">Review of </w:t>
      </w:r>
      <w:r w:rsidR="004347E2">
        <w:rPr>
          <w:b/>
        </w:rPr>
        <w:t>EPWG Actions</w:t>
      </w:r>
    </w:p>
    <w:p w:rsidR="00CF6245" w:rsidRDefault="00CF6245"/>
    <w:p w:rsidR="00B51D58" w:rsidRDefault="00101971">
      <w:r>
        <w:t xml:space="preserve">The </w:t>
      </w:r>
      <w:r w:rsidR="00257D2B">
        <w:t xml:space="preserve">status of </w:t>
      </w:r>
      <w:r w:rsidR="0027018F">
        <w:t xml:space="preserve">EPWG </w:t>
      </w:r>
      <w:r w:rsidR="005F1DD5">
        <w:t>actions</w:t>
      </w:r>
      <w:r>
        <w:t xml:space="preserve"> </w:t>
      </w:r>
      <w:r w:rsidR="00257D2B">
        <w:t>is summarised</w:t>
      </w:r>
      <w:r w:rsidR="004347E2">
        <w:t xml:space="preserve"> as follows</w:t>
      </w:r>
      <w:proofErr w:type="gramStart"/>
      <w:r w:rsidR="004347E2">
        <w:t>:-</w:t>
      </w:r>
      <w:proofErr w:type="gramEnd"/>
    </w:p>
    <w:p w:rsidR="00257D2B" w:rsidRDefault="00257D2B" w:rsidP="00012AA5">
      <w:pPr>
        <w:rPr>
          <w:b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554"/>
        <w:gridCol w:w="1133"/>
        <w:gridCol w:w="994"/>
        <w:gridCol w:w="3563"/>
      </w:tblGrid>
      <w:tr w:rsidR="00257D2B" w:rsidTr="00362506">
        <w:trPr>
          <w:trHeight w:val="540"/>
          <w:tblHeader/>
        </w:trPr>
        <w:tc>
          <w:tcPr>
            <w:tcW w:w="5000" w:type="pct"/>
            <w:gridSpan w:val="5"/>
          </w:tcPr>
          <w:p w:rsidR="00257D2B" w:rsidRPr="008C7DCA" w:rsidRDefault="00257D2B" w:rsidP="00216EA3">
            <w:pPr>
              <w:spacing w:beforeLines="60" w:before="144" w:afterLines="60" w:after="14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EPWG </w:t>
            </w:r>
            <w:r w:rsidRPr="008C7DCA">
              <w:rPr>
                <w:rFonts w:ascii="Verdana" w:hAnsi="Verdana"/>
                <w:b/>
                <w:sz w:val="20"/>
                <w:szCs w:val="20"/>
              </w:rPr>
              <w:t>Action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Summary </w:t>
            </w:r>
            <w:r w:rsidR="00172128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011744"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4A67FE" w:rsidRPr="004A67FE">
              <w:rPr>
                <w:rFonts w:ascii="Verdana" w:hAnsi="Verdana"/>
                <w:b/>
                <w:sz w:val="20"/>
                <w:szCs w:val="20"/>
                <w:vertAlign w:val="superscript"/>
              </w:rPr>
              <w:t>th</w:t>
            </w:r>
            <w:r w:rsidR="00011744">
              <w:rPr>
                <w:rFonts w:ascii="Verdana" w:hAnsi="Verdana"/>
                <w:b/>
                <w:sz w:val="20"/>
                <w:szCs w:val="20"/>
              </w:rPr>
              <w:t xml:space="preserve"> June</w:t>
            </w:r>
            <w:r w:rsidR="004A67FE">
              <w:rPr>
                <w:rFonts w:ascii="Verdana" w:hAnsi="Verdana"/>
                <w:b/>
                <w:sz w:val="20"/>
                <w:szCs w:val="20"/>
              </w:rPr>
              <w:t xml:space="preserve"> 201</w:t>
            </w:r>
            <w:r w:rsidR="00194C5F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</w:tr>
      <w:tr w:rsidR="00257D2B" w:rsidTr="007075B0">
        <w:trPr>
          <w:trHeight w:val="540"/>
          <w:tblHeader/>
        </w:trPr>
        <w:tc>
          <w:tcPr>
            <w:tcW w:w="268" w:type="pct"/>
          </w:tcPr>
          <w:p w:rsidR="00257D2B" w:rsidRPr="007075B0" w:rsidRDefault="00257D2B" w:rsidP="00216EA3">
            <w:pPr>
              <w:spacing w:beforeLines="50" w:before="120" w:afterLines="50" w:after="120"/>
              <w:jc w:val="center"/>
              <w:rPr>
                <w:b/>
              </w:rPr>
            </w:pPr>
            <w:r w:rsidRPr="007075B0">
              <w:rPr>
                <w:b/>
              </w:rPr>
              <w:t>No</w:t>
            </w:r>
          </w:p>
        </w:tc>
        <w:tc>
          <w:tcPr>
            <w:tcW w:w="1819" w:type="pct"/>
          </w:tcPr>
          <w:p w:rsidR="00257D2B" w:rsidRPr="007075B0" w:rsidRDefault="00257D2B" w:rsidP="00216EA3">
            <w:pPr>
              <w:spacing w:beforeLines="50" w:before="120" w:afterLines="50" w:after="120"/>
              <w:jc w:val="center"/>
              <w:rPr>
                <w:b/>
              </w:rPr>
            </w:pPr>
            <w:r w:rsidRPr="007075B0">
              <w:rPr>
                <w:b/>
              </w:rPr>
              <w:t>Action</w:t>
            </w:r>
          </w:p>
        </w:tc>
        <w:tc>
          <w:tcPr>
            <w:tcW w:w="580" w:type="pct"/>
          </w:tcPr>
          <w:p w:rsidR="00257D2B" w:rsidRPr="007075B0" w:rsidRDefault="00257D2B" w:rsidP="00216EA3">
            <w:pPr>
              <w:spacing w:beforeLines="50" w:before="120" w:afterLines="50" w:after="120"/>
              <w:jc w:val="center"/>
              <w:rPr>
                <w:b/>
              </w:rPr>
            </w:pPr>
            <w:r w:rsidRPr="007075B0">
              <w:rPr>
                <w:b/>
              </w:rPr>
              <w:t xml:space="preserve">Date raised </w:t>
            </w:r>
          </w:p>
        </w:tc>
        <w:tc>
          <w:tcPr>
            <w:tcW w:w="509" w:type="pct"/>
          </w:tcPr>
          <w:p w:rsidR="00257D2B" w:rsidRPr="007075B0" w:rsidRDefault="00257D2B" w:rsidP="00216EA3">
            <w:pPr>
              <w:spacing w:beforeLines="50" w:before="120" w:afterLines="50" w:after="120"/>
              <w:jc w:val="center"/>
              <w:rPr>
                <w:b/>
              </w:rPr>
            </w:pPr>
            <w:r w:rsidRPr="007075B0">
              <w:rPr>
                <w:b/>
              </w:rPr>
              <w:t>By</w:t>
            </w:r>
          </w:p>
        </w:tc>
        <w:tc>
          <w:tcPr>
            <w:tcW w:w="1824" w:type="pct"/>
          </w:tcPr>
          <w:p w:rsidR="00257D2B" w:rsidRPr="007075B0" w:rsidRDefault="00257D2B" w:rsidP="00216EA3">
            <w:pPr>
              <w:spacing w:beforeLines="50" w:before="120" w:afterLines="50" w:after="120"/>
              <w:jc w:val="center"/>
              <w:rPr>
                <w:b/>
              </w:rPr>
            </w:pPr>
            <w:r w:rsidRPr="007075B0">
              <w:rPr>
                <w:b/>
              </w:rPr>
              <w:t>Progress</w:t>
            </w:r>
            <w:r w:rsidR="004347E2" w:rsidRPr="007075B0">
              <w:rPr>
                <w:b/>
              </w:rPr>
              <w:t xml:space="preserve"> –</w:t>
            </w:r>
            <w:r w:rsidR="00172128">
              <w:rPr>
                <w:b/>
              </w:rPr>
              <w:t xml:space="preserve"> 2</w:t>
            </w:r>
            <w:r w:rsidR="00011744">
              <w:rPr>
                <w:b/>
              </w:rPr>
              <w:t>8</w:t>
            </w:r>
            <w:r w:rsidR="004A67FE" w:rsidRPr="004A67FE">
              <w:rPr>
                <w:b/>
                <w:vertAlign w:val="superscript"/>
              </w:rPr>
              <w:t>th</w:t>
            </w:r>
            <w:r w:rsidR="00011744">
              <w:rPr>
                <w:b/>
              </w:rPr>
              <w:t xml:space="preserve"> June</w:t>
            </w:r>
            <w:r w:rsidR="004347E2" w:rsidRPr="007075B0">
              <w:rPr>
                <w:b/>
              </w:rPr>
              <w:t xml:space="preserve"> 20</w:t>
            </w:r>
            <w:r w:rsidR="006E672F">
              <w:rPr>
                <w:b/>
              </w:rPr>
              <w:t>1</w:t>
            </w:r>
            <w:r w:rsidR="00300C67">
              <w:rPr>
                <w:b/>
              </w:rPr>
              <w:t>2</w:t>
            </w:r>
          </w:p>
        </w:tc>
      </w:tr>
      <w:tr w:rsidR="00B6363F" w:rsidTr="007075B0">
        <w:trPr>
          <w:trHeight w:val="720"/>
        </w:trPr>
        <w:tc>
          <w:tcPr>
            <w:tcW w:w="268" w:type="pct"/>
            <w:vAlign w:val="center"/>
          </w:tcPr>
          <w:p w:rsidR="00B6363F" w:rsidRDefault="00B6363F" w:rsidP="00216EA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819" w:type="pct"/>
          </w:tcPr>
          <w:p w:rsidR="00B6363F" w:rsidRDefault="00B6363F" w:rsidP="0080023A">
            <w:r>
              <w:t>Develop UKOPA guidance on pipeline accident hazard distances and exclusion zones.</w:t>
            </w:r>
          </w:p>
        </w:tc>
        <w:tc>
          <w:tcPr>
            <w:tcW w:w="580" w:type="pct"/>
          </w:tcPr>
          <w:p w:rsidR="00B6363F" w:rsidRDefault="00B6363F" w:rsidP="00216EA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20/05/09</w:t>
            </w:r>
            <w:r w:rsidR="00011744">
              <w:rPr>
                <w:b/>
              </w:rPr>
              <w:t>, updated 26806</w:t>
            </w:r>
            <w:r w:rsidR="00300C67">
              <w:rPr>
                <w:b/>
              </w:rPr>
              <w:t>/12</w:t>
            </w:r>
          </w:p>
        </w:tc>
        <w:tc>
          <w:tcPr>
            <w:tcW w:w="509" w:type="pct"/>
          </w:tcPr>
          <w:p w:rsidR="00B6363F" w:rsidRDefault="00B6363F" w:rsidP="00216EA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EPWG</w:t>
            </w:r>
          </w:p>
        </w:tc>
        <w:tc>
          <w:tcPr>
            <w:tcW w:w="1824" w:type="pct"/>
          </w:tcPr>
          <w:p w:rsidR="00011744" w:rsidRDefault="00011744" w:rsidP="00216EA3">
            <w:pPr>
              <w:spacing w:beforeLines="40" w:before="96" w:afterLines="40" w:after="96"/>
            </w:pPr>
            <w:r>
              <w:t xml:space="preserve">A draft report giving hazard distances for liquid pipelines by R McConnell has been received. </w:t>
            </w:r>
          </w:p>
          <w:p w:rsidR="00011744" w:rsidRDefault="00011744" w:rsidP="00216EA3">
            <w:pPr>
              <w:spacing w:beforeLines="40" w:before="96" w:afterLines="40" w:after="96"/>
            </w:pPr>
            <w:r>
              <w:t>The Advantica report presenting thermal ranges for National Grid pipelines is to be circulated, and the philosophy for defining hazard distances is to be discussed at the next meeting.</w:t>
            </w:r>
          </w:p>
          <w:p w:rsidR="004A67FE" w:rsidRDefault="004A67FE" w:rsidP="00216EA3">
            <w:pPr>
              <w:spacing w:beforeLines="40" w:before="96" w:afterLines="40" w:after="96"/>
            </w:pPr>
            <w:r>
              <w:t>This action</w:t>
            </w:r>
            <w:r w:rsidR="00300C67">
              <w:t xml:space="preserve"> is </w:t>
            </w:r>
            <w:proofErr w:type="spellStart"/>
            <w:r w:rsidR="00300C67">
              <w:t>ongoing</w:t>
            </w:r>
            <w:proofErr w:type="spellEnd"/>
          </w:p>
        </w:tc>
      </w:tr>
      <w:tr w:rsidR="00453B1F" w:rsidTr="007075B0">
        <w:trPr>
          <w:trHeight w:val="720"/>
        </w:trPr>
        <w:tc>
          <w:tcPr>
            <w:tcW w:w="268" w:type="pct"/>
            <w:vAlign w:val="center"/>
          </w:tcPr>
          <w:p w:rsidR="00453B1F" w:rsidRDefault="00453B1F" w:rsidP="00216EA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819" w:type="pct"/>
          </w:tcPr>
          <w:p w:rsidR="006466A9" w:rsidRDefault="006466A9" w:rsidP="00453B1F"/>
          <w:p w:rsidR="006466A9" w:rsidRDefault="006466A9" w:rsidP="00453B1F"/>
          <w:p w:rsidR="00453B1F" w:rsidRDefault="008C5FEF" w:rsidP="00453B1F">
            <w:r>
              <w:t>PERO Course Actions</w:t>
            </w:r>
            <w:r w:rsidR="00453B1F">
              <w:t xml:space="preserve"> </w:t>
            </w:r>
          </w:p>
        </w:tc>
        <w:tc>
          <w:tcPr>
            <w:tcW w:w="580" w:type="pct"/>
          </w:tcPr>
          <w:p w:rsidR="00453B1F" w:rsidRDefault="00453B1F" w:rsidP="00216EA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10/03/10</w:t>
            </w:r>
          </w:p>
          <w:p w:rsidR="004A67FE" w:rsidRDefault="004A67FE" w:rsidP="00216EA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Updated</w:t>
            </w:r>
          </w:p>
          <w:p w:rsidR="004A67FE" w:rsidRDefault="00172128" w:rsidP="00216EA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2</w:t>
            </w:r>
            <w:r w:rsidR="00011744">
              <w:rPr>
                <w:b/>
              </w:rPr>
              <w:t>8/06</w:t>
            </w:r>
            <w:r w:rsidR="00300C67">
              <w:rPr>
                <w:b/>
              </w:rPr>
              <w:t>/12</w:t>
            </w:r>
          </w:p>
        </w:tc>
        <w:tc>
          <w:tcPr>
            <w:tcW w:w="509" w:type="pct"/>
          </w:tcPr>
          <w:p w:rsidR="00453B1F" w:rsidRDefault="00F744A6" w:rsidP="00216EA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BD</w:t>
            </w:r>
          </w:p>
          <w:p w:rsidR="00823D1B" w:rsidRDefault="00823D1B" w:rsidP="00216EA3">
            <w:pPr>
              <w:spacing w:beforeLines="40" w:before="96" w:afterLines="40" w:after="96"/>
              <w:rPr>
                <w:b/>
              </w:rPr>
            </w:pPr>
          </w:p>
          <w:p w:rsidR="00823D1B" w:rsidRDefault="00823D1B" w:rsidP="00216EA3">
            <w:pPr>
              <w:spacing w:beforeLines="40" w:before="96" w:afterLines="40" w:after="96"/>
              <w:rPr>
                <w:b/>
              </w:rPr>
            </w:pPr>
          </w:p>
          <w:p w:rsidR="00823D1B" w:rsidRDefault="00823D1B" w:rsidP="00216EA3">
            <w:pPr>
              <w:spacing w:beforeLines="40" w:before="96" w:afterLines="40" w:after="96"/>
              <w:rPr>
                <w:b/>
              </w:rPr>
            </w:pPr>
          </w:p>
          <w:p w:rsidR="004B7F60" w:rsidRDefault="004B7F60" w:rsidP="00216EA3">
            <w:pPr>
              <w:spacing w:beforeLines="40" w:before="96" w:afterLines="40" w:after="96"/>
              <w:rPr>
                <w:b/>
              </w:rPr>
            </w:pPr>
          </w:p>
          <w:p w:rsidR="00823D1B" w:rsidRDefault="00823D1B" w:rsidP="00216EA3">
            <w:pPr>
              <w:spacing w:beforeLines="40" w:before="96" w:afterLines="40" w:after="96"/>
              <w:rPr>
                <w:b/>
              </w:rPr>
            </w:pPr>
          </w:p>
          <w:p w:rsidR="00823D1B" w:rsidRDefault="00823D1B" w:rsidP="00216EA3">
            <w:pPr>
              <w:spacing w:beforeLines="40" w:before="96" w:afterLines="40" w:after="96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JAdM</w:t>
            </w:r>
            <w:proofErr w:type="spellEnd"/>
          </w:p>
          <w:p w:rsidR="00F744A6" w:rsidRDefault="00F744A6" w:rsidP="00216EA3">
            <w:pPr>
              <w:spacing w:beforeLines="40" w:before="96" w:afterLines="40" w:after="96"/>
              <w:rPr>
                <w:b/>
              </w:rPr>
            </w:pPr>
          </w:p>
          <w:p w:rsidR="00F744A6" w:rsidRDefault="00F744A6" w:rsidP="00216EA3">
            <w:pPr>
              <w:spacing w:beforeLines="40" w:before="96" w:afterLines="40" w:after="96"/>
              <w:rPr>
                <w:b/>
              </w:rPr>
            </w:pPr>
          </w:p>
          <w:p w:rsidR="00F744A6" w:rsidRDefault="00F744A6" w:rsidP="00216EA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 xml:space="preserve">JH </w:t>
            </w:r>
          </w:p>
        </w:tc>
        <w:tc>
          <w:tcPr>
            <w:tcW w:w="1824" w:type="pct"/>
          </w:tcPr>
          <w:p w:rsidR="00823D1B" w:rsidRDefault="004B7F60" w:rsidP="00216EA3">
            <w:pPr>
              <w:spacing w:beforeLines="40" w:before="96" w:afterLines="40" w:after="96"/>
            </w:pPr>
            <w:r>
              <w:lastRenderedPageBreak/>
              <w:t>Initiate negotiation of</w:t>
            </w:r>
            <w:r w:rsidR="00011744">
              <w:t xml:space="preserve"> a </w:t>
            </w:r>
            <w:proofErr w:type="gramStart"/>
            <w:r w:rsidR="00011744">
              <w:t>two year</w:t>
            </w:r>
            <w:proofErr w:type="gramEnd"/>
            <w:r w:rsidR="00011744">
              <w:t xml:space="preserve"> contract agreement with the FSC for PERO courses bet</w:t>
            </w:r>
            <w:r>
              <w:t>wee</w:t>
            </w:r>
            <w:r w:rsidR="00011744">
              <w:t xml:space="preserve">n </w:t>
            </w:r>
            <w:r w:rsidR="00F744A6">
              <w:t xml:space="preserve">April 2013 and March 2015. </w:t>
            </w:r>
            <w:r w:rsidR="00300C67">
              <w:t>Updates to course content (exercises and incident information) to be progressed.</w:t>
            </w:r>
          </w:p>
          <w:p w:rsidR="00F744A6" w:rsidRDefault="00823D1B" w:rsidP="00216EA3">
            <w:pPr>
              <w:spacing w:beforeLines="40" w:before="96" w:afterLines="40" w:after="96"/>
            </w:pPr>
            <w:r>
              <w:t xml:space="preserve">J </w:t>
            </w:r>
            <w:proofErr w:type="spellStart"/>
            <w:r>
              <w:t>Anstee</w:t>
            </w:r>
            <w:proofErr w:type="spellEnd"/>
            <w:r>
              <w:t xml:space="preserve"> de Mas </w:t>
            </w:r>
            <w:r w:rsidR="00011744">
              <w:t xml:space="preserve">has provided to </w:t>
            </w:r>
            <w:r>
              <w:t xml:space="preserve">information on the recent SNAM </w:t>
            </w:r>
            <w:r>
              <w:lastRenderedPageBreak/>
              <w:t>incident</w:t>
            </w:r>
            <w:r w:rsidR="00F744A6">
              <w:t xml:space="preserve"> to T Taylor for inclusion</w:t>
            </w:r>
            <w:r w:rsidR="00011744">
              <w:t xml:space="preserve"> in the PERO course material. </w:t>
            </w:r>
          </w:p>
          <w:p w:rsidR="00F744A6" w:rsidRDefault="00F744A6" w:rsidP="00216EA3">
            <w:pPr>
              <w:spacing w:beforeLines="40" w:before="96" w:afterLines="40" w:after="96"/>
            </w:pPr>
            <w:r>
              <w:t>Request proposal for updating PERO course material from T Taylor and D Cullen</w:t>
            </w:r>
          </w:p>
        </w:tc>
      </w:tr>
      <w:tr w:rsidR="006466A9" w:rsidTr="00947C71">
        <w:trPr>
          <w:trHeight w:val="720"/>
        </w:trPr>
        <w:tc>
          <w:tcPr>
            <w:tcW w:w="268" w:type="pct"/>
            <w:vAlign w:val="center"/>
          </w:tcPr>
          <w:p w:rsidR="006466A9" w:rsidRDefault="006466A9" w:rsidP="00216EA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lastRenderedPageBreak/>
              <w:t>57</w:t>
            </w:r>
          </w:p>
        </w:tc>
        <w:tc>
          <w:tcPr>
            <w:tcW w:w="1819" w:type="pct"/>
            <w:vAlign w:val="center"/>
          </w:tcPr>
          <w:p w:rsidR="006466A9" w:rsidRDefault="006466A9" w:rsidP="008C5FEF">
            <w:r>
              <w:t>Letter to LAs</w:t>
            </w:r>
          </w:p>
        </w:tc>
        <w:tc>
          <w:tcPr>
            <w:tcW w:w="580" w:type="pct"/>
            <w:vAlign w:val="center"/>
          </w:tcPr>
          <w:p w:rsidR="006466A9" w:rsidRDefault="006466A9" w:rsidP="00216EA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10/06/11</w:t>
            </w:r>
          </w:p>
          <w:p w:rsidR="00823D1B" w:rsidRDefault="00F744A6" w:rsidP="00216EA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Updated 28/06</w:t>
            </w:r>
            <w:r w:rsidR="00823D1B">
              <w:rPr>
                <w:b/>
              </w:rPr>
              <w:t>/12</w:t>
            </w:r>
          </w:p>
        </w:tc>
        <w:tc>
          <w:tcPr>
            <w:tcW w:w="509" w:type="pct"/>
            <w:vAlign w:val="center"/>
          </w:tcPr>
          <w:p w:rsidR="00F744A6" w:rsidRDefault="00F744A6" w:rsidP="00216EA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BD/JH</w:t>
            </w:r>
          </w:p>
          <w:p w:rsidR="00823D1B" w:rsidRDefault="00823D1B" w:rsidP="00216EA3">
            <w:pPr>
              <w:spacing w:beforeLines="40" w:before="96" w:afterLines="40" w:after="96"/>
              <w:rPr>
                <w:b/>
              </w:rPr>
            </w:pPr>
          </w:p>
          <w:p w:rsidR="00823D1B" w:rsidRDefault="00823D1B" w:rsidP="00216EA3">
            <w:pPr>
              <w:spacing w:beforeLines="40" w:before="96" w:afterLines="40" w:after="96"/>
              <w:rPr>
                <w:b/>
              </w:rPr>
            </w:pPr>
            <w:proofErr w:type="spellStart"/>
            <w:r>
              <w:rPr>
                <w:b/>
              </w:rPr>
              <w:t>KMcI</w:t>
            </w:r>
            <w:proofErr w:type="spellEnd"/>
          </w:p>
        </w:tc>
        <w:tc>
          <w:tcPr>
            <w:tcW w:w="1824" w:type="pct"/>
            <w:vAlign w:val="center"/>
          </w:tcPr>
          <w:p w:rsidR="00F744A6" w:rsidRDefault="00F744A6" w:rsidP="00F744A6">
            <w:pPr>
              <w:spacing w:beforeLines="40" w:before="96" w:afterLines="40" w:after="96"/>
            </w:pPr>
            <w:r>
              <w:t>Finalise letter and circulate to LAEP contacts</w:t>
            </w:r>
          </w:p>
          <w:p w:rsidR="00F744A6" w:rsidRDefault="00F744A6" w:rsidP="00216EA3">
            <w:pPr>
              <w:spacing w:beforeLines="40" w:before="96" w:afterLines="40" w:after="96"/>
            </w:pPr>
          </w:p>
          <w:p w:rsidR="00172128" w:rsidRDefault="00F744A6" w:rsidP="0079270F">
            <w:pPr>
              <w:spacing w:beforeLines="40" w:before="96" w:afterLines="40" w:after="96"/>
            </w:pPr>
            <w:r>
              <w:t xml:space="preserve">LA EPU contact details have been circulated to UKOPA members </w:t>
            </w:r>
            <w:r w:rsidR="00B076DF">
              <w:t>for any</w:t>
            </w:r>
            <w:r w:rsidR="0079270F">
              <w:t xml:space="preserve"> additional contacts. </w:t>
            </w:r>
          </w:p>
        </w:tc>
      </w:tr>
      <w:tr w:rsidR="006466A9" w:rsidTr="00947C71">
        <w:trPr>
          <w:trHeight w:val="720"/>
        </w:trPr>
        <w:tc>
          <w:tcPr>
            <w:tcW w:w="268" w:type="pct"/>
            <w:vAlign w:val="center"/>
          </w:tcPr>
          <w:p w:rsidR="006466A9" w:rsidRDefault="00ED631D" w:rsidP="00216EA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819" w:type="pct"/>
            <w:vAlign w:val="center"/>
          </w:tcPr>
          <w:p w:rsidR="006466A9" w:rsidRDefault="00ED631D" w:rsidP="008C5FEF">
            <w:r>
              <w:t>UKOPA involvement in review of UK CNI</w:t>
            </w:r>
          </w:p>
        </w:tc>
        <w:tc>
          <w:tcPr>
            <w:tcW w:w="580" w:type="pct"/>
            <w:vAlign w:val="center"/>
          </w:tcPr>
          <w:p w:rsidR="006466A9" w:rsidRDefault="00ED631D" w:rsidP="00216EA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20/09</w:t>
            </w:r>
            <w:r w:rsidR="006466A9">
              <w:rPr>
                <w:b/>
              </w:rPr>
              <w:t>/11</w:t>
            </w:r>
          </w:p>
        </w:tc>
        <w:tc>
          <w:tcPr>
            <w:tcW w:w="509" w:type="pct"/>
            <w:vAlign w:val="center"/>
          </w:tcPr>
          <w:p w:rsidR="006466A9" w:rsidRDefault="006466A9" w:rsidP="00216EA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BD/JH</w:t>
            </w:r>
          </w:p>
        </w:tc>
        <w:tc>
          <w:tcPr>
            <w:tcW w:w="1824" w:type="pct"/>
            <w:vAlign w:val="center"/>
          </w:tcPr>
          <w:p w:rsidR="006466A9" w:rsidRDefault="00ED631D" w:rsidP="00216EA3">
            <w:pPr>
              <w:spacing w:beforeLines="40" w:before="96" w:afterLines="40" w:after="96"/>
            </w:pPr>
            <w:r>
              <w:t>Consider strategy for UKOPA involvement at national level in the UK Government review of critical infrastructure.</w:t>
            </w:r>
          </w:p>
          <w:p w:rsidR="00823D1B" w:rsidRDefault="00823D1B" w:rsidP="00216EA3">
            <w:pPr>
              <w:spacing w:beforeLines="40" w:before="96" w:afterLines="40" w:after="96"/>
            </w:pPr>
            <w:proofErr w:type="spellStart"/>
            <w:r>
              <w:t>Ongoing</w:t>
            </w:r>
            <w:proofErr w:type="spellEnd"/>
            <w:r>
              <w:t xml:space="preserve"> action</w:t>
            </w:r>
          </w:p>
        </w:tc>
      </w:tr>
      <w:tr w:rsidR="00823D1B" w:rsidTr="00947C71">
        <w:trPr>
          <w:trHeight w:val="720"/>
        </w:trPr>
        <w:tc>
          <w:tcPr>
            <w:tcW w:w="268" w:type="pct"/>
            <w:vAlign w:val="center"/>
          </w:tcPr>
          <w:p w:rsidR="00823D1B" w:rsidRDefault="00823D1B" w:rsidP="00216EA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819" w:type="pct"/>
            <w:vAlign w:val="center"/>
          </w:tcPr>
          <w:p w:rsidR="00823D1B" w:rsidRDefault="00823D1B" w:rsidP="008C5FEF">
            <w:r>
              <w:t>Review of Post Exercise Report</w:t>
            </w:r>
          </w:p>
        </w:tc>
        <w:tc>
          <w:tcPr>
            <w:tcW w:w="580" w:type="pct"/>
            <w:vAlign w:val="center"/>
          </w:tcPr>
          <w:p w:rsidR="00823D1B" w:rsidRDefault="00823D1B" w:rsidP="00216EA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26/01/12</w:t>
            </w:r>
          </w:p>
        </w:tc>
        <w:tc>
          <w:tcPr>
            <w:tcW w:w="509" w:type="pct"/>
            <w:vAlign w:val="center"/>
          </w:tcPr>
          <w:p w:rsidR="00823D1B" w:rsidRDefault="00823D1B" w:rsidP="00216EA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MD</w:t>
            </w:r>
          </w:p>
        </w:tc>
        <w:tc>
          <w:tcPr>
            <w:tcW w:w="1824" w:type="pct"/>
            <w:vAlign w:val="center"/>
          </w:tcPr>
          <w:p w:rsidR="00823D1B" w:rsidRDefault="00823D1B" w:rsidP="00216EA3">
            <w:pPr>
              <w:spacing w:beforeLines="40" w:before="96" w:afterLines="40" w:after="96"/>
            </w:pPr>
            <w:r>
              <w:t>Provide feedback as appropriate</w:t>
            </w:r>
          </w:p>
        </w:tc>
      </w:tr>
      <w:tr w:rsidR="00823D1B" w:rsidTr="00947C71">
        <w:trPr>
          <w:trHeight w:val="720"/>
        </w:trPr>
        <w:tc>
          <w:tcPr>
            <w:tcW w:w="268" w:type="pct"/>
            <w:vAlign w:val="center"/>
          </w:tcPr>
          <w:p w:rsidR="00823D1B" w:rsidRDefault="00823D1B" w:rsidP="00216EA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819" w:type="pct"/>
            <w:vAlign w:val="center"/>
          </w:tcPr>
          <w:p w:rsidR="00823D1B" w:rsidRDefault="00823D1B" w:rsidP="008C5FEF">
            <w:r>
              <w:t>Attend National Environment</w:t>
            </w:r>
            <w:r w:rsidR="00B366A6">
              <w:t>al</w:t>
            </w:r>
            <w:r>
              <w:t xml:space="preserve"> Strategy Group</w:t>
            </w:r>
          </w:p>
        </w:tc>
        <w:tc>
          <w:tcPr>
            <w:tcW w:w="580" w:type="pct"/>
            <w:vAlign w:val="center"/>
          </w:tcPr>
          <w:p w:rsidR="00823D1B" w:rsidRDefault="00823D1B" w:rsidP="00216EA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26/01/12</w:t>
            </w:r>
          </w:p>
          <w:p w:rsidR="0079270F" w:rsidRDefault="0079270F" w:rsidP="00216EA3">
            <w:pPr>
              <w:spacing w:beforeLines="40" w:before="96" w:afterLines="40" w:after="9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updated</w:t>
            </w:r>
            <w:proofErr w:type="gramEnd"/>
            <w:r>
              <w:rPr>
                <w:b/>
              </w:rPr>
              <w:t xml:space="preserve"> 28.06.12</w:t>
            </w:r>
          </w:p>
        </w:tc>
        <w:tc>
          <w:tcPr>
            <w:tcW w:w="509" w:type="pct"/>
            <w:vAlign w:val="center"/>
          </w:tcPr>
          <w:p w:rsidR="00823D1B" w:rsidRDefault="00823D1B" w:rsidP="00216EA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TW</w:t>
            </w:r>
          </w:p>
        </w:tc>
        <w:tc>
          <w:tcPr>
            <w:tcW w:w="1824" w:type="pct"/>
            <w:vAlign w:val="center"/>
          </w:tcPr>
          <w:p w:rsidR="00823D1B" w:rsidRDefault="0079270F" w:rsidP="00216EA3">
            <w:pPr>
              <w:spacing w:beforeLines="40" w:before="96" w:afterLines="40" w:after="96"/>
            </w:pPr>
            <w:r>
              <w:t>Prepare briefing note on areas of joint interest for EPWG/UKOPA.</w:t>
            </w:r>
          </w:p>
          <w:p w:rsidR="0079270F" w:rsidRDefault="0079270F" w:rsidP="00216EA3">
            <w:pPr>
              <w:spacing w:beforeLines="40" w:before="96" w:afterLines="40" w:after="96"/>
            </w:pPr>
            <w:proofErr w:type="spellStart"/>
            <w:r>
              <w:t>Ongoing</w:t>
            </w:r>
            <w:proofErr w:type="spellEnd"/>
            <w:r>
              <w:t xml:space="preserve"> action</w:t>
            </w:r>
          </w:p>
        </w:tc>
      </w:tr>
      <w:tr w:rsidR="00823D1B" w:rsidTr="00947C71">
        <w:trPr>
          <w:trHeight w:val="720"/>
        </w:trPr>
        <w:tc>
          <w:tcPr>
            <w:tcW w:w="268" w:type="pct"/>
            <w:vAlign w:val="center"/>
          </w:tcPr>
          <w:p w:rsidR="00823D1B" w:rsidRDefault="00823D1B" w:rsidP="00216EA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819" w:type="pct"/>
            <w:vAlign w:val="center"/>
          </w:tcPr>
          <w:p w:rsidR="00823D1B" w:rsidRDefault="00823D1B" w:rsidP="008C5FEF">
            <w:r>
              <w:t>CAPEPLG</w:t>
            </w:r>
          </w:p>
        </w:tc>
        <w:tc>
          <w:tcPr>
            <w:tcW w:w="580" w:type="pct"/>
            <w:vAlign w:val="center"/>
          </w:tcPr>
          <w:p w:rsidR="00823D1B" w:rsidRDefault="00823D1B" w:rsidP="00216EA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26/01/12</w:t>
            </w:r>
          </w:p>
          <w:p w:rsidR="0079270F" w:rsidRDefault="0079270F" w:rsidP="00216EA3">
            <w:pPr>
              <w:spacing w:beforeLines="40" w:before="96" w:afterLines="40" w:after="9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updated</w:t>
            </w:r>
            <w:proofErr w:type="gramEnd"/>
            <w:r>
              <w:rPr>
                <w:b/>
              </w:rPr>
              <w:t xml:space="preserve"> 28.06.12</w:t>
            </w:r>
          </w:p>
        </w:tc>
        <w:tc>
          <w:tcPr>
            <w:tcW w:w="509" w:type="pct"/>
            <w:vAlign w:val="center"/>
          </w:tcPr>
          <w:p w:rsidR="00823D1B" w:rsidRDefault="00823D1B" w:rsidP="00216EA3">
            <w:pPr>
              <w:spacing w:beforeLines="40" w:before="96" w:afterLines="40" w:after="96"/>
              <w:rPr>
                <w:b/>
              </w:rPr>
            </w:pPr>
            <w:proofErr w:type="spellStart"/>
            <w:r>
              <w:rPr>
                <w:b/>
              </w:rPr>
              <w:t>KMcI</w:t>
            </w:r>
            <w:proofErr w:type="spellEnd"/>
          </w:p>
        </w:tc>
        <w:tc>
          <w:tcPr>
            <w:tcW w:w="1824" w:type="pct"/>
            <w:vAlign w:val="center"/>
          </w:tcPr>
          <w:p w:rsidR="00823D1B" w:rsidRDefault="0079270F" w:rsidP="00216EA3">
            <w:pPr>
              <w:spacing w:beforeLines="40" w:before="96" w:afterLines="40" w:after="96"/>
            </w:pPr>
            <w:r>
              <w:t>No recent activity to report.</w:t>
            </w:r>
          </w:p>
          <w:p w:rsidR="0079270F" w:rsidRDefault="0079270F" w:rsidP="00216EA3">
            <w:pPr>
              <w:spacing w:beforeLines="40" w:before="96" w:afterLines="40" w:after="96"/>
            </w:pPr>
            <w:proofErr w:type="spellStart"/>
            <w:r>
              <w:t>Ongoing</w:t>
            </w:r>
            <w:proofErr w:type="spellEnd"/>
            <w:r>
              <w:t xml:space="preserve"> action</w:t>
            </w:r>
          </w:p>
        </w:tc>
      </w:tr>
      <w:tr w:rsidR="0079270F" w:rsidTr="00947C71">
        <w:trPr>
          <w:trHeight w:val="720"/>
        </w:trPr>
        <w:tc>
          <w:tcPr>
            <w:tcW w:w="268" w:type="pct"/>
            <w:vAlign w:val="center"/>
          </w:tcPr>
          <w:p w:rsidR="0079270F" w:rsidRDefault="0079270F" w:rsidP="00216EA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819" w:type="pct"/>
            <w:vAlign w:val="center"/>
          </w:tcPr>
          <w:p w:rsidR="0079270F" w:rsidRDefault="0079270F" w:rsidP="008C5FEF">
            <w:r>
              <w:t>Emergency Response Workshop</w:t>
            </w:r>
          </w:p>
        </w:tc>
        <w:tc>
          <w:tcPr>
            <w:tcW w:w="580" w:type="pct"/>
            <w:vAlign w:val="center"/>
          </w:tcPr>
          <w:p w:rsidR="0079270F" w:rsidRDefault="0079270F" w:rsidP="00216EA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28.06.12</w:t>
            </w:r>
          </w:p>
        </w:tc>
        <w:tc>
          <w:tcPr>
            <w:tcW w:w="509" w:type="pct"/>
            <w:vAlign w:val="center"/>
          </w:tcPr>
          <w:p w:rsidR="0079270F" w:rsidRDefault="0079270F" w:rsidP="00216EA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GP/JH</w:t>
            </w:r>
          </w:p>
        </w:tc>
        <w:tc>
          <w:tcPr>
            <w:tcW w:w="1824" w:type="pct"/>
            <w:vAlign w:val="center"/>
          </w:tcPr>
          <w:p w:rsidR="0079270F" w:rsidRDefault="0079270F" w:rsidP="00216EA3">
            <w:pPr>
              <w:spacing w:beforeLines="40" w:before="96" w:afterLines="40" w:after="96"/>
            </w:pPr>
            <w:r>
              <w:t xml:space="preserve">Meeting to agree format, content </w:t>
            </w:r>
            <w:proofErr w:type="spellStart"/>
            <w:r>
              <w:t>etc</w:t>
            </w:r>
            <w:proofErr w:type="spellEnd"/>
            <w:r>
              <w:t xml:space="preserve"> t</w:t>
            </w:r>
            <w:r w:rsidR="003E234C">
              <w:t xml:space="preserve">o be arranged. </w:t>
            </w:r>
          </w:p>
        </w:tc>
      </w:tr>
      <w:tr w:rsidR="0079270F" w:rsidTr="00947C71">
        <w:trPr>
          <w:trHeight w:val="720"/>
        </w:trPr>
        <w:tc>
          <w:tcPr>
            <w:tcW w:w="268" w:type="pct"/>
            <w:vAlign w:val="center"/>
          </w:tcPr>
          <w:p w:rsidR="0079270F" w:rsidRDefault="003E234C" w:rsidP="00216EA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819" w:type="pct"/>
            <w:vAlign w:val="center"/>
          </w:tcPr>
          <w:p w:rsidR="0079270F" w:rsidRDefault="003E234C" w:rsidP="008C5FEF">
            <w:r>
              <w:t>Operators Emergency Plan</w:t>
            </w:r>
          </w:p>
        </w:tc>
        <w:tc>
          <w:tcPr>
            <w:tcW w:w="580" w:type="pct"/>
            <w:vAlign w:val="center"/>
          </w:tcPr>
          <w:p w:rsidR="0079270F" w:rsidRDefault="003E234C" w:rsidP="00216EA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28.06.12</w:t>
            </w:r>
          </w:p>
        </w:tc>
        <w:tc>
          <w:tcPr>
            <w:tcW w:w="509" w:type="pct"/>
            <w:vAlign w:val="center"/>
          </w:tcPr>
          <w:p w:rsidR="0079270F" w:rsidRDefault="003E234C" w:rsidP="00216EA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GP/JH</w:t>
            </w:r>
          </w:p>
        </w:tc>
        <w:tc>
          <w:tcPr>
            <w:tcW w:w="1824" w:type="pct"/>
            <w:vAlign w:val="center"/>
          </w:tcPr>
          <w:p w:rsidR="0079270F" w:rsidRDefault="003E234C" w:rsidP="00216EA3">
            <w:pPr>
              <w:spacing w:beforeLines="40" w:before="96" w:afterLines="40" w:after="96"/>
            </w:pPr>
            <w:r>
              <w:t xml:space="preserve">Development of operators emergency plan template documents </w:t>
            </w:r>
          </w:p>
        </w:tc>
      </w:tr>
      <w:tr w:rsidR="003E234C" w:rsidTr="00947C71">
        <w:trPr>
          <w:trHeight w:val="720"/>
        </w:trPr>
        <w:tc>
          <w:tcPr>
            <w:tcW w:w="268" w:type="pct"/>
            <w:vAlign w:val="center"/>
          </w:tcPr>
          <w:p w:rsidR="003E234C" w:rsidRDefault="003E234C" w:rsidP="00216EA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819" w:type="pct"/>
            <w:vAlign w:val="center"/>
          </w:tcPr>
          <w:p w:rsidR="003E234C" w:rsidRDefault="003E234C" w:rsidP="008C5FEF">
            <w:r>
              <w:t>EPWG Expenditure Approval Request</w:t>
            </w:r>
          </w:p>
        </w:tc>
        <w:tc>
          <w:tcPr>
            <w:tcW w:w="580" w:type="pct"/>
            <w:vAlign w:val="center"/>
          </w:tcPr>
          <w:p w:rsidR="003E234C" w:rsidRDefault="003E234C" w:rsidP="00216EA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28.06.12</w:t>
            </w:r>
          </w:p>
        </w:tc>
        <w:tc>
          <w:tcPr>
            <w:tcW w:w="509" w:type="pct"/>
            <w:vAlign w:val="center"/>
          </w:tcPr>
          <w:p w:rsidR="003E234C" w:rsidRDefault="003E234C" w:rsidP="00216EA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JH</w:t>
            </w:r>
          </w:p>
        </w:tc>
        <w:tc>
          <w:tcPr>
            <w:tcW w:w="1824" w:type="pct"/>
            <w:vAlign w:val="center"/>
          </w:tcPr>
          <w:p w:rsidR="003E234C" w:rsidRDefault="003E234C" w:rsidP="00216EA3">
            <w:pPr>
              <w:spacing w:beforeLines="40" w:before="96" w:afterLines="40" w:after="96"/>
            </w:pPr>
            <w:r>
              <w:t xml:space="preserve">Prepare expenditure approval request covering costs for update </w:t>
            </w:r>
            <w:r>
              <w:lastRenderedPageBreak/>
              <w:t xml:space="preserve">of PERO course material </w:t>
            </w:r>
            <w:proofErr w:type="gramStart"/>
            <w:r w:rsidR="00B076DF">
              <w:t>and  E</w:t>
            </w:r>
            <w:r>
              <w:t>mergency</w:t>
            </w:r>
            <w:proofErr w:type="gramEnd"/>
            <w:r>
              <w:t xml:space="preserve"> Response </w:t>
            </w:r>
            <w:r w:rsidR="00B076DF">
              <w:t>Workshop</w:t>
            </w:r>
          </w:p>
        </w:tc>
      </w:tr>
    </w:tbl>
    <w:p w:rsidR="00194C5F" w:rsidRDefault="00194C5F" w:rsidP="00AF3231">
      <w:pPr>
        <w:rPr>
          <w:b/>
        </w:rPr>
      </w:pPr>
    </w:p>
    <w:p w:rsidR="00194C5F" w:rsidRPr="00257D2B" w:rsidRDefault="00194C5F" w:rsidP="00AF3231">
      <w:pPr>
        <w:rPr>
          <w:b/>
        </w:rPr>
      </w:pPr>
    </w:p>
    <w:p w:rsidR="00EC2663" w:rsidRPr="00257D2B" w:rsidRDefault="00EC2663" w:rsidP="00A33551">
      <w:pPr>
        <w:numPr>
          <w:ilvl w:val="0"/>
          <w:numId w:val="2"/>
        </w:numPr>
        <w:ind w:left="709" w:hanging="709"/>
        <w:rPr>
          <w:b/>
        </w:rPr>
      </w:pPr>
      <w:r w:rsidRPr="00257D2B">
        <w:rPr>
          <w:b/>
        </w:rPr>
        <w:t>Date of Next Meeting</w:t>
      </w:r>
    </w:p>
    <w:p w:rsidR="00EC2663" w:rsidRDefault="00EC2663" w:rsidP="00EC2663">
      <w:pPr>
        <w:rPr>
          <w:b/>
        </w:rPr>
      </w:pPr>
    </w:p>
    <w:p w:rsidR="00EC2663" w:rsidRDefault="00972E0A" w:rsidP="00012AA5">
      <w:r>
        <w:t xml:space="preserve">The </w:t>
      </w:r>
      <w:r w:rsidR="00D72432">
        <w:t xml:space="preserve">date of the </w:t>
      </w:r>
      <w:r>
        <w:t xml:space="preserve">next meeting </w:t>
      </w:r>
      <w:r w:rsidR="005B635B">
        <w:t>is Thursday 25</w:t>
      </w:r>
      <w:r w:rsidR="005B635B" w:rsidRPr="005B635B">
        <w:rPr>
          <w:vertAlign w:val="superscript"/>
        </w:rPr>
        <w:t>th</w:t>
      </w:r>
      <w:r w:rsidR="005B635B">
        <w:t xml:space="preserve"> September</w:t>
      </w:r>
      <w:r w:rsidR="0038602D">
        <w:t xml:space="preserve"> at Tebay.</w:t>
      </w:r>
    </w:p>
    <w:p w:rsidR="00B83FEA" w:rsidRPr="00F965FD" w:rsidRDefault="006466A9" w:rsidP="006466A9">
      <w:pPr>
        <w:rPr>
          <w:sz w:val="20"/>
          <w:szCs w:val="20"/>
        </w:rPr>
      </w:pPr>
      <w:r w:rsidRPr="00F965FD">
        <w:rPr>
          <w:sz w:val="20"/>
          <w:szCs w:val="20"/>
        </w:rPr>
        <w:t xml:space="preserve"> </w:t>
      </w:r>
    </w:p>
    <w:p w:rsidR="00B83FEA" w:rsidRPr="00012AA5" w:rsidRDefault="00B83FEA" w:rsidP="00012AA5"/>
    <w:sectPr w:rsidR="00B83FEA" w:rsidRPr="00012AA5" w:rsidSect="004B6EDD">
      <w:headerReference w:type="default" r:id="rId8"/>
      <w:footerReference w:type="even" r:id="rId9"/>
      <w:footerReference w:type="default" r:id="rId10"/>
      <w:pgSz w:w="12240" w:h="15840"/>
      <w:pgMar w:top="1440" w:right="162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920" w:rsidRDefault="002C1920">
      <w:r>
        <w:separator/>
      </w:r>
    </w:p>
  </w:endnote>
  <w:endnote w:type="continuationSeparator" w:id="0">
    <w:p w:rsidR="002C1920" w:rsidRDefault="002C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20" w:rsidRDefault="002C19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2C1920" w:rsidRDefault="002C192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20" w:rsidRDefault="002C19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5E30">
      <w:rPr>
        <w:rStyle w:val="PageNumber"/>
        <w:noProof/>
      </w:rPr>
      <w:t>2</w:t>
    </w:r>
    <w:r>
      <w:rPr>
        <w:rStyle w:val="PageNumber"/>
      </w:rPr>
      <w:fldChar w:fldCharType="end"/>
    </w:r>
  </w:p>
  <w:p w:rsidR="002C1920" w:rsidRDefault="002C1920">
    <w:pPr>
      <w:pStyle w:val="Footer"/>
      <w:rPr>
        <w:sz w:val="16"/>
      </w:rPr>
    </w:pPr>
    <w:r>
      <w:rPr>
        <w:sz w:val="16"/>
      </w:rPr>
      <w:t xml:space="preserve">EPWG </w:t>
    </w:r>
    <w:proofErr w:type="gramStart"/>
    <w:r>
      <w:rPr>
        <w:sz w:val="16"/>
      </w:rPr>
      <w:t>Meeting  28.06.12</w:t>
    </w:r>
    <w:proofErr w:type="gramEnd"/>
  </w:p>
  <w:p w:rsidR="002C1920" w:rsidRDefault="002C1920">
    <w:pPr>
      <w:pStyle w:val="Footer"/>
      <w:rPr>
        <w:sz w:val="16"/>
      </w:rPr>
    </w:pPr>
    <w:r>
      <w:rPr>
        <w:sz w:val="16"/>
      </w:rPr>
      <w:t>Notes V0 J VH</w:t>
    </w:r>
  </w:p>
  <w:p w:rsidR="002C1920" w:rsidRDefault="002C1920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920" w:rsidRDefault="002C1920">
      <w:r>
        <w:separator/>
      </w:r>
    </w:p>
  </w:footnote>
  <w:footnote w:type="continuationSeparator" w:id="0">
    <w:p w:rsidR="002C1920" w:rsidRDefault="002C19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20" w:rsidRDefault="002C1920">
    <w:pPr>
      <w:pStyle w:val="Header"/>
      <w:tabs>
        <w:tab w:val="clear" w:pos="4320"/>
        <w:tab w:val="clear" w:pos="8640"/>
        <w:tab w:val="left" w:pos="7947"/>
      </w:tabs>
      <w:ind w:right="-540"/>
    </w:pPr>
    <w:r>
      <w:rPr>
        <w:noProof/>
        <w:lang w:val="en-US"/>
      </w:rPr>
      <w:drawing>
        <wp:inline distT="0" distB="0" distL="0" distR="0" wp14:anchorId="43A5A05B" wp14:editId="44058E36">
          <wp:extent cx="1371600" cy="333375"/>
          <wp:effectExtent l="19050" t="0" r="0" b="0"/>
          <wp:docPr id="1" name="Picture 1" descr="ukopa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opa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UKOPA EPWG /12/007</w:t>
    </w:r>
  </w:p>
  <w:p w:rsidR="002C1920" w:rsidRDefault="002C1920"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CFFB47" wp14:editId="72E794CD">
              <wp:simplePos x="0" y="0"/>
              <wp:positionH relativeFrom="column">
                <wp:posOffset>1485900</wp:posOffset>
              </wp:positionH>
              <wp:positionV relativeFrom="paragraph">
                <wp:posOffset>8255</wp:posOffset>
              </wp:positionV>
              <wp:extent cx="5143500" cy="0"/>
              <wp:effectExtent l="25400" t="20955" r="38100" b="425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65pt" to="522pt,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" strokecolor="#36f" strokeweight="1.5pt"/>
          </w:pict>
        </mc:Fallback>
      </mc:AlternateContent>
    </w:r>
    <w:r>
      <w:br/>
    </w:r>
    <w:r>
      <w:rPr>
        <w:rFonts w:ascii="Verdana" w:hAnsi="Verdana"/>
        <w:b/>
        <w:bCs/>
        <w:sz w:val="16"/>
        <w:szCs w:val="15"/>
      </w:rPr>
      <w:t>United Kingdom Onshore Pipeline Operators’ Association</w:t>
    </w:r>
    <w:r>
      <w:rPr>
        <w:rFonts w:ascii="Verdana" w:hAnsi="Verdana"/>
        <w:b/>
        <w:bCs/>
        <w:sz w:val="16"/>
        <w:szCs w:val="15"/>
      </w:rPr>
      <w:tab/>
    </w:r>
  </w:p>
  <w:p w:rsidR="002C1920" w:rsidRDefault="002C1920">
    <w:pPr>
      <w:pStyle w:val="Header"/>
      <w:tabs>
        <w:tab w:val="clear" w:pos="4320"/>
        <w:tab w:val="clear" w:pos="8640"/>
        <w:tab w:val="left" w:pos="7046"/>
      </w:tabs>
      <w:ind w:left="-720"/>
      <w:rPr>
        <w:b/>
      </w:rPr>
    </w:pPr>
    <w:r>
      <w:rPr>
        <w:b/>
      </w:rPr>
      <w:t xml:space="preserve">                                                                                                      </w:t>
    </w:r>
  </w:p>
  <w:p w:rsidR="002C1920" w:rsidRDefault="002C192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B3D7631"/>
    <w:multiLevelType w:val="multilevel"/>
    <w:tmpl w:val="4A7E41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03A5D17"/>
    <w:multiLevelType w:val="hybridMultilevel"/>
    <w:tmpl w:val="13B8FE60"/>
    <w:lvl w:ilvl="0" w:tplc="4944410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16D7E"/>
    <w:multiLevelType w:val="multilevel"/>
    <w:tmpl w:val="4A7E41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C716C11"/>
    <w:multiLevelType w:val="hybridMultilevel"/>
    <w:tmpl w:val="275426E0"/>
    <w:lvl w:ilvl="0" w:tplc="74D219C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537B02"/>
    <w:multiLevelType w:val="multilevel"/>
    <w:tmpl w:val="0A024AB2"/>
    <w:lvl w:ilvl="0">
      <w:start w:val="13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  <w:u w:val="none"/>
      </w:rPr>
    </w:lvl>
  </w:abstractNum>
  <w:abstractNum w:abstractNumId="6">
    <w:nsid w:val="4B537C8A"/>
    <w:multiLevelType w:val="hybridMultilevel"/>
    <w:tmpl w:val="FF74A878"/>
    <w:lvl w:ilvl="0" w:tplc="E7703DC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9F4DB7"/>
    <w:multiLevelType w:val="multilevel"/>
    <w:tmpl w:val="4A7E41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11865FE"/>
    <w:multiLevelType w:val="hybridMultilevel"/>
    <w:tmpl w:val="13064A7E"/>
    <w:lvl w:ilvl="0" w:tplc="BEFEB492">
      <w:start w:val="1"/>
      <w:numFmt w:val="decimal"/>
      <w:lvlText w:val="%1"/>
      <w:lvlJc w:val="left"/>
      <w:pPr>
        <w:ind w:left="10218" w:hanging="720"/>
      </w:pPr>
      <w:rPr>
        <w:rFonts w:hint="default"/>
      </w:rPr>
    </w:lvl>
    <w:lvl w:ilvl="1" w:tplc="4944410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432FA"/>
    <w:multiLevelType w:val="hybridMultilevel"/>
    <w:tmpl w:val="598CBCBE"/>
    <w:lvl w:ilvl="0" w:tplc="702E06E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799488F4">
      <w:numFmt w:val="none"/>
      <w:lvlText w:val=""/>
      <w:lvlJc w:val="left"/>
      <w:pPr>
        <w:tabs>
          <w:tab w:val="num" w:pos="360"/>
        </w:tabs>
      </w:pPr>
    </w:lvl>
    <w:lvl w:ilvl="4" w:tplc="7F30D1A6">
      <w:numFmt w:val="none"/>
      <w:lvlText w:val=""/>
      <w:lvlJc w:val="left"/>
      <w:pPr>
        <w:tabs>
          <w:tab w:val="num" w:pos="360"/>
        </w:tabs>
      </w:pPr>
    </w:lvl>
    <w:lvl w:ilvl="5" w:tplc="5EA68370">
      <w:numFmt w:val="none"/>
      <w:lvlText w:val=""/>
      <w:lvlJc w:val="left"/>
      <w:pPr>
        <w:tabs>
          <w:tab w:val="num" w:pos="360"/>
        </w:tabs>
      </w:p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D81E74E4">
      <w:numFmt w:val="none"/>
      <w:lvlText w:val=""/>
      <w:lvlJc w:val="left"/>
      <w:pPr>
        <w:tabs>
          <w:tab w:val="num" w:pos="360"/>
        </w:tabs>
      </w:p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0E"/>
    <w:rsid w:val="00001AF3"/>
    <w:rsid w:val="000059C3"/>
    <w:rsid w:val="0001074D"/>
    <w:rsid w:val="00011744"/>
    <w:rsid w:val="00012AA5"/>
    <w:rsid w:val="00020B4D"/>
    <w:rsid w:val="00021461"/>
    <w:rsid w:val="00025DD3"/>
    <w:rsid w:val="000266D4"/>
    <w:rsid w:val="00076F78"/>
    <w:rsid w:val="00090C00"/>
    <w:rsid w:val="00091198"/>
    <w:rsid w:val="00093351"/>
    <w:rsid w:val="000D1690"/>
    <w:rsid w:val="000D4408"/>
    <w:rsid w:val="000D4A14"/>
    <w:rsid w:val="000E3701"/>
    <w:rsid w:val="00101971"/>
    <w:rsid w:val="00103641"/>
    <w:rsid w:val="00126754"/>
    <w:rsid w:val="00133D4C"/>
    <w:rsid w:val="00135E30"/>
    <w:rsid w:val="00140CDF"/>
    <w:rsid w:val="00144225"/>
    <w:rsid w:val="00144FDB"/>
    <w:rsid w:val="00153D3B"/>
    <w:rsid w:val="0016720D"/>
    <w:rsid w:val="0017066C"/>
    <w:rsid w:val="00172128"/>
    <w:rsid w:val="00182BC9"/>
    <w:rsid w:val="00183B53"/>
    <w:rsid w:val="001934D8"/>
    <w:rsid w:val="00194C5F"/>
    <w:rsid w:val="001A418B"/>
    <w:rsid w:val="001A5764"/>
    <w:rsid w:val="001A5BBE"/>
    <w:rsid w:val="001C23E9"/>
    <w:rsid w:val="001C6176"/>
    <w:rsid w:val="001D5E80"/>
    <w:rsid w:val="001E2E89"/>
    <w:rsid w:val="001E75AB"/>
    <w:rsid w:val="00207079"/>
    <w:rsid w:val="00216B14"/>
    <w:rsid w:val="00216EA3"/>
    <w:rsid w:val="00225559"/>
    <w:rsid w:val="00226F92"/>
    <w:rsid w:val="00231336"/>
    <w:rsid w:val="00242D94"/>
    <w:rsid w:val="00243B49"/>
    <w:rsid w:val="00257D2B"/>
    <w:rsid w:val="002647B3"/>
    <w:rsid w:val="00265592"/>
    <w:rsid w:val="002676E6"/>
    <w:rsid w:val="0027018F"/>
    <w:rsid w:val="00271CD1"/>
    <w:rsid w:val="00272B8C"/>
    <w:rsid w:val="002A62EB"/>
    <w:rsid w:val="002B7A0D"/>
    <w:rsid w:val="002C1920"/>
    <w:rsid w:val="002D4775"/>
    <w:rsid w:val="002E790D"/>
    <w:rsid w:val="002E7A19"/>
    <w:rsid w:val="00300C67"/>
    <w:rsid w:val="0030416F"/>
    <w:rsid w:val="00312C09"/>
    <w:rsid w:val="0031679A"/>
    <w:rsid w:val="00320652"/>
    <w:rsid w:val="00333B67"/>
    <w:rsid w:val="00353CC7"/>
    <w:rsid w:val="00362506"/>
    <w:rsid w:val="00377C52"/>
    <w:rsid w:val="0038602D"/>
    <w:rsid w:val="00395FC8"/>
    <w:rsid w:val="003A1A9D"/>
    <w:rsid w:val="003A2CAF"/>
    <w:rsid w:val="003B1077"/>
    <w:rsid w:val="003B7E47"/>
    <w:rsid w:val="003C667D"/>
    <w:rsid w:val="003C7E4C"/>
    <w:rsid w:val="003E234C"/>
    <w:rsid w:val="003E5133"/>
    <w:rsid w:val="003F1485"/>
    <w:rsid w:val="00404AA0"/>
    <w:rsid w:val="00410922"/>
    <w:rsid w:val="0041506F"/>
    <w:rsid w:val="0041705C"/>
    <w:rsid w:val="00421D7A"/>
    <w:rsid w:val="004240E0"/>
    <w:rsid w:val="004347E2"/>
    <w:rsid w:val="004372DF"/>
    <w:rsid w:val="00453B1F"/>
    <w:rsid w:val="0045699E"/>
    <w:rsid w:val="00456F85"/>
    <w:rsid w:val="004603C8"/>
    <w:rsid w:val="004666D3"/>
    <w:rsid w:val="0046709A"/>
    <w:rsid w:val="0047140A"/>
    <w:rsid w:val="00484022"/>
    <w:rsid w:val="004A67FE"/>
    <w:rsid w:val="004B49F6"/>
    <w:rsid w:val="004B6EDD"/>
    <w:rsid w:val="004B7F60"/>
    <w:rsid w:val="004D1781"/>
    <w:rsid w:val="004E1115"/>
    <w:rsid w:val="004E206A"/>
    <w:rsid w:val="004F4DDF"/>
    <w:rsid w:val="004F4E45"/>
    <w:rsid w:val="00503D5C"/>
    <w:rsid w:val="00520E99"/>
    <w:rsid w:val="005223B9"/>
    <w:rsid w:val="00534E0C"/>
    <w:rsid w:val="00542E4C"/>
    <w:rsid w:val="00555BCA"/>
    <w:rsid w:val="00574039"/>
    <w:rsid w:val="00575AC4"/>
    <w:rsid w:val="00590028"/>
    <w:rsid w:val="005930A8"/>
    <w:rsid w:val="0059605D"/>
    <w:rsid w:val="005968C5"/>
    <w:rsid w:val="005A2129"/>
    <w:rsid w:val="005B220F"/>
    <w:rsid w:val="005B45C0"/>
    <w:rsid w:val="005B61F5"/>
    <w:rsid w:val="005B635B"/>
    <w:rsid w:val="005C2CBF"/>
    <w:rsid w:val="005C7D58"/>
    <w:rsid w:val="005D5661"/>
    <w:rsid w:val="005D7403"/>
    <w:rsid w:val="005D75A3"/>
    <w:rsid w:val="005E2DA5"/>
    <w:rsid w:val="005E793E"/>
    <w:rsid w:val="005F1DD5"/>
    <w:rsid w:val="005F6A48"/>
    <w:rsid w:val="00602208"/>
    <w:rsid w:val="00612910"/>
    <w:rsid w:val="00626F6A"/>
    <w:rsid w:val="00636C84"/>
    <w:rsid w:val="00637A83"/>
    <w:rsid w:val="006400CD"/>
    <w:rsid w:val="006466A9"/>
    <w:rsid w:val="006804B6"/>
    <w:rsid w:val="006936CA"/>
    <w:rsid w:val="00694263"/>
    <w:rsid w:val="0069427D"/>
    <w:rsid w:val="006A0B93"/>
    <w:rsid w:val="006B06CA"/>
    <w:rsid w:val="006B1E2D"/>
    <w:rsid w:val="006C514D"/>
    <w:rsid w:val="006C685C"/>
    <w:rsid w:val="006E1D01"/>
    <w:rsid w:val="006E672F"/>
    <w:rsid w:val="006F4263"/>
    <w:rsid w:val="006F79A5"/>
    <w:rsid w:val="007075B0"/>
    <w:rsid w:val="0073449F"/>
    <w:rsid w:val="00764FED"/>
    <w:rsid w:val="0077060E"/>
    <w:rsid w:val="00781F39"/>
    <w:rsid w:val="007902DF"/>
    <w:rsid w:val="0079270F"/>
    <w:rsid w:val="00793077"/>
    <w:rsid w:val="00794926"/>
    <w:rsid w:val="007C3487"/>
    <w:rsid w:val="007D234C"/>
    <w:rsid w:val="007F3913"/>
    <w:rsid w:val="007F6A0E"/>
    <w:rsid w:val="0080023A"/>
    <w:rsid w:val="008076D3"/>
    <w:rsid w:val="0081588F"/>
    <w:rsid w:val="00822ECE"/>
    <w:rsid w:val="00823D1B"/>
    <w:rsid w:val="00832D87"/>
    <w:rsid w:val="00840B59"/>
    <w:rsid w:val="008420C8"/>
    <w:rsid w:val="00843919"/>
    <w:rsid w:val="008650DC"/>
    <w:rsid w:val="008738BD"/>
    <w:rsid w:val="0088075C"/>
    <w:rsid w:val="00886D85"/>
    <w:rsid w:val="00890D03"/>
    <w:rsid w:val="008B5766"/>
    <w:rsid w:val="008C1A78"/>
    <w:rsid w:val="008C336D"/>
    <w:rsid w:val="008C3A5B"/>
    <w:rsid w:val="008C5FEF"/>
    <w:rsid w:val="008C7DCA"/>
    <w:rsid w:val="008D062A"/>
    <w:rsid w:val="008F16DF"/>
    <w:rsid w:val="008F1F5E"/>
    <w:rsid w:val="009019F5"/>
    <w:rsid w:val="0091330B"/>
    <w:rsid w:val="00923A4C"/>
    <w:rsid w:val="00924BD2"/>
    <w:rsid w:val="0092586C"/>
    <w:rsid w:val="00934463"/>
    <w:rsid w:val="00947C71"/>
    <w:rsid w:val="00972E0A"/>
    <w:rsid w:val="00972E1E"/>
    <w:rsid w:val="00973F62"/>
    <w:rsid w:val="009A1962"/>
    <w:rsid w:val="009B1AB3"/>
    <w:rsid w:val="009B206B"/>
    <w:rsid w:val="009C0E67"/>
    <w:rsid w:val="009C5B4D"/>
    <w:rsid w:val="009D735F"/>
    <w:rsid w:val="009E0002"/>
    <w:rsid w:val="009F220A"/>
    <w:rsid w:val="00A01324"/>
    <w:rsid w:val="00A04ED7"/>
    <w:rsid w:val="00A31D7C"/>
    <w:rsid w:val="00A326FA"/>
    <w:rsid w:val="00A33551"/>
    <w:rsid w:val="00A608D9"/>
    <w:rsid w:val="00A63963"/>
    <w:rsid w:val="00A64A1A"/>
    <w:rsid w:val="00A7548D"/>
    <w:rsid w:val="00A846DB"/>
    <w:rsid w:val="00AA4D17"/>
    <w:rsid w:val="00AC23B7"/>
    <w:rsid w:val="00AD4CE3"/>
    <w:rsid w:val="00AD5644"/>
    <w:rsid w:val="00AE386E"/>
    <w:rsid w:val="00AF3231"/>
    <w:rsid w:val="00AF64BD"/>
    <w:rsid w:val="00B02C4B"/>
    <w:rsid w:val="00B048E1"/>
    <w:rsid w:val="00B076DF"/>
    <w:rsid w:val="00B17ABD"/>
    <w:rsid w:val="00B34489"/>
    <w:rsid w:val="00B366A6"/>
    <w:rsid w:val="00B36B25"/>
    <w:rsid w:val="00B36FB9"/>
    <w:rsid w:val="00B40177"/>
    <w:rsid w:val="00B42337"/>
    <w:rsid w:val="00B46F61"/>
    <w:rsid w:val="00B51D58"/>
    <w:rsid w:val="00B56FFB"/>
    <w:rsid w:val="00B626C6"/>
    <w:rsid w:val="00B6363F"/>
    <w:rsid w:val="00B67EE9"/>
    <w:rsid w:val="00B71EE5"/>
    <w:rsid w:val="00B83FEA"/>
    <w:rsid w:val="00B8657F"/>
    <w:rsid w:val="00B90BE0"/>
    <w:rsid w:val="00B9260F"/>
    <w:rsid w:val="00B9622D"/>
    <w:rsid w:val="00BA1FA5"/>
    <w:rsid w:val="00BE24F1"/>
    <w:rsid w:val="00BF59DD"/>
    <w:rsid w:val="00BF77DB"/>
    <w:rsid w:val="00C01917"/>
    <w:rsid w:val="00C12072"/>
    <w:rsid w:val="00C30467"/>
    <w:rsid w:val="00C3581C"/>
    <w:rsid w:val="00C475AE"/>
    <w:rsid w:val="00C776F7"/>
    <w:rsid w:val="00C8437D"/>
    <w:rsid w:val="00C86068"/>
    <w:rsid w:val="00C874E4"/>
    <w:rsid w:val="00C91942"/>
    <w:rsid w:val="00C9380C"/>
    <w:rsid w:val="00C9572A"/>
    <w:rsid w:val="00C95B53"/>
    <w:rsid w:val="00CA0116"/>
    <w:rsid w:val="00CA055F"/>
    <w:rsid w:val="00CA2F1E"/>
    <w:rsid w:val="00CA70A9"/>
    <w:rsid w:val="00CB1BFC"/>
    <w:rsid w:val="00CB2934"/>
    <w:rsid w:val="00CC12F4"/>
    <w:rsid w:val="00CC5B32"/>
    <w:rsid w:val="00CD07A6"/>
    <w:rsid w:val="00CD4099"/>
    <w:rsid w:val="00CD6589"/>
    <w:rsid w:val="00CE6540"/>
    <w:rsid w:val="00CF3A45"/>
    <w:rsid w:val="00CF6245"/>
    <w:rsid w:val="00CF6B4C"/>
    <w:rsid w:val="00D16424"/>
    <w:rsid w:val="00D26B49"/>
    <w:rsid w:val="00D30D70"/>
    <w:rsid w:val="00D35C4E"/>
    <w:rsid w:val="00D41514"/>
    <w:rsid w:val="00D448F4"/>
    <w:rsid w:val="00D4573A"/>
    <w:rsid w:val="00D5296F"/>
    <w:rsid w:val="00D53259"/>
    <w:rsid w:val="00D56BD7"/>
    <w:rsid w:val="00D6694A"/>
    <w:rsid w:val="00D72432"/>
    <w:rsid w:val="00D85C8D"/>
    <w:rsid w:val="00D969D0"/>
    <w:rsid w:val="00DA53D8"/>
    <w:rsid w:val="00DA7965"/>
    <w:rsid w:val="00DB15E4"/>
    <w:rsid w:val="00DC20EB"/>
    <w:rsid w:val="00DD214C"/>
    <w:rsid w:val="00DD502C"/>
    <w:rsid w:val="00DE1EE1"/>
    <w:rsid w:val="00DE228D"/>
    <w:rsid w:val="00DE338C"/>
    <w:rsid w:val="00DE55E8"/>
    <w:rsid w:val="00DF2803"/>
    <w:rsid w:val="00E03500"/>
    <w:rsid w:val="00E11A05"/>
    <w:rsid w:val="00E2118B"/>
    <w:rsid w:val="00E25798"/>
    <w:rsid w:val="00E25816"/>
    <w:rsid w:val="00E40E08"/>
    <w:rsid w:val="00E41CCC"/>
    <w:rsid w:val="00E43433"/>
    <w:rsid w:val="00E72C77"/>
    <w:rsid w:val="00E91406"/>
    <w:rsid w:val="00EB058B"/>
    <w:rsid w:val="00EB29D3"/>
    <w:rsid w:val="00EB79C1"/>
    <w:rsid w:val="00EB7BBB"/>
    <w:rsid w:val="00EC2663"/>
    <w:rsid w:val="00EC32C7"/>
    <w:rsid w:val="00ED17AB"/>
    <w:rsid w:val="00ED631D"/>
    <w:rsid w:val="00ED6C2F"/>
    <w:rsid w:val="00EE1384"/>
    <w:rsid w:val="00EF7FD6"/>
    <w:rsid w:val="00F05F33"/>
    <w:rsid w:val="00F13BDF"/>
    <w:rsid w:val="00F13DD1"/>
    <w:rsid w:val="00F1526F"/>
    <w:rsid w:val="00F6354C"/>
    <w:rsid w:val="00F744A6"/>
    <w:rsid w:val="00F957F3"/>
    <w:rsid w:val="00FA2125"/>
    <w:rsid w:val="00FA5C69"/>
    <w:rsid w:val="00FB0D0A"/>
    <w:rsid w:val="00FC0B87"/>
    <w:rsid w:val="00FD01FD"/>
    <w:rsid w:val="00FD7CEF"/>
    <w:rsid w:val="00FE1653"/>
    <w:rsid w:val="00FE27DD"/>
    <w:rsid w:val="00FE759D"/>
    <w:rsid w:val="00FF224C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ED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B6EDD"/>
    <w:pPr>
      <w:keepNext/>
      <w:ind w:left="1440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4B6EDD"/>
    <w:pPr>
      <w:keepNext/>
      <w:ind w:left="144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B6EDD"/>
    <w:pPr>
      <w:keepNext/>
      <w:numPr>
        <w:numId w:val="1"/>
      </w:numPr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4B6EDD"/>
    <w:pPr>
      <w:keepNext/>
      <w:ind w:left="5040"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4B6EDD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B6EDD"/>
    <w:pPr>
      <w:keepNext/>
      <w:ind w:left="504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4B6EDD"/>
    <w:pPr>
      <w:keepNext/>
      <w:ind w:left="648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4B6EDD"/>
    <w:pPr>
      <w:keepNext/>
      <w:ind w:left="72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B6EDD"/>
    <w:pPr>
      <w:keepNext/>
      <w:ind w:left="720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B6EDD"/>
    <w:pPr>
      <w:ind w:left="720"/>
    </w:pPr>
  </w:style>
  <w:style w:type="paragraph" w:styleId="BodyTextIndent2">
    <w:name w:val="Body Text Indent 2"/>
    <w:basedOn w:val="Normal"/>
    <w:semiHidden/>
    <w:rsid w:val="004B6EDD"/>
    <w:pPr>
      <w:ind w:left="1440"/>
    </w:pPr>
  </w:style>
  <w:style w:type="paragraph" w:styleId="BodyTextIndent3">
    <w:name w:val="Body Text Indent 3"/>
    <w:basedOn w:val="Normal"/>
    <w:semiHidden/>
    <w:rsid w:val="004B6EDD"/>
    <w:pPr>
      <w:ind w:left="2160"/>
      <w:jc w:val="both"/>
    </w:pPr>
  </w:style>
  <w:style w:type="paragraph" w:styleId="Footer">
    <w:name w:val="footer"/>
    <w:basedOn w:val="Normal"/>
    <w:semiHidden/>
    <w:rsid w:val="004B6E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B6EDD"/>
  </w:style>
  <w:style w:type="paragraph" w:styleId="Header">
    <w:name w:val="header"/>
    <w:basedOn w:val="Normal"/>
    <w:semiHidden/>
    <w:rsid w:val="004B6ED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4B6EDD"/>
    <w:rPr>
      <w:color w:val="0000FF"/>
      <w:u w:val="single"/>
    </w:rPr>
  </w:style>
  <w:style w:type="paragraph" w:styleId="DocumentMap">
    <w:name w:val="Document Map"/>
    <w:basedOn w:val="Normal"/>
    <w:semiHidden/>
    <w:rsid w:val="004B6EDD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4B6EDD"/>
    <w:pPr>
      <w:ind w:left="720" w:right="-1260"/>
      <w:jc w:val="center"/>
    </w:pPr>
    <w:rPr>
      <w:b/>
    </w:rPr>
  </w:style>
  <w:style w:type="character" w:styleId="CommentReference">
    <w:name w:val="annotation reference"/>
    <w:basedOn w:val="DefaultParagraphFont"/>
    <w:semiHidden/>
    <w:rsid w:val="004B6EDD"/>
    <w:rPr>
      <w:sz w:val="16"/>
      <w:szCs w:val="16"/>
    </w:rPr>
  </w:style>
  <w:style w:type="paragraph" w:styleId="CommentText">
    <w:name w:val="annotation text"/>
    <w:basedOn w:val="Normal"/>
    <w:semiHidden/>
    <w:rsid w:val="004B6ED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B6EDD"/>
    <w:rPr>
      <w:b/>
      <w:bCs/>
    </w:rPr>
  </w:style>
  <w:style w:type="paragraph" w:styleId="BalloonText">
    <w:name w:val="Balloon Text"/>
    <w:basedOn w:val="Normal"/>
    <w:semiHidden/>
    <w:rsid w:val="004B6EDD"/>
    <w:rPr>
      <w:rFonts w:ascii="Tahoma" w:hAnsi="Tahoma" w:cs="Tahoma"/>
      <w:sz w:val="16"/>
      <w:szCs w:val="16"/>
    </w:rPr>
  </w:style>
  <w:style w:type="character" w:customStyle="1" w:styleId="EmailStyle281">
    <w:name w:val="EmailStyle281"/>
    <w:basedOn w:val="DefaultParagraphFont"/>
    <w:semiHidden/>
    <w:rsid w:val="004B6EDD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C7DCA"/>
    <w:pPr>
      <w:spacing w:after="120"/>
    </w:pPr>
  </w:style>
  <w:style w:type="paragraph" w:customStyle="1" w:styleId="Default">
    <w:name w:val="Default"/>
    <w:basedOn w:val="Normal"/>
    <w:rsid w:val="004B6EDD"/>
    <w:pPr>
      <w:tabs>
        <w:tab w:val="left" w:pos="540"/>
      </w:tabs>
      <w:spacing w:before="120" w:after="120"/>
      <w:jc w:val="both"/>
    </w:pPr>
    <w:rPr>
      <w:rFonts w:ascii="Arial" w:hAnsi="Arial"/>
    </w:rPr>
  </w:style>
  <w:style w:type="paragraph" w:styleId="NormalWeb">
    <w:name w:val="Normal (Web)"/>
    <w:basedOn w:val="Normal"/>
    <w:semiHidden/>
    <w:rsid w:val="004B6EDD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qFormat/>
    <w:rsid w:val="004B6EDD"/>
    <w:pPr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8C7DCA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8C7DCA"/>
    <w:pPr>
      <w:jc w:val="center"/>
    </w:pPr>
    <w:rPr>
      <w:rFonts w:ascii="Arial" w:hAnsi="Arial"/>
      <w:b/>
      <w:color w:val="000000"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8C7DCA"/>
    <w:rPr>
      <w:rFonts w:ascii="Arial" w:hAnsi="Arial"/>
      <w:b/>
      <w:color w:val="000000"/>
      <w:lang w:eastAsia="en-US"/>
    </w:rPr>
  </w:style>
  <w:style w:type="table" w:styleId="TableGrid">
    <w:name w:val="Table Grid"/>
    <w:basedOn w:val="TableNormal"/>
    <w:rsid w:val="008C7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636C8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6C84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ED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B6EDD"/>
    <w:pPr>
      <w:keepNext/>
      <w:ind w:left="1440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4B6EDD"/>
    <w:pPr>
      <w:keepNext/>
      <w:ind w:left="144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B6EDD"/>
    <w:pPr>
      <w:keepNext/>
      <w:numPr>
        <w:numId w:val="1"/>
      </w:numPr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4B6EDD"/>
    <w:pPr>
      <w:keepNext/>
      <w:ind w:left="5040"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4B6EDD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B6EDD"/>
    <w:pPr>
      <w:keepNext/>
      <w:ind w:left="504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4B6EDD"/>
    <w:pPr>
      <w:keepNext/>
      <w:ind w:left="648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4B6EDD"/>
    <w:pPr>
      <w:keepNext/>
      <w:ind w:left="72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B6EDD"/>
    <w:pPr>
      <w:keepNext/>
      <w:ind w:left="720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B6EDD"/>
    <w:pPr>
      <w:ind w:left="720"/>
    </w:pPr>
  </w:style>
  <w:style w:type="paragraph" w:styleId="BodyTextIndent2">
    <w:name w:val="Body Text Indent 2"/>
    <w:basedOn w:val="Normal"/>
    <w:semiHidden/>
    <w:rsid w:val="004B6EDD"/>
    <w:pPr>
      <w:ind w:left="1440"/>
    </w:pPr>
  </w:style>
  <w:style w:type="paragraph" w:styleId="BodyTextIndent3">
    <w:name w:val="Body Text Indent 3"/>
    <w:basedOn w:val="Normal"/>
    <w:semiHidden/>
    <w:rsid w:val="004B6EDD"/>
    <w:pPr>
      <w:ind w:left="2160"/>
      <w:jc w:val="both"/>
    </w:pPr>
  </w:style>
  <w:style w:type="paragraph" w:styleId="Footer">
    <w:name w:val="footer"/>
    <w:basedOn w:val="Normal"/>
    <w:semiHidden/>
    <w:rsid w:val="004B6E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B6EDD"/>
  </w:style>
  <w:style w:type="paragraph" w:styleId="Header">
    <w:name w:val="header"/>
    <w:basedOn w:val="Normal"/>
    <w:semiHidden/>
    <w:rsid w:val="004B6ED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4B6EDD"/>
    <w:rPr>
      <w:color w:val="0000FF"/>
      <w:u w:val="single"/>
    </w:rPr>
  </w:style>
  <w:style w:type="paragraph" w:styleId="DocumentMap">
    <w:name w:val="Document Map"/>
    <w:basedOn w:val="Normal"/>
    <w:semiHidden/>
    <w:rsid w:val="004B6EDD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4B6EDD"/>
    <w:pPr>
      <w:ind w:left="720" w:right="-1260"/>
      <w:jc w:val="center"/>
    </w:pPr>
    <w:rPr>
      <w:b/>
    </w:rPr>
  </w:style>
  <w:style w:type="character" w:styleId="CommentReference">
    <w:name w:val="annotation reference"/>
    <w:basedOn w:val="DefaultParagraphFont"/>
    <w:semiHidden/>
    <w:rsid w:val="004B6EDD"/>
    <w:rPr>
      <w:sz w:val="16"/>
      <w:szCs w:val="16"/>
    </w:rPr>
  </w:style>
  <w:style w:type="paragraph" w:styleId="CommentText">
    <w:name w:val="annotation text"/>
    <w:basedOn w:val="Normal"/>
    <w:semiHidden/>
    <w:rsid w:val="004B6ED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B6EDD"/>
    <w:rPr>
      <w:b/>
      <w:bCs/>
    </w:rPr>
  </w:style>
  <w:style w:type="paragraph" w:styleId="BalloonText">
    <w:name w:val="Balloon Text"/>
    <w:basedOn w:val="Normal"/>
    <w:semiHidden/>
    <w:rsid w:val="004B6EDD"/>
    <w:rPr>
      <w:rFonts w:ascii="Tahoma" w:hAnsi="Tahoma" w:cs="Tahoma"/>
      <w:sz w:val="16"/>
      <w:szCs w:val="16"/>
    </w:rPr>
  </w:style>
  <w:style w:type="character" w:customStyle="1" w:styleId="EmailStyle281">
    <w:name w:val="EmailStyle281"/>
    <w:basedOn w:val="DefaultParagraphFont"/>
    <w:semiHidden/>
    <w:rsid w:val="004B6EDD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C7DCA"/>
    <w:pPr>
      <w:spacing w:after="120"/>
    </w:pPr>
  </w:style>
  <w:style w:type="paragraph" w:customStyle="1" w:styleId="Default">
    <w:name w:val="Default"/>
    <w:basedOn w:val="Normal"/>
    <w:rsid w:val="004B6EDD"/>
    <w:pPr>
      <w:tabs>
        <w:tab w:val="left" w:pos="540"/>
      </w:tabs>
      <w:spacing w:before="120" w:after="120"/>
      <w:jc w:val="both"/>
    </w:pPr>
    <w:rPr>
      <w:rFonts w:ascii="Arial" w:hAnsi="Arial"/>
    </w:rPr>
  </w:style>
  <w:style w:type="paragraph" w:styleId="NormalWeb">
    <w:name w:val="Normal (Web)"/>
    <w:basedOn w:val="Normal"/>
    <w:semiHidden/>
    <w:rsid w:val="004B6EDD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qFormat/>
    <w:rsid w:val="004B6EDD"/>
    <w:pPr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8C7DCA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8C7DCA"/>
    <w:pPr>
      <w:jc w:val="center"/>
    </w:pPr>
    <w:rPr>
      <w:rFonts w:ascii="Arial" w:hAnsi="Arial"/>
      <w:b/>
      <w:color w:val="000000"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8C7DCA"/>
    <w:rPr>
      <w:rFonts w:ascii="Arial" w:hAnsi="Arial"/>
      <w:b/>
      <w:color w:val="000000"/>
      <w:lang w:eastAsia="en-US"/>
    </w:rPr>
  </w:style>
  <w:style w:type="table" w:styleId="TableGrid">
    <w:name w:val="Table Grid"/>
    <w:basedOn w:val="TableNormal"/>
    <w:rsid w:val="008C7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636C8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6C84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1496</Words>
  <Characters>8531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UKOPA</vt:lpstr>
    </vt:vector>
  </TitlesOfParts>
  <Company>BG Technology</Company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UKOPA</dc:title>
  <dc:creator>HymersCA</dc:creator>
  <cp:lastModifiedBy>Jane Haswell</cp:lastModifiedBy>
  <cp:revision>2</cp:revision>
  <cp:lastPrinted>2010-05-16T11:39:00Z</cp:lastPrinted>
  <dcterms:created xsi:type="dcterms:W3CDTF">2012-07-19T13:25:00Z</dcterms:created>
  <dcterms:modified xsi:type="dcterms:W3CDTF">2012-07-19T13:25:00Z</dcterms:modified>
</cp:coreProperties>
</file>