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D2" w:rsidRDefault="001A41D2" w:rsidP="001A41D2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Acton, Michael Rex [mailto:michael.acton@dnvgl.com]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17 March 2015 14:47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Jane Haswell; g.goodfellow@penspen.com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Cc:</w:t>
      </w:r>
      <w:r>
        <w:rPr>
          <w:rFonts w:eastAsia="Times New Roman"/>
          <w:lang w:val="en-US"/>
        </w:rPr>
        <w:t xml:space="preserve"> neil.jackson@nj-se.co.uk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Surveillance graph in IGEM/TD/2</w:t>
      </w:r>
    </w:p>
    <w:p w:rsidR="001A41D2" w:rsidRDefault="001A41D2" w:rsidP="001A41D2"/>
    <w:p w:rsidR="001A41D2" w:rsidRDefault="001A41D2" w:rsidP="001A41D2">
      <w:r>
        <w:t>Jane, Graham</w:t>
      </w:r>
    </w:p>
    <w:p w:rsidR="001A41D2" w:rsidRDefault="001A41D2" w:rsidP="001A41D2"/>
    <w:p w:rsidR="001A41D2" w:rsidRDefault="001A41D2" w:rsidP="001A41D2">
      <w:r>
        <w:t>I spotted that the graphs for the surveillance factors are different in Edition 1 and Edition 2 of IGEM/TD/2 (PD8010 Pt 3 is not quite identical to either of them). I wasn’t aware that any new work was done on surveillance factors between the two editions of TD/2, so I think it must be an IGEM printing/plotting error.</w:t>
      </w:r>
    </w:p>
    <w:p w:rsidR="001A41D2" w:rsidRDefault="001A41D2" w:rsidP="001A41D2"/>
    <w:p w:rsidR="001A41D2" w:rsidRDefault="001A41D2" w:rsidP="001A41D2">
      <w:r>
        <w:t>This is how it appears in TD/2 Edition 2:</w:t>
      </w:r>
    </w:p>
    <w:p w:rsidR="001A41D2" w:rsidRDefault="001A41D2" w:rsidP="001A41D2">
      <w:r>
        <w:rPr>
          <w:noProof/>
        </w:rPr>
        <w:drawing>
          <wp:inline distT="0" distB="0" distL="0" distR="0">
            <wp:extent cx="5852096" cy="2847779"/>
            <wp:effectExtent l="0" t="0" r="0" b="0"/>
            <wp:docPr id="1" name="Picture 1" descr="cid:image001.jpg@01D060C1.2A12E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060C1.2A12E3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940" cy="285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1D2" w:rsidRDefault="001A41D2" w:rsidP="001A41D2"/>
    <w:p w:rsidR="001A41D2" w:rsidRDefault="001A41D2" w:rsidP="001A41D2"/>
    <w:p w:rsidR="001A41D2" w:rsidRDefault="001A41D2" w:rsidP="001A41D2">
      <w:r>
        <w:t>The problem came to light because a client is making daily surveillance patrols, which apparently eliminates the risk from third party damage completely according to TD/2.</w:t>
      </w:r>
    </w:p>
    <w:p w:rsidR="001A41D2" w:rsidRDefault="001A41D2" w:rsidP="001A41D2"/>
    <w:p w:rsidR="001A41D2" w:rsidRDefault="001A41D2" w:rsidP="001A41D2">
      <w:r>
        <w:t>I’ll say that this version is wrong and that Edition 1 is correct, but do you think this should be corrected sooner than the next major revision of TD/2?</w:t>
      </w:r>
    </w:p>
    <w:p w:rsidR="001A41D2" w:rsidRDefault="001A41D2" w:rsidP="001A41D2"/>
    <w:p w:rsidR="001A41D2" w:rsidRDefault="001A41D2" w:rsidP="001A41D2">
      <w:r>
        <w:t xml:space="preserve">If Graham agrees, perhaps Neil could </w:t>
      </w:r>
      <w:proofErr w:type="gramStart"/>
      <w:r>
        <w:t>add  this</w:t>
      </w:r>
      <w:proofErr w:type="gramEnd"/>
      <w:r>
        <w:t xml:space="preserve"> to the agenda for the next FARWG in </w:t>
      </w:r>
      <w:proofErr w:type="spellStart"/>
      <w:r>
        <w:t>Ambergate</w:t>
      </w:r>
      <w:proofErr w:type="spellEnd"/>
      <w:r>
        <w:t>.</w:t>
      </w:r>
    </w:p>
    <w:p w:rsidR="001A41D2" w:rsidRDefault="001A41D2" w:rsidP="001A41D2"/>
    <w:p w:rsidR="001A41D2" w:rsidRDefault="001A41D2" w:rsidP="001A41D2">
      <w:r>
        <w:t>Regards,</w:t>
      </w:r>
    </w:p>
    <w:p w:rsidR="001A41D2" w:rsidRDefault="001A41D2" w:rsidP="001A41D2"/>
    <w:p w:rsidR="001A41D2" w:rsidRDefault="001A41D2" w:rsidP="001A41D2"/>
    <w:p w:rsidR="001A41D2" w:rsidRDefault="001A41D2" w:rsidP="001A41D2">
      <w:r>
        <w:t>Mike</w:t>
      </w:r>
    </w:p>
    <w:p w:rsidR="001A41D2" w:rsidRDefault="001A41D2" w:rsidP="001A41D2"/>
    <w:p w:rsidR="001A41D2" w:rsidRDefault="001A41D2" w:rsidP="001A41D2">
      <w:pPr>
        <w:spacing w:line="280" w:lineRule="atLeast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for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GLIS UK Ltd.</w:t>
      </w:r>
    </w:p>
    <w:p w:rsidR="001A41D2" w:rsidRDefault="001A41D2" w:rsidP="001A41D2">
      <w:pPr>
        <w:spacing w:line="280" w:lineRule="atLeast"/>
        <w:rPr>
          <w:rFonts w:ascii="Verdana" w:hAnsi="Verdana"/>
          <w:color w:val="003591"/>
          <w:sz w:val="18"/>
          <w:szCs w:val="18"/>
        </w:rPr>
      </w:pPr>
      <w:r>
        <w:rPr>
          <w:rFonts w:ascii="Verdana" w:hAnsi="Verdana"/>
          <w:color w:val="003591"/>
          <w:sz w:val="18"/>
          <w:szCs w:val="18"/>
        </w:rPr>
        <w:br/>
      </w:r>
      <w:proofErr w:type="spellStart"/>
      <w:r>
        <w:rPr>
          <w:rFonts w:ascii="Verdana" w:hAnsi="Verdana"/>
          <w:b/>
          <w:bCs/>
          <w:color w:val="003591"/>
          <w:sz w:val="18"/>
          <w:szCs w:val="18"/>
        </w:rPr>
        <w:t>Dr.</w:t>
      </w:r>
      <w:proofErr w:type="spellEnd"/>
      <w:r>
        <w:rPr>
          <w:rFonts w:ascii="Verdana" w:hAnsi="Verdana"/>
          <w:b/>
          <w:bCs/>
          <w:color w:val="003591"/>
          <w:sz w:val="18"/>
          <w:szCs w:val="18"/>
        </w:rPr>
        <w:t xml:space="preserve"> Mike Acton B.Sc., D.Phil., </w:t>
      </w:r>
      <w:proofErr w:type="spellStart"/>
      <w:r>
        <w:rPr>
          <w:rFonts w:ascii="Verdana" w:hAnsi="Verdana"/>
          <w:b/>
          <w:bCs/>
          <w:color w:val="003591"/>
          <w:sz w:val="18"/>
          <w:szCs w:val="18"/>
        </w:rPr>
        <w:t>C.Phys</w:t>
      </w:r>
      <w:proofErr w:type="spellEnd"/>
      <w:r>
        <w:rPr>
          <w:rFonts w:ascii="Verdana" w:hAnsi="Verdana"/>
          <w:b/>
          <w:bCs/>
          <w:color w:val="003591"/>
          <w:sz w:val="18"/>
          <w:szCs w:val="18"/>
        </w:rPr>
        <w:t>.</w:t>
      </w:r>
    </w:p>
    <w:p w:rsidR="001A41D2" w:rsidRDefault="001A41D2" w:rsidP="001A41D2">
      <w:pPr>
        <w:spacing w:line="280" w:lineRule="atLeast"/>
        <w:rPr>
          <w:b/>
          <w:bCs/>
          <w:color w:val="3F9C35"/>
        </w:rPr>
      </w:pPr>
      <w:r>
        <w:rPr>
          <w:rFonts w:ascii="Verdana" w:hAnsi="Verdana"/>
          <w:b/>
          <w:bCs/>
          <w:color w:val="3F9C35"/>
          <w:sz w:val="18"/>
          <w:szCs w:val="18"/>
        </w:rPr>
        <w:t>Senior Principal Consultant</w:t>
      </w:r>
    </w:p>
    <w:p w:rsidR="00D477D4" w:rsidRDefault="001A41D2" w:rsidP="001A41D2">
      <w:pPr>
        <w:spacing w:line="280" w:lineRule="atLeast"/>
      </w:pPr>
      <w:r>
        <w:rPr>
          <w:rFonts w:ascii="Verdana" w:hAnsi="Verdana"/>
          <w:b/>
          <w:bCs/>
          <w:color w:val="3F9C35"/>
          <w:sz w:val="18"/>
          <w:szCs w:val="18"/>
        </w:rPr>
        <w:t>Risk Advisory Services</w:t>
      </w:r>
      <w:r>
        <w:rPr>
          <w:rFonts w:ascii="Verdana" w:hAnsi="Verdana"/>
          <w:color w:val="3F9C35"/>
          <w:sz w:val="18"/>
          <w:szCs w:val="18"/>
        </w:rPr>
        <w:br/>
      </w:r>
      <w:r>
        <w:rPr>
          <w:rFonts w:ascii="Verdana" w:hAnsi="Verdana"/>
          <w:b/>
          <w:bCs/>
          <w:color w:val="3F9C35"/>
          <w:sz w:val="18"/>
          <w:szCs w:val="18"/>
        </w:rPr>
        <w:t>DNV GL – Oil &amp; Gas</w:t>
      </w:r>
      <w:r>
        <w:rPr>
          <w:rFonts w:ascii="Verdana" w:hAnsi="Verdana"/>
          <w:color w:val="3F9C35"/>
          <w:sz w:val="18"/>
          <w:szCs w:val="18"/>
        </w:rPr>
        <w:t xml:space="preserve"> </w:t>
      </w:r>
      <w:bookmarkStart w:id="0" w:name="_GoBack"/>
      <w:bookmarkEnd w:id="0"/>
    </w:p>
    <w:sectPr w:rsidR="00D47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D2"/>
    <w:rsid w:val="001A41D2"/>
    <w:rsid w:val="00D4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8CDCF-0B35-49D3-987E-D9546790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1D2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060C1.2A12E3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1</cp:revision>
  <dcterms:created xsi:type="dcterms:W3CDTF">2015-03-18T12:36:00Z</dcterms:created>
  <dcterms:modified xsi:type="dcterms:W3CDTF">2015-03-18T12:37:00Z</dcterms:modified>
</cp:coreProperties>
</file>