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5AB1E" w14:textId="77777777" w:rsidR="00943D83" w:rsidRPr="00943D83" w:rsidRDefault="00943D83" w:rsidP="00943D83">
      <w:pPr>
        <w:rPr>
          <w:b/>
        </w:rPr>
      </w:pPr>
      <w:bookmarkStart w:id="0" w:name="_GoBack"/>
      <w:bookmarkEnd w:id="0"/>
      <w:r w:rsidRPr="00943D83">
        <w:rPr>
          <w:b/>
        </w:rPr>
        <w:t xml:space="preserve">FARWG </w:t>
      </w:r>
      <w:r w:rsidR="0029133C" w:rsidRPr="00943D83">
        <w:rPr>
          <w:b/>
        </w:rPr>
        <w:t xml:space="preserve">TECHNICAL BRIEFING NOTES </w:t>
      </w:r>
    </w:p>
    <w:p w14:paraId="2F627C9C" w14:textId="77777777" w:rsidR="00975A30" w:rsidRPr="00943D83" w:rsidRDefault="00943D83" w:rsidP="00943D83">
      <w:pPr>
        <w:rPr>
          <w:b/>
        </w:rPr>
      </w:pPr>
      <w:r w:rsidRPr="00943D83">
        <w:rPr>
          <w:b/>
        </w:rPr>
        <w:t>Progress as at 7 September 2016</w:t>
      </w:r>
    </w:p>
    <w:p w14:paraId="705336EC" w14:textId="77777777" w:rsidR="0029133C" w:rsidRDefault="002913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552"/>
        <w:gridCol w:w="1182"/>
        <w:gridCol w:w="944"/>
        <w:gridCol w:w="851"/>
        <w:gridCol w:w="2935"/>
      </w:tblGrid>
      <w:tr w:rsidR="00AB229B" w:rsidRPr="00985006" w14:paraId="141768F6" w14:textId="77777777" w:rsidTr="00AB229B">
        <w:tc>
          <w:tcPr>
            <w:tcW w:w="567" w:type="dxa"/>
            <w:tcMar>
              <w:top w:w="0" w:type="dxa"/>
              <w:left w:w="108" w:type="dxa"/>
              <w:bottom w:w="0" w:type="dxa"/>
              <w:right w:w="108" w:type="dxa"/>
            </w:tcMar>
            <w:hideMark/>
          </w:tcPr>
          <w:p w14:paraId="436EFC29" w14:textId="77777777" w:rsidR="0029133C" w:rsidRPr="00AB229B" w:rsidRDefault="0029133C" w:rsidP="0085359B">
            <w:pPr>
              <w:spacing w:before="60" w:after="60" w:line="240" w:lineRule="exact"/>
              <w:jc w:val="center"/>
              <w:rPr>
                <w:rFonts w:cs="Calibri"/>
                <w:sz w:val="22"/>
                <w:szCs w:val="22"/>
              </w:rPr>
            </w:pPr>
            <w:r w:rsidRPr="00AB229B">
              <w:rPr>
                <w:rFonts w:cs="Calibri"/>
                <w:b/>
                <w:bCs/>
                <w:sz w:val="22"/>
                <w:szCs w:val="22"/>
                <w:lang w:val="es-CL"/>
              </w:rPr>
              <w:t>No.</w:t>
            </w:r>
          </w:p>
        </w:tc>
        <w:tc>
          <w:tcPr>
            <w:tcW w:w="2552" w:type="dxa"/>
            <w:tcMar>
              <w:top w:w="0" w:type="dxa"/>
              <w:left w:w="108" w:type="dxa"/>
              <w:bottom w:w="0" w:type="dxa"/>
              <w:right w:w="108" w:type="dxa"/>
            </w:tcMar>
            <w:hideMark/>
          </w:tcPr>
          <w:p w14:paraId="13CC97A0" w14:textId="77777777" w:rsidR="0029133C" w:rsidRPr="00AB229B" w:rsidRDefault="0029133C" w:rsidP="00AB229B">
            <w:pPr>
              <w:spacing w:before="60" w:after="60" w:line="240" w:lineRule="exact"/>
              <w:jc w:val="center"/>
              <w:rPr>
                <w:rFonts w:cs="Calibri"/>
                <w:sz w:val="22"/>
                <w:szCs w:val="22"/>
              </w:rPr>
            </w:pPr>
            <w:r w:rsidRPr="00AB229B">
              <w:rPr>
                <w:rFonts w:cs="Calibri"/>
                <w:b/>
                <w:bCs/>
                <w:sz w:val="22"/>
                <w:szCs w:val="22"/>
              </w:rPr>
              <w:t>Item</w:t>
            </w:r>
          </w:p>
        </w:tc>
        <w:tc>
          <w:tcPr>
            <w:tcW w:w="1182" w:type="dxa"/>
            <w:tcMar>
              <w:top w:w="0" w:type="dxa"/>
              <w:left w:w="108" w:type="dxa"/>
              <w:bottom w:w="0" w:type="dxa"/>
              <w:right w:w="108" w:type="dxa"/>
            </w:tcMar>
            <w:hideMark/>
          </w:tcPr>
          <w:p w14:paraId="2AE189BA" w14:textId="77777777" w:rsidR="0029133C" w:rsidRPr="00AB229B" w:rsidRDefault="0029133C" w:rsidP="0085359B">
            <w:pPr>
              <w:spacing w:before="60" w:after="60" w:line="240" w:lineRule="exact"/>
              <w:jc w:val="center"/>
              <w:rPr>
                <w:rFonts w:cs="Calibri"/>
                <w:sz w:val="22"/>
                <w:szCs w:val="22"/>
              </w:rPr>
            </w:pPr>
            <w:r w:rsidRPr="00AB229B">
              <w:rPr>
                <w:rFonts w:cs="Calibri"/>
                <w:b/>
                <w:bCs/>
                <w:sz w:val="22"/>
                <w:szCs w:val="22"/>
              </w:rPr>
              <w:t>Document</w:t>
            </w:r>
            <w:r w:rsidR="0085359B" w:rsidRPr="00AB229B">
              <w:rPr>
                <w:rFonts w:cs="Calibri"/>
                <w:b/>
                <w:bCs/>
                <w:sz w:val="22"/>
                <w:szCs w:val="22"/>
              </w:rPr>
              <w:t xml:space="preserve"> </w:t>
            </w:r>
            <w:r w:rsidRPr="00AB229B">
              <w:rPr>
                <w:rFonts w:cs="Calibri"/>
                <w:b/>
                <w:bCs/>
                <w:sz w:val="22"/>
                <w:szCs w:val="22"/>
              </w:rPr>
              <w:t>Type</w:t>
            </w:r>
          </w:p>
        </w:tc>
        <w:tc>
          <w:tcPr>
            <w:tcW w:w="944" w:type="dxa"/>
          </w:tcPr>
          <w:p w14:paraId="296D6BAE" w14:textId="77777777" w:rsidR="0029133C" w:rsidRPr="00AB229B" w:rsidRDefault="0029133C" w:rsidP="0085359B">
            <w:pPr>
              <w:spacing w:before="60" w:after="60" w:line="240" w:lineRule="exact"/>
              <w:jc w:val="center"/>
              <w:rPr>
                <w:rFonts w:cs="Calibri"/>
                <w:b/>
                <w:bCs/>
                <w:sz w:val="22"/>
                <w:szCs w:val="22"/>
              </w:rPr>
            </w:pPr>
            <w:r w:rsidRPr="00AB229B">
              <w:rPr>
                <w:rFonts w:cs="Calibri"/>
                <w:b/>
                <w:bCs/>
                <w:sz w:val="22"/>
                <w:szCs w:val="22"/>
              </w:rPr>
              <w:t>% Complete</w:t>
            </w:r>
          </w:p>
        </w:tc>
        <w:tc>
          <w:tcPr>
            <w:tcW w:w="851" w:type="dxa"/>
          </w:tcPr>
          <w:p w14:paraId="65C8B425" w14:textId="77777777" w:rsidR="0029133C" w:rsidRPr="00AB229B" w:rsidRDefault="0029133C" w:rsidP="0085359B">
            <w:pPr>
              <w:spacing w:before="60" w:after="60" w:line="240" w:lineRule="exact"/>
              <w:jc w:val="center"/>
              <w:rPr>
                <w:rFonts w:cs="Calibri"/>
                <w:b/>
                <w:bCs/>
                <w:sz w:val="22"/>
                <w:szCs w:val="22"/>
              </w:rPr>
            </w:pPr>
            <w:r w:rsidRPr="00AB229B">
              <w:rPr>
                <w:rFonts w:cs="Calibri"/>
                <w:b/>
                <w:bCs/>
                <w:sz w:val="22"/>
                <w:szCs w:val="22"/>
              </w:rPr>
              <w:t>Author</w:t>
            </w:r>
          </w:p>
        </w:tc>
        <w:tc>
          <w:tcPr>
            <w:tcW w:w="2935" w:type="dxa"/>
          </w:tcPr>
          <w:p w14:paraId="5FB3E9A6" w14:textId="77777777" w:rsidR="0029133C" w:rsidRPr="00AB229B" w:rsidRDefault="0029133C" w:rsidP="0085359B">
            <w:pPr>
              <w:spacing w:before="60" w:after="60" w:line="240" w:lineRule="exact"/>
              <w:jc w:val="center"/>
              <w:rPr>
                <w:rFonts w:cs="Calibri"/>
                <w:b/>
                <w:bCs/>
                <w:sz w:val="22"/>
                <w:szCs w:val="22"/>
              </w:rPr>
            </w:pPr>
            <w:r w:rsidRPr="00AB229B">
              <w:rPr>
                <w:rFonts w:cs="Calibri"/>
                <w:b/>
                <w:bCs/>
                <w:sz w:val="22"/>
                <w:szCs w:val="22"/>
              </w:rPr>
              <w:t>Comments</w:t>
            </w:r>
            <w:r w:rsidR="009A6F6E" w:rsidRPr="00AB229B">
              <w:rPr>
                <w:rFonts w:cs="Calibri"/>
                <w:b/>
                <w:bCs/>
                <w:sz w:val="22"/>
                <w:szCs w:val="22"/>
              </w:rPr>
              <w:t xml:space="preserve"> / Progress</w:t>
            </w:r>
          </w:p>
        </w:tc>
      </w:tr>
      <w:tr w:rsidR="00AB229B" w:rsidRPr="00985006" w14:paraId="4807593C" w14:textId="77777777" w:rsidTr="00AB229B">
        <w:tc>
          <w:tcPr>
            <w:tcW w:w="567" w:type="dxa"/>
            <w:tcMar>
              <w:top w:w="0" w:type="dxa"/>
              <w:left w:w="108" w:type="dxa"/>
              <w:bottom w:w="0" w:type="dxa"/>
              <w:right w:w="108" w:type="dxa"/>
            </w:tcMar>
            <w:hideMark/>
          </w:tcPr>
          <w:p w14:paraId="61226F2B" w14:textId="77777777" w:rsidR="0029133C" w:rsidRPr="00AB229B" w:rsidRDefault="0029133C" w:rsidP="0085359B">
            <w:pPr>
              <w:spacing w:before="60" w:after="60" w:line="240" w:lineRule="exact"/>
              <w:jc w:val="center"/>
              <w:rPr>
                <w:rFonts w:cs="Calibri"/>
                <w:sz w:val="22"/>
                <w:szCs w:val="22"/>
              </w:rPr>
            </w:pPr>
            <w:r w:rsidRPr="00AB229B">
              <w:rPr>
                <w:sz w:val="22"/>
                <w:szCs w:val="22"/>
              </w:rPr>
              <w:t>1</w:t>
            </w:r>
          </w:p>
        </w:tc>
        <w:tc>
          <w:tcPr>
            <w:tcW w:w="2552" w:type="dxa"/>
            <w:tcMar>
              <w:top w:w="0" w:type="dxa"/>
              <w:left w:w="108" w:type="dxa"/>
              <w:bottom w:w="0" w:type="dxa"/>
              <w:right w:w="108" w:type="dxa"/>
            </w:tcMar>
            <w:hideMark/>
          </w:tcPr>
          <w:p w14:paraId="010FC19B" w14:textId="77777777" w:rsidR="0029133C" w:rsidRPr="00AB229B" w:rsidRDefault="0029133C" w:rsidP="0085359B">
            <w:pPr>
              <w:spacing w:before="60" w:after="60" w:line="240" w:lineRule="exact"/>
              <w:rPr>
                <w:rFonts w:cs="Calibri"/>
                <w:sz w:val="22"/>
                <w:szCs w:val="22"/>
              </w:rPr>
            </w:pPr>
            <w:r w:rsidRPr="00AB229B">
              <w:rPr>
                <w:sz w:val="22"/>
                <w:szCs w:val="22"/>
              </w:rPr>
              <w:t>Application of CBA to demonstrate ALARP</w:t>
            </w:r>
          </w:p>
        </w:tc>
        <w:tc>
          <w:tcPr>
            <w:tcW w:w="1182" w:type="dxa"/>
            <w:tcMar>
              <w:top w:w="0" w:type="dxa"/>
              <w:left w:w="108" w:type="dxa"/>
              <w:bottom w:w="0" w:type="dxa"/>
              <w:right w:w="108" w:type="dxa"/>
            </w:tcMar>
            <w:hideMark/>
          </w:tcPr>
          <w:p w14:paraId="548309E2" w14:textId="77777777" w:rsidR="0029133C" w:rsidRPr="00AB229B" w:rsidRDefault="0029133C" w:rsidP="0085359B">
            <w:pPr>
              <w:spacing w:before="60" w:after="60" w:line="240" w:lineRule="exact"/>
              <w:jc w:val="center"/>
              <w:rPr>
                <w:rFonts w:cs="Calibri"/>
                <w:sz w:val="22"/>
                <w:szCs w:val="22"/>
              </w:rPr>
            </w:pPr>
            <w:r w:rsidRPr="00AB229B">
              <w:rPr>
                <w:sz w:val="22"/>
                <w:szCs w:val="22"/>
              </w:rPr>
              <w:t>GPG</w:t>
            </w:r>
          </w:p>
        </w:tc>
        <w:tc>
          <w:tcPr>
            <w:tcW w:w="944" w:type="dxa"/>
          </w:tcPr>
          <w:p w14:paraId="421F143F" w14:textId="77777777" w:rsidR="0029133C" w:rsidRPr="00AB229B" w:rsidRDefault="00122052" w:rsidP="0085359B">
            <w:pPr>
              <w:spacing w:before="60" w:after="60" w:line="240" w:lineRule="exact"/>
              <w:jc w:val="center"/>
              <w:rPr>
                <w:sz w:val="22"/>
                <w:szCs w:val="22"/>
              </w:rPr>
            </w:pPr>
            <w:r w:rsidRPr="00AB229B">
              <w:rPr>
                <w:sz w:val="22"/>
                <w:szCs w:val="22"/>
              </w:rPr>
              <w:t>90%</w:t>
            </w:r>
          </w:p>
        </w:tc>
        <w:tc>
          <w:tcPr>
            <w:tcW w:w="851" w:type="dxa"/>
          </w:tcPr>
          <w:p w14:paraId="3D587E77" w14:textId="77777777" w:rsidR="0029133C" w:rsidRPr="00AB229B" w:rsidRDefault="0029133C" w:rsidP="0085359B">
            <w:pPr>
              <w:spacing w:before="60" w:after="60" w:line="240" w:lineRule="exact"/>
              <w:jc w:val="center"/>
              <w:rPr>
                <w:sz w:val="22"/>
                <w:szCs w:val="22"/>
              </w:rPr>
            </w:pPr>
            <w:proofErr w:type="spellStart"/>
            <w:r w:rsidRPr="00AB229B">
              <w:rPr>
                <w:sz w:val="22"/>
                <w:szCs w:val="22"/>
              </w:rPr>
              <w:t>RMcC</w:t>
            </w:r>
            <w:proofErr w:type="spellEnd"/>
            <w:r w:rsidRPr="00AB229B">
              <w:rPr>
                <w:sz w:val="22"/>
                <w:szCs w:val="22"/>
              </w:rPr>
              <w:t xml:space="preserve"> (MA to support)</w:t>
            </w:r>
          </w:p>
        </w:tc>
        <w:tc>
          <w:tcPr>
            <w:tcW w:w="2935" w:type="dxa"/>
          </w:tcPr>
          <w:p w14:paraId="06F8834F" w14:textId="77777777" w:rsidR="009A6F6E" w:rsidRPr="00AB229B" w:rsidRDefault="0085359B" w:rsidP="00943D83">
            <w:pPr>
              <w:spacing w:before="60" w:after="60" w:line="240" w:lineRule="exact"/>
              <w:ind w:left="113"/>
              <w:rPr>
                <w:sz w:val="22"/>
                <w:szCs w:val="22"/>
              </w:rPr>
            </w:pPr>
            <w:r w:rsidRPr="00AB229B">
              <w:rPr>
                <w:sz w:val="22"/>
                <w:szCs w:val="22"/>
              </w:rPr>
              <w:t>First draft issued for comment</w:t>
            </w:r>
          </w:p>
          <w:p w14:paraId="06D22CA5" w14:textId="77777777" w:rsidR="0085359B" w:rsidRPr="00AB229B" w:rsidRDefault="0085359B" w:rsidP="00943D83">
            <w:pPr>
              <w:spacing w:before="60" w:after="60" w:line="240" w:lineRule="exact"/>
              <w:ind w:left="113"/>
              <w:rPr>
                <w:sz w:val="22"/>
                <w:szCs w:val="22"/>
              </w:rPr>
            </w:pPr>
            <w:r w:rsidRPr="00AB229B">
              <w:rPr>
                <w:sz w:val="22"/>
                <w:szCs w:val="22"/>
              </w:rPr>
              <w:t>August 2017</w:t>
            </w:r>
          </w:p>
        </w:tc>
      </w:tr>
      <w:tr w:rsidR="00AB229B" w:rsidRPr="00985006" w14:paraId="0F59F0CC" w14:textId="77777777" w:rsidTr="00AB229B">
        <w:tc>
          <w:tcPr>
            <w:tcW w:w="567" w:type="dxa"/>
            <w:tcMar>
              <w:top w:w="0" w:type="dxa"/>
              <w:left w:w="108" w:type="dxa"/>
              <w:bottom w:w="0" w:type="dxa"/>
              <w:right w:w="108" w:type="dxa"/>
            </w:tcMar>
            <w:hideMark/>
          </w:tcPr>
          <w:p w14:paraId="5CF71B7A" w14:textId="77777777" w:rsidR="0029133C" w:rsidRPr="00AB229B" w:rsidRDefault="0029133C" w:rsidP="0085359B">
            <w:pPr>
              <w:spacing w:before="60" w:after="60" w:line="240" w:lineRule="exact"/>
              <w:jc w:val="center"/>
              <w:rPr>
                <w:rFonts w:cs="Calibri"/>
                <w:sz w:val="22"/>
                <w:szCs w:val="22"/>
              </w:rPr>
            </w:pPr>
            <w:r w:rsidRPr="00AB229B">
              <w:rPr>
                <w:sz w:val="22"/>
                <w:szCs w:val="22"/>
              </w:rPr>
              <w:t>2</w:t>
            </w:r>
          </w:p>
        </w:tc>
        <w:tc>
          <w:tcPr>
            <w:tcW w:w="2552" w:type="dxa"/>
            <w:tcMar>
              <w:top w:w="0" w:type="dxa"/>
              <w:left w:w="108" w:type="dxa"/>
              <w:bottom w:w="0" w:type="dxa"/>
              <w:right w:w="108" w:type="dxa"/>
            </w:tcMar>
            <w:hideMark/>
          </w:tcPr>
          <w:p w14:paraId="0EE5F881" w14:textId="77777777" w:rsidR="0029133C" w:rsidRPr="00AB229B" w:rsidRDefault="0029133C" w:rsidP="0085359B">
            <w:pPr>
              <w:spacing w:before="60" w:after="60" w:line="240" w:lineRule="exact"/>
              <w:rPr>
                <w:rFonts w:cs="Calibri"/>
                <w:sz w:val="22"/>
                <w:szCs w:val="22"/>
              </w:rPr>
            </w:pPr>
            <w:r w:rsidRPr="00AB229B">
              <w:rPr>
                <w:sz w:val="22"/>
                <w:szCs w:val="22"/>
              </w:rPr>
              <w:t>Collecting &amp; Reporting Fault Data (including FR1 form)</w:t>
            </w:r>
          </w:p>
        </w:tc>
        <w:tc>
          <w:tcPr>
            <w:tcW w:w="1182" w:type="dxa"/>
            <w:tcMar>
              <w:top w:w="0" w:type="dxa"/>
              <w:left w:w="108" w:type="dxa"/>
              <w:bottom w:w="0" w:type="dxa"/>
              <w:right w:w="108" w:type="dxa"/>
            </w:tcMar>
            <w:hideMark/>
          </w:tcPr>
          <w:p w14:paraId="277B36E5" w14:textId="77777777" w:rsidR="0029133C" w:rsidRPr="00AB229B" w:rsidRDefault="0029133C" w:rsidP="0085359B">
            <w:pPr>
              <w:spacing w:before="60" w:after="60" w:line="240" w:lineRule="exact"/>
              <w:jc w:val="center"/>
              <w:rPr>
                <w:rFonts w:cs="Calibri"/>
                <w:sz w:val="22"/>
                <w:szCs w:val="22"/>
              </w:rPr>
            </w:pPr>
            <w:r w:rsidRPr="00AB229B">
              <w:rPr>
                <w:sz w:val="22"/>
                <w:szCs w:val="22"/>
              </w:rPr>
              <w:t>TBN</w:t>
            </w:r>
          </w:p>
        </w:tc>
        <w:tc>
          <w:tcPr>
            <w:tcW w:w="944" w:type="dxa"/>
          </w:tcPr>
          <w:p w14:paraId="3CF5B45A" w14:textId="77777777" w:rsidR="0029133C" w:rsidRPr="00AB229B" w:rsidRDefault="0029133C" w:rsidP="0085359B">
            <w:pPr>
              <w:spacing w:before="60" w:after="60" w:line="240" w:lineRule="exact"/>
              <w:jc w:val="center"/>
              <w:rPr>
                <w:sz w:val="22"/>
                <w:szCs w:val="22"/>
              </w:rPr>
            </w:pPr>
            <w:r w:rsidRPr="00AB229B">
              <w:rPr>
                <w:sz w:val="22"/>
                <w:szCs w:val="22"/>
              </w:rPr>
              <w:t>50%</w:t>
            </w:r>
          </w:p>
        </w:tc>
        <w:tc>
          <w:tcPr>
            <w:tcW w:w="851" w:type="dxa"/>
          </w:tcPr>
          <w:p w14:paraId="3914AD46" w14:textId="77777777" w:rsidR="0029133C" w:rsidRPr="00AB229B" w:rsidRDefault="0029133C" w:rsidP="0085359B">
            <w:pPr>
              <w:spacing w:before="60" w:after="60" w:line="240" w:lineRule="exact"/>
              <w:jc w:val="center"/>
              <w:rPr>
                <w:sz w:val="22"/>
                <w:szCs w:val="22"/>
              </w:rPr>
            </w:pPr>
            <w:r w:rsidRPr="00AB229B">
              <w:rPr>
                <w:sz w:val="22"/>
                <w:szCs w:val="22"/>
              </w:rPr>
              <w:t>CL</w:t>
            </w:r>
          </w:p>
        </w:tc>
        <w:tc>
          <w:tcPr>
            <w:tcW w:w="2935" w:type="dxa"/>
          </w:tcPr>
          <w:p w14:paraId="69482254" w14:textId="77777777" w:rsidR="0029133C" w:rsidRPr="00AB229B" w:rsidRDefault="0029133C" w:rsidP="00943D83">
            <w:pPr>
              <w:spacing w:before="60" w:after="60" w:line="240" w:lineRule="exact"/>
              <w:ind w:left="113"/>
              <w:rPr>
                <w:sz w:val="22"/>
                <w:szCs w:val="22"/>
              </w:rPr>
            </w:pPr>
          </w:p>
        </w:tc>
      </w:tr>
      <w:tr w:rsidR="00AB229B" w:rsidRPr="00985006" w14:paraId="7CA9616B" w14:textId="77777777" w:rsidTr="00AB229B">
        <w:tc>
          <w:tcPr>
            <w:tcW w:w="567" w:type="dxa"/>
            <w:tcMar>
              <w:top w:w="0" w:type="dxa"/>
              <w:left w:w="108" w:type="dxa"/>
              <w:bottom w:w="0" w:type="dxa"/>
              <w:right w:w="108" w:type="dxa"/>
            </w:tcMar>
            <w:hideMark/>
          </w:tcPr>
          <w:p w14:paraId="08777464" w14:textId="77777777" w:rsidR="0029133C" w:rsidRPr="00AB229B" w:rsidRDefault="0029133C" w:rsidP="0085359B">
            <w:pPr>
              <w:spacing w:before="60" w:after="60" w:line="240" w:lineRule="exact"/>
              <w:jc w:val="center"/>
              <w:rPr>
                <w:rFonts w:cs="Calibri"/>
                <w:sz w:val="22"/>
                <w:szCs w:val="22"/>
              </w:rPr>
            </w:pPr>
            <w:r w:rsidRPr="00AB229B">
              <w:rPr>
                <w:sz w:val="22"/>
                <w:szCs w:val="22"/>
              </w:rPr>
              <w:t>3</w:t>
            </w:r>
          </w:p>
        </w:tc>
        <w:tc>
          <w:tcPr>
            <w:tcW w:w="2552" w:type="dxa"/>
            <w:tcMar>
              <w:top w:w="0" w:type="dxa"/>
              <w:left w:w="108" w:type="dxa"/>
              <w:bottom w:w="0" w:type="dxa"/>
              <w:right w:w="108" w:type="dxa"/>
            </w:tcMar>
            <w:hideMark/>
          </w:tcPr>
          <w:p w14:paraId="69B8CF3B" w14:textId="77777777" w:rsidR="0029133C" w:rsidRPr="00AB229B" w:rsidRDefault="0029133C" w:rsidP="0085359B">
            <w:pPr>
              <w:spacing w:before="60" w:after="60" w:line="240" w:lineRule="exact"/>
              <w:rPr>
                <w:rFonts w:cs="Calibri"/>
                <w:sz w:val="22"/>
                <w:szCs w:val="22"/>
              </w:rPr>
            </w:pPr>
            <w:r w:rsidRPr="00AB229B">
              <w:rPr>
                <w:sz w:val="22"/>
                <w:szCs w:val="22"/>
              </w:rPr>
              <w:t>LUP Zones for Gasoline pipelines</w:t>
            </w:r>
          </w:p>
        </w:tc>
        <w:tc>
          <w:tcPr>
            <w:tcW w:w="1182" w:type="dxa"/>
            <w:tcMar>
              <w:top w:w="0" w:type="dxa"/>
              <w:left w:w="108" w:type="dxa"/>
              <w:bottom w:w="0" w:type="dxa"/>
              <w:right w:w="108" w:type="dxa"/>
            </w:tcMar>
            <w:hideMark/>
          </w:tcPr>
          <w:p w14:paraId="71F2FF65" w14:textId="77777777" w:rsidR="0029133C" w:rsidRPr="00AB229B" w:rsidRDefault="0029133C" w:rsidP="0085359B">
            <w:pPr>
              <w:spacing w:before="60" w:after="60" w:line="240" w:lineRule="exact"/>
              <w:jc w:val="center"/>
              <w:rPr>
                <w:rFonts w:cs="Calibri"/>
                <w:sz w:val="22"/>
                <w:szCs w:val="22"/>
              </w:rPr>
            </w:pPr>
            <w:r w:rsidRPr="00AB229B">
              <w:rPr>
                <w:sz w:val="22"/>
                <w:szCs w:val="22"/>
              </w:rPr>
              <w:t>TBN</w:t>
            </w:r>
          </w:p>
        </w:tc>
        <w:tc>
          <w:tcPr>
            <w:tcW w:w="944" w:type="dxa"/>
          </w:tcPr>
          <w:p w14:paraId="123CB44A" w14:textId="77777777" w:rsidR="0029133C" w:rsidRPr="00AB229B" w:rsidRDefault="00943D83" w:rsidP="00943D83">
            <w:pPr>
              <w:spacing w:before="60" w:after="60" w:line="240" w:lineRule="exact"/>
              <w:jc w:val="center"/>
              <w:rPr>
                <w:sz w:val="22"/>
                <w:szCs w:val="22"/>
              </w:rPr>
            </w:pPr>
            <w:r w:rsidRPr="00AB229B">
              <w:rPr>
                <w:sz w:val="22"/>
                <w:szCs w:val="22"/>
              </w:rPr>
              <w:t>5</w:t>
            </w:r>
            <w:r w:rsidR="0029133C" w:rsidRPr="00AB229B">
              <w:rPr>
                <w:sz w:val="22"/>
                <w:szCs w:val="22"/>
              </w:rPr>
              <w:t>0%</w:t>
            </w:r>
          </w:p>
        </w:tc>
        <w:tc>
          <w:tcPr>
            <w:tcW w:w="851" w:type="dxa"/>
          </w:tcPr>
          <w:p w14:paraId="3DDD3241" w14:textId="77777777" w:rsidR="0029133C" w:rsidRPr="00AB229B" w:rsidRDefault="0029133C" w:rsidP="0085359B">
            <w:pPr>
              <w:spacing w:before="60" w:after="60" w:line="240" w:lineRule="exact"/>
              <w:jc w:val="center"/>
              <w:rPr>
                <w:sz w:val="22"/>
                <w:szCs w:val="22"/>
              </w:rPr>
            </w:pPr>
            <w:proofErr w:type="spellStart"/>
            <w:r w:rsidRPr="00AB229B">
              <w:rPr>
                <w:sz w:val="22"/>
                <w:szCs w:val="22"/>
              </w:rPr>
              <w:t>RMcC</w:t>
            </w:r>
            <w:proofErr w:type="spellEnd"/>
          </w:p>
        </w:tc>
        <w:tc>
          <w:tcPr>
            <w:tcW w:w="2935" w:type="dxa"/>
          </w:tcPr>
          <w:p w14:paraId="69DDCA5E" w14:textId="77777777" w:rsidR="0029133C" w:rsidRPr="00AB229B" w:rsidRDefault="00943D83" w:rsidP="00943D83">
            <w:pPr>
              <w:spacing w:before="60" w:after="60" w:line="240" w:lineRule="exact"/>
              <w:ind w:left="113"/>
              <w:rPr>
                <w:sz w:val="22"/>
                <w:szCs w:val="22"/>
              </w:rPr>
            </w:pPr>
            <w:r w:rsidRPr="00AB229B">
              <w:rPr>
                <w:sz w:val="22"/>
                <w:szCs w:val="22"/>
              </w:rPr>
              <w:t xml:space="preserve"> </w:t>
            </w:r>
            <w:r w:rsidR="00122052" w:rsidRPr="00AB229B">
              <w:rPr>
                <w:sz w:val="22"/>
                <w:szCs w:val="22"/>
              </w:rPr>
              <w:t>First draft started, plan to complete draft late 2017</w:t>
            </w:r>
          </w:p>
        </w:tc>
      </w:tr>
      <w:tr w:rsidR="00AB229B" w:rsidRPr="00985006" w14:paraId="3E3E2052" w14:textId="77777777" w:rsidTr="00AB229B">
        <w:tc>
          <w:tcPr>
            <w:tcW w:w="567" w:type="dxa"/>
            <w:tcMar>
              <w:top w:w="0" w:type="dxa"/>
              <w:left w:w="108" w:type="dxa"/>
              <w:bottom w:w="0" w:type="dxa"/>
              <w:right w:w="108" w:type="dxa"/>
            </w:tcMar>
            <w:hideMark/>
          </w:tcPr>
          <w:p w14:paraId="090B4DF2" w14:textId="77777777" w:rsidR="0029133C" w:rsidRPr="00AB229B" w:rsidRDefault="0029133C" w:rsidP="0085359B">
            <w:pPr>
              <w:spacing w:before="60" w:after="60" w:line="240" w:lineRule="exact"/>
              <w:jc w:val="center"/>
              <w:rPr>
                <w:rFonts w:cs="Calibri"/>
                <w:sz w:val="22"/>
                <w:szCs w:val="22"/>
              </w:rPr>
            </w:pPr>
            <w:r w:rsidRPr="00AB229B">
              <w:rPr>
                <w:sz w:val="22"/>
                <w:szCs w:val="22"/>
              </w:rPr>
              <w:t>4</w:t>
            </w:r>
          </w:p>
        </w:tc>
        <w:tc>
          <w:tcPr>
            <w:tcW w:w="2552" w:type="dxa"/>
            <w:tcMar>
              <w:top w:w="0" w:type="dxa"/>
              <w:left w:w="108" w:type="dxa"/>
              <w:bottom w:w="0" w:type="dxa"/>
              <w:right w:w="108" w:type="dxa"/>
            </w:tcMar>
            <w:hideMark/>
          </w:tcPr>
          <w:p w14:paraId="11B9EB00" w14:textId="77777777" w:rsidR="0029133C" w:rsidRPr="00AB229B" w:rsidRDefault="0029133C" w:rsidP="00122052">
            <w:pPr>
              <w:spacing w:before="60" w:after="60" w:line="240" w:lineRule="exact"/>
              <w:rPr>
                <w:rFonts w:cs="Calibri"/>
                <w:sz w:val="22"/>
                <w:szCs w:val="22"/>
              </w:rPr>
            </w:pPr>
            <w:r w:rsidRPr="00AB229B">
              <w:rPr>
                <w:sz w:val="22"/>
                <w:szCs w:val="22"/>
              </w:rPr>
              <w:t xml:space="preserve">History of Land Use Planning (including </w:t>
            </w:r>
            <w:r w:rsidR="00122052" w:rsidRPr="00AB229B">
              <w:rPr>
                <w:sz w:val="22"/>
                <w:szCs w:val="22"/>
              </w:rPr>
              <w:t>development of risk codes, frequency analysis by HSL and 10 issues raised with HSE through RAWG</w:t>
            </w:r>
            <w:r w:rsidRPr="00AB229B">
              <w:rPr>
                <w:sz w:val="22"/>
                <w:szCs w:val="22"/>
              </w:rPr>
              <w:t>)</w:t>
            </w:r>
          </w:p>
        </w:tc>
        <w:tc>
          <w:tcPr>
            <w:tcW w:w="1182" w:type="dxa"/>
            <w:tcMar>
              <w:top w:w="0" w:type="dxa"/>
              <w:left w:w="108" w:type="dxa"/>
              <w:bottom w:w="0" w:type="dxa"/>
              <w:right w:w="108" w:type="dxa"/>
            </w:tcMar>
            <w:hideMark/>
          </w:tcPr>
          <w:p w14:paraId="24790750" w14:textId="77777777" w:rsidR="0029133C" w:rsidRPr="00AB229B" w:rsidRDefault="0029133C" w:rsidP="0085359B">
            <w:pPr>
              <w:spacing w:before="60" w:after="60" w:line="240" w:lineRule="exact"/>
              <w:jc w:val="center"/>
              <w:rPr>
                <w:rFonts w:cs="Calibri"/>
                <w:sz w:val="22"/>
                <w:szCs w:val="22"/>
              </w:rPr>
            </w:pPr>
            <w:r w:rsidRPr="00AB229B">
              <w:rPr>
                <w:sz w:val="22"/>
                <w:szCs w:val="22"/>
              </w:rPr>
              <w:t>TBN</w:t>
            </w:r>
          </w:p>
        </w:tc>
        <w:tc>
          <w:tcPr>
            <w:tcW w:w="944" w:type="dxa"/>
          </w:tcPr>
          <w:p w14:paraId="521A5743" w14:textId="77777777" w:rsidR="0029133C" w:rsidRPr="00AB229B" w:rsidRDefault="0029133C" w:rsidP="0085359B">
            <w:pPr>
              <w:spacing w:before="60" w:after="60" w:line="240" w:lineRule="exact"/>
              <w:jc w:val="center"/>
              <w:rPr>
                <w:sz w:val="22"/>
                <w:szCs w:val="22"/>
              </w:rPr>
            </w:pPr>
            <w:r w:rsidRPr="00AB229B">
              <w:rPr>
                <w:sz w:val="22"/>
                <w:szCs w:val="22"/>
              </w:rPr>
              <w:t>0%</w:t>
            </w:r>
          </w:p>
        </w:tc>
        <w:tc>
          <w:tcPr>
            <w:tcW w:w="851" w:type="dxa"/>
          </w:tcPr>
          <w:p w14:paraId="57927EF4" w14:textId="77777777" w:rsidR="0029133C" w:rsidRPr="00AB229B" w:rsidRDefault="0029133C" w:rsidP="0085359B">
            <w:pPr>
              <w:spacing w:before="60" w:after="60" w:line="240" w:lineRule="exact"/>
              <w:jc w:val="center"/>
              <w:rPr>
                <w:sz w:val="22"/>
                <w:szCs w:val="22"/>
              </w:rPr>
            </w:pPr>
            <w:proofErr w:type="spellStart"/>
            <w:r w:rsidRPr="00AB229B">
              <w:rPr>
                <w:sz w:val="22"/>
                <w:szCs w:val="22"/>
              </w:rPr>
              <w:t>RMcC</w:t>
            </w:r>
            <w:proofErr w:type="spellEnd"/>
          </w:p>
        </w:tc>
        <w:tc>
          <w:tcPr>
            <w:tcW w:w="2935" w:type="dxa"/>
          </w:tcPr>
          <w:p w14:paraId="2A1D39C6" w14:textId="77777777" w:rsidR="0029133C" w:rsidRPr="00AB229B" w:rsidRDefault="00943D83" w:rsidP="00943D83">
            <w:pPr>
              <w:spacing w:before="60" w:after="60" w:line="240" w:lineRule="exact"/>
              <w:ind w:left="113"/>
              <w:rPr>
                <w:sz w:val="22"/>
                <w:szCs w:val="22"/>
              </w:rPr>
            </w:pPr>
            <w:r w:rsidRPr="00AB229B">
              <w:rPr>
                <w:sz w:val="22"/>
                <w:szCs w:val="22"/>
              </w:rPr>
              <w:t xml:space="preserve">  </w:t>
            </w:r>
            <w:r w:rsidR="0029133C" w:rsidRPr="00AB229B">
              <w:rPr>
                <w:sz w:val="22"/>
                <w:szCs w:val="22"/>
              </w:rPr>
              <w:t xml:space="preserve">Last </w:t>
            </w:r>
            <w:r w:rsidR="00122052" w:rsidRPr="00AB229B">
              <w:rPr>
                <w:sz w:val="22"/>
                <w:szCs w:val="22"/>
              </w:rPr>
              <w:t>issu</w:t>
            </w:r>
            <w:r w:rsidRPr="00AB229B">
              <w:rPr>
                <w:sz w:val="22"/>
                <w:szCs w:val="22"/>
              </w:rPr>
              <w:t>e</w:t>
            </w:r>
            <w:r w:rsidR="00122052" w:rsidRPr="00AB229B">
              <w:rPr>
                <w:sz w:val="22"/>
                <w:szCs w:val="22"/>
              </w:rPr>
              <w:t xml:space="preserve">d as a UKOPA document </w:t>
            </w:r>
            <w:r w:rsidR="0029133C" w:rsidRPr="00AB229B">
              <w:rPr>
                <w:sz w:val="22"/>
                <w:szCs w:val="22"/>
              </w:rPr>
              <w:t>in 2005</w:t>
            </w:r>
            <w:r w:rsidR="0085359B" w:rsidRPr="00AB229B">
              <w:rPr>
                <w:sz w:val="22"/>
                <w:szCs w:val="22"/>
              </w:rPr>
              <w:t>, needs extensive</w:t>
            </w:r>
            <w:r w:rsidR="00122052" w:rsidRPr="00AB229B">
              <w:rPr>
                <w:sz w:val="22"/>
                <w:szCs w:val="22"/>
              </w:rPr>
              <w:t xml:space="preserve"> update for progress since then, </w:t>
            </w:r>
            <w:r w:rsidRPr="00AB229B">
              <w:rPr>
                <w:sz w:val="22"/>
                <w:szCs w:val="22"/>
              </w:rPr>
              <w:t>p</w:t>
            </w:r>
            <w:r w:rsidR="00122052" w:rsidRPr="00AB229B">
              <w:rPr>
                <w:sz w:val="22"/>
                <w:szCs w:val="22"/>
              </w:rPr>
              <w:t>lanned for late 2017</w:t>
            </w:r>
            <w:r w:rsidRPr="00AB229B">
              <w:rPr>
                <w:sz w:val="22"/>
                <w:szCs w:val="22"/>
              </w:rPr>
              <w:t>.</w:t>
            </w:r>
          </w:p>
        </w:tc>
      </w:tr>
      <w:tr w:rsidR="00AB229B" w:rsidRPr="00985006" w14:paraId="462813AF" w14:textId="77777777" w:rsidTr="00AB229B">
        <w:tc>
          <w:tcPr>
            <w:tcW w:w="567" w:type="dxa"/>
            <w:tcMar>
              <w:top w:w="0" w:type="dxa"/>
              <w:left w:w="108" w:type="dxa"/>
              <w:bottom w:w="0" w:type="dxa"/>
              <w:right w:w="108" w:type="dxa"/>
            </w:tcMar>
            <w:hideMark/>
          </w:tcPr>
          <w:p w14:paraId="706AB6E3" w14:textId="77777777" w:rsidR="0029133C" w:rsidRPr="00AB229B" w:rsidRDefault="0029133C" w:rsidP="0085359B">
            <w:pPr>
              <w:spacing w:before="60" w:after="60" w:line="240" w:lineRule="exact"/>
              <w:jc w:val="center"/>
              <w:rPr>
                <w:rFonts w:cs="Calibri"/>
                <w:sz w:val="22"/>
                <w:szCs w:val="22"/>
              </w:rPr>
            </w:pPr>
            <w:r w:rsidRPr="00AB229B">
              <w:rPr>
                <w:sz w:val="22"/>
                <w:szCs w:val="22"/>
              </w:rPr>
              <w:t>5</w:t>
            </w:r>
          </w:p>
        </w:tc>
        <w:tc>
          <w:tcPr>
            <w:tcW w:w="2552" w:type="dxa"/>
            <w:tcMar>
              <w:top w:w="0" w:type="dxa"/>
              <w:left w:w="108" w:type="dxa"/>
              <w:bottom w:w="0" w:type="dxa"/>
              <w:right w:w="108" w:type="dxa"/>
            </w:tcMar>
            <w:hideMark/>
          </w:tcPr>
          <w:p w14:paraId="48F71F25" w14:textId="77777777" w:rsidR="0029133C" w:rsidRPr="00AB229B" w:rsidRDefault="0029133C" w:rsidP="0085359B">
            <w:pPr>
              <w:spacing w:before="60" w:after="60" w:line="240" w:lineRule="exact"/>
              <w:rPr>
                <w:rFonts w:cs="Calibri"/>
                <w:sz w:val="22"/>
                <w:szCs w:val="22"/>
              </w:rPr>
            </w:pPr>
            <w:r w:rsidRPr="00AB229B">
              <w:rPr>
                <w:sz w:val="22"/>
                <w:szCs w:val="22"/>
              </w:rPr>
              <w:t>Capturing &amp; Monitoring Population Density</w:t>
            </w:r>
          </w:p>
        </w:tc>
        <w:tc>
          <w:tcPr>
            <w:tcW w:w="1182" w:type="dxa"/>
            <w:tcMar>
              <w:top w:w="0" w:type="dxa"/>
              <w:left w:w="108" w:type="dxa"/>
              <w:bottom w:w="0" w:type="dxa"/>
              <w:right w:w="108" w:type="dxa"/>
            </w:tcMar>
            <w:hideMark/>
          </w:tcPr>
          <w:p w14:paraId="4B72B1DF" w14:textId="77777777" w:rsidR="0029133C" w:rsidRPr="00AB229B" w:rsidRDefault="0029133C" w:rsidP="0085359B">
            <w:pPr>
              <w:spacing w:before="60" w:after="60" w:line="240" w:lineRule="exact"/>
              <w:jc w:val="center"/>
              <w:rPr>
                <w:rFonts w:cs="Calibri"/>
                <w:sz w:val="22"/>
                <w:szCs w:val="22"/>
              </w:rPr>
            </w:pPr>
            <w:r w:rsidRPr="00AB229B">
              <w:rPr>
                <w:sz w:val="22"/>
                <w:szCs w:val="22"/>
              </w:rPr>
              <w:t>GPG</w:t>
            </w:r>
          </w:p>
        </w:tc>
        <w:tc>
          <w:tcPr>
            <w:tcW w:w="944" w:type="dxa"/>
          </w:tcPr>
          <w:p w14:paraId="0A1E9347" w14:textId="77777777" w:rsidR="0029133C" w:rsidRPr="00AB229B" w:rsidRDefault="0029133C" w:rsidP="0085359B">
            <w:pPr>
              <w:spacing w:before="60" w:after="60" w:line="240" w:lineRule="exact"/>
              <w:jc w:val="center"/>
              <w:rPr>
                <w:sz w:val="22"/>
                <w:szCs w:val="22"/>
              </w:rPr>
            </w:pPr>
            <w:r w:rsidRPr="00AB229B">
              <w:rPr>
                <w:sz w:val="22"/>
                <w:szCs w:val="22"/>
              </w:rPr>
              <w:t>0%</w:t>
            </w:r>
          </w:p>
        </w:tc>
        <w:tc>
          <w:tcPr>
            <w:tcW w:w="851" w:type="dxa"/>
          </w:tcPr>
          <w:p w14:paraId="5204C769" w14:textId="77777777" w:rsidR="0029133C" w:rsidRPr="00AB229B" w:rsidRDefault="0029133C" w:rsidP="0085359B">
            <w:pPr>
              <w:spacing w:before="60" w:after="60" w:line="240" w:lineRule="exact"/>
              <w:jc w:val="center"/>
              <w:rPr>
                <w:sz w:val="22"/>
                <w:szCs w:val="22"/>
              </w:rPr>
            </w:pPr>
            <w:r w:rsidRPr="00AB229B">
              <w:rPr>
                <w:sz w:val="22"/>
                <w:szCs w:val="22"/>
              </w:rPr>
              <w:t>Roger Ellis</w:t>
            </w:r>
            <w:r w:rsidR="000936E7" w:rsidRPr="00AB229B">
              <w:rPr>
                <w:sz w:val="22"/>
                <w:szCs w:val="22"/>
              </w:rPr>
              <w:t xml:space="preserve"> (</w:t>
            </w:r>
            <w:proofErr w:type="spellStart"/>
            <w:r w:rsidR="000936E7" w:rsidRPr="00AB229B">
              <w:rPr>
                <w:sz w:val="22"/>
                <w:szCs w:val="22"/>
              </w:rPr>
              <w:t>RMcC</w:t>
            </w:r>
            <w:proofErr w:type="spellEnd"/>
            <w:r w:rsidR="000936E7" w:rsidRPr="00AB229B">
              <w:rPr>
                <w:sz w:val="22"/>
                <w:szCs w:val="22"/>
              </w:rPr>
              <w:t xml:space="preserve"> to support)</w:t>
            </w:r>
          </w:p>
        </w:tc>
        <w:tc>
          <w:tcPr>
            <w:tcW w:w="2935" w:type="dxa"/>
          </w:tcPr>
          <w:p w14:paraId="1C62DEF7" w14:textId="77777777" w:rsidR="0029133C" w:rsidRPr="00AB229B" w:rsidRDefault="0029133C" w:rsidP="00943D83">
            <w:pPr>
              <w:spacing w:before="60" w:after="60" w:line="240" w:lineRule="exact"/>
              <w:ind w:left="113"/>
              <w:rPr>
                <w:sz w:val="22"/>
                <w:szCs w:val="22"/>
              </w:rPr>
            </w:pPr>
            <w:r w:rsidRPr="00AB229B">
              <w:rPr>
                <w:sz w:val="22"/>
                <w:szCs w:val="22"/>
              </w:rPr>
              <w:t>Also review TD/1 issues that JH has received.</w:t>
            </w:r>
          </w:p>
          <w:p w14:paraId="181058B7" w14:textId="77777777" w:rsidR="0029133C" w:rsidRPr="00AB229B" w:rsidRDefault="00122052" w:rsidP="00943D83">
            <w:pPr>
              <w:spacing w:before="60" w:after="60" w:line="240" w:lineRule="exact"/>
              <w:ind w:left="113"/>
              <w:rPr>
                <w:sz w:val="22"/>
                <w:szCs w:val="22"/>
              </w:rPr>
            </w:pPr>
            <w:r w:rsidRPr="00AB229B">
              <w:rPr>
                <w:sz w:val="22"/>
                <w:szCs w:val="22"/>
              </w:rPr>
              <w:t>Roger Ellis to progress</w:t>
            </w:r>
          </w:p>
        </w:tc>
      </w:tr>
      <w:tr w:rsidR="00AB229B" w:rsidRPr="00985006" w14:paraId="7608BB21" w14:textId="77777777" w:rsidTr="00AB229B">
        <w:tc>
          <w:tcPr>
            <w:tcW w:w="567" w:type="dxa"/>
            <w:tcMar>
              <w:top w:w="0" w:type="dxa"/>
              <w:left w:w="108" w:type="dxa"/>
              <w:bottom w:w="0" w:type="dxa"/>
              <w:right w:w="108" w:type="dxa"/>
            </w:tcMar>
            <w:hideMark/>
          </w:tcPr>
          <w:p w14:paraId="0A880B0D" w14:textId="77777777" w:rsidR="0029133C" w:rsidRPr="00AB229B" w:rsidRDefault="0029133C" w:rsidP="0085359B">
            <w:pPr>
              <w:spacing w:before="60" w:after="60" w:line="240" w:lineRule="exact"/>
              <w:jc w:val="center"/>
              <w:rPr>
                <w:rFonts w:cs="Calibri"/>
                <w:sz w:val="22"/>
                <w:szCs w:val="22"/>
              </w:rPr>
            </w:pPr>
            <w:r w:rsidRPr="00AB229B">
              <w:rPr>
                <w:rFonts w:cs="Calibri"/>
                <w:sz w:val="22"/>
                <w:szCs w:val="22"/>
                <w:lang w:val="es-CL"/>
              </w:rPr>
              <w:t>6</w:t>
            </w:r>
          </w:p>
        </w:tc>
        <w:tc>
          <w:tcPr>
            <w:tcW w:w="2552" w:type="dxa"/>
            <w:tcMar>
              <w:top w:w="0" w:type="dxa"/>
              <w:left w:w="108" w:type="dxa"/>
              <w:bottom w:w="0" w:type="dxa"/>
              <w:right w:w="108" w:type="dxa"/>
            </w:tcMar>
            <w:hideMark/>
          </w:tcPr>
          <w:p w14:paraId="201CA979" w14:textId="77777777" w:rsidR="0029133C" w:rsidRPr="00AB229B" w:rsidRDefault="0029133C" w:rsidP="0085359B">
            <w:pPr>
              <w:spacing w:before="60" w:after="60" w:line="240" w:lineRule="exact"/>
              <w:rPr>
                <w:rFonts w:cs="Calibri"/>
                <w:sz w:val="22"/>
                <w:szCs w:val="22"/>
              </w:rPr>
            </w:pPr>
            <w:r w:rsidRPr="00AB229B">
              <w:rPr>
                <w:sz w:val="22"/>
                <w:szCs w:val="22"/>
              </w:rPr>
              <w:t>Effect of Pipeline Surveillance on Risk</w:t>
            </w:r>
          </w:p>
        </w:tc>
        <w:tc>
          <w:tcPr>
            <w:tcW w:w="1182" w:type="dxa"/>
            <w:tcMar>
              <w:top w:w="0" w:type="dxa"/>
              <w:left w:w="108" w:type="dxa"/>
              <w:bottom w:w="0" w:type="dxa"/>
              <w:right w:w="108" w:type="dxa"/>
            </w:tcMar>
            <w:hideMark/>
          </w:tcPr>
          <w:p w14:paraId="069E3FD5" w14:textId="77777777" w:rsidR="0029133C" w:rsidRPr="00AB229B" w:rsidRDefault="0029133C" w:rsidP="0085359B">
            <w:pPr>
              <w:spacing w:before="60" w:after="60" w:line="240" w:lineRule="exact"/>
              <w:jc w:val="center"/>
              <w:rPr>
                <w:rFonts w:cs="Calibri"/>
                <w:sz w:val="22"/>
                <w:szCs w:val="22"/>
              </w:rPr>
            </w:pPr>
            <w:r w:rsidRPr="00AB229B">
              <w:rPr>
                <w:sz w:val="22"/>
                <w:szCs w:val="22"/>
              </w:rPr>
              <w:t>TBN</w:t>
            </w:r>
          </w:p>
        </w:tc>
        <w:tc>
          <w:tcPr>
            <w:tcW w:w="944" w:type="dxa"/>
          </w:tcPr>
          <w:p w14:paraId="00037CB0" w14:textId="77777777" w:rsidR="0029133C" w:rsidRPr="00AB229B" w:rsidRDefault="00122052" w:rsidP="00122052">
            <w:pPr>
              <w:spacing w:before="60" w:after="60" w:line="240" w:lineRule="exact"/>
              <w:jc w:val="center"/>
              <w:rPr>
                <w:sz w:val="22"/>
                <w:szCs w:val="22"/>
              </w:rPr>
            </w:pPr>
            <w:r w:rsidRPr="00AB229B">
              <w:rPr>
                <w:sz w:val="22"/>
                <w:szCs w:val="22"/>
              </w:rPr>
              <w:t>0</w:t>
            </w:r>
            <w:r w:rsidR="0029133C" w:rsidRPr="00AB229B">
              <w:rPr>
                <w:sz w:val="22"/>
                <w:szCs w:val="22"/>
              </w:rPr>
              <w:t>%</w:t>
            </w:r>
          </w:p>
        </w:tc>
        <w:tc>
          <w:tcPr>
            <w:tcW w:w="851" w:type="dxa"/>
          </w:tcPr>
          <w:p w14:paraId="20D32928" w14:textId="77777777" w:rsidR="0029133C" w:rsidRPr="00AB229B" w:rsidRDefault="0029133C" w:rsidP="0085359B">
            <w:pPr>
              <w:spacing w:before="60" w:after="60" w:line="240" w:lineRule="exact"/>
              <w:jc w:val="center"/>
              <w:rPr>
                <w:sz w:val="22"/>
                <w:szCs w:val="22"/>
              </w:rPr>
            </w:pPr>
            <w:proofErr w:type="spellStart"/>
            <w:r w:rsidRPr="00AB229B">
              <w:rPr>
                <w:sz w:val="22"/>
                <w:szCs w:val="22"/>
              </w:rPr>
              <w:t>RMcC</w:t>
            </w:r>
            <w:proofErr w:type="spellEnd"/>
          </w:p>
        </w:tc>
        <w:tc>
          <w:tcPr>
            <w:tcW w:w="2935" w:type="dxa"/>
          </w:tcPr>
          <w:p w14:paraId="5FDEA65E" w14:textId="77777777" w:rsidR="0029133C" w:rsidRPr="00AB229B" w:rsidRDefault="0085359B" w:rsidP="00943D83">
            <w:pPr>
              <w:spacing w:before="60" w:after="60" w:line="240" w:lineRule="exact"/>
              <w:ind w:left="113"/>
              <w:rPr>
                <w:sz w:val="22"/>
                <w:szCs w:val="22"/>
              </w:rPr>
            </w:pPr>
            <w:r w:rsidRPr="00AB229B">
              <w:rPr>
                <w:sz w:val="22"/>
                <w:szCs w:val="22"/>
              </w:rPr>
              <w:t>To cover surveillance graph in risk codes</w:t>
            </w:r>
          </w:p>
          <w:p w14:paraId="7BA14CB5" w14:textId="77777777" w:rsidR="00122052" w:rsidRPr="00AB229B" w:rsidRDefault="00122052" w:rsidP="00943D83">
            <w:pPr>
              <w:spacing w:before="60" w:after="60" w:line="240" w:lineRule="exact"/>
              <w:ind w:left="113"/>
              <w:rPr>
                <w:sz w:val="22"/>
                <w:szCs w:val="22"/>
              </w:rPr>
            </w:pPr>
            <w:r w:rsidRPr="00AB229B">
              <w:rPr>
                <w:sz w:val="22"/>
                <w:szCs w:val="22"/>
              </w:rPr>
              <w:t xml:space="preserve">Not yet started, </w:t>
            </w:r>
            <w:r w:rsidR="00943D83" w:rsidRPr="00AB229B">
              <w:rPr>
                <w:sz w:val="22"/>
                <w:szCs w:val="22"/>
              </w:rPr>
              <w:t xml:space="preserve">plan to </w:t>
            </w:r>
            <w:r w:rsidRPr="00AB229B">
              <w:rPr>
                <w:sz w:val="22"/>
                <w:szCs w:val="22"/>
              </w:rPr>
              <w:t>compl</w:t>
            </w:r>
            <w:r w:rsidR="00943D83" w:rsidRPr="00AB229B">
              <w:rPr>
                <w:sz w:val="22"/>
                <w:szCs w:val="22"/>
              </w:rPr>
              <w:t>e</w:t>
            </w:r>
            <w:r w:rsidRPr="00AB229B">
              <w:rPr>
                <w:sz w:val="22"/>
                <w:szCs w:val="22"/>
              </w:rPr>
              <w:t>te draft late 2017</w:t>
            </w:r>
          </w:p>
        </w:tc>
      </w:tr>
      <w:tr w:rsidR="00AB229B" w:rsidRPr="00985006" w14:paraId="00E20843" w14:textId="77777777" w:rsidTr="00AB229B">
        <w:tc>
          <w:tcPr>
            <w:tcW w:w="567" w:type="dxa"/>
            <w:tcMar>
              <w:top w:w="0" w:type="dxa"/>
              <w:left w:w="108" w:type="dxa"/>
              <w:bottom w:w="0" w:type="dxa"/>
              <w:right w:w="108" w:type="dxa"/>
            </w:tcMar>
            <w:hideMark/>
          </w:tcPr>
          <w:p w14:paraId="47FFD919" w14:textId="77777777" w:rsidR="0029133C" w:rsidRPr="00AB229B" w:rsidRDefault="0029133C" w:rsidP="0085359B">
            <w:pPr>
              <w:spacing w:before="60" w:after="60" w:line="240" w:lineRule="exact"/>
              <w:jc w:val="center"/>
              <w:rPr>
                <w:rFonts w:cs="Calibri"/>
                <w:sz w:val="22"/>
                <w:szCs w:val="22"/>
              </w:rPr>
            </w:pPr>
            <w:r w:rsidRPr="00AB229B">
              <w:rPr>
                <w:rFonts w:cs="Calibri"/>
                <w:sz w:val="22"/>
                <w:szCs w:val="22"/>
                <w:lang w:val="es-CL"/>
              </w:rPr>
              <w:t>7</w:t>
            </w:r>
          </w:p>
        </w:tc>
        <w:tc>
          <w:tcPr>
            <w:tcW w:w="2552" w:type="dxa"/>
            <w:tcMar>
              <w:top w:w="0" w:type="dxa"/>
              <w:left w:w="108" w:type="dxa"/>
              <w:bottom w:w="0" w:type="dxa"/>
              <w:right w:w="108" w:type="dxa"/>
            </w:tcMar>
            <w:hideMark/>
          </w:tcPr>
          <w:p w14:paraId="3D387484" w14:textId="77777777" w:rsidR="0029133C" w:rsidRPr="00AB229B" w:rsidRDefault="0029133C" w:rsidP="0085359B">
            <w:pPr>
              <w:spacing w:before="60" w:after="60" w:line="240" w:lineRule="exact"/>
              <w:rPr>
                <w:rFonts w:cs="Calibri"/>
                <w:sz w:val="22"/>
                <w:szCs w:val="22"/>
              </w:rPr>
            </w:pPr>
            <w:r w:rsidRPr="00AB229B">
              <w:rPr>
                <w:sz w:val="22"/>
                <w:szCs w:val="22"/>
              </w:rPr>
              <w:t>Oil Pipelines Drain Down Study</w:t>
            </w:r>
          </w:p>
        </w:tc>
        <w:tc>
          <w:tcPr>
            <w:tcW w:w="1182" w:type="dxa"/>
            <w:tcMar>
              <w:top w:w="0" w:type="dxa"/>
              <w:left w:w="108" w:type="dxa"/>
              <w:bottom w:w="0" w:type="dxa"/>
              <w:right w:w="108" w:type="dxa"/>
            </w:tcMar>
            <w:hideMark/>
          </w:tcPr>
          <w:p w14:paraId="39DABD07" w14:textId="77777777" w:rsidR="0029133C" w:rsidRPr="00AB229B" w:rsidRDefault="0029133C" w:rsidP="0085359B">
            <w:pPr>
              <w:spacing w:before="60" w:after="60" w:line="240" w:lineRule="exact"/>
              <w:jc w:val="center"/>
              <w:rPr>
                <w:rFonts w:cs="Calibri"/>
                <w:sz w:val="22"/>
                <w:szCs w:val="22"/>
              </w:rPr>
            </w:pPr>
            <w:r w:rsidRPr="00AB229B">
              <w:rPr>
                <w:sz w:val="22"/>
                <w:szCs w:val="22"/>
              </w:rPr>
              <w:t>TBN</w:t>
            </w:r>
          </w:p>
        </w:tc>
        <w:tc>
          <w:tcPr>
            <w:tcW w:w="944" w:type="dxa"/>
          </w:tcPr>
          <w:p w14:paraId="17927D8D" w14:textId="77777777" w:rsidR="0029133C" w:rsidRPr="00AB229B" w:rsidRDefault="0029133C" w:rsidP="00122052">
            <w:pPr>
              <w:spacing w:before="60" w:after="60" w:line="240" w:lineRule="exact"/>
              <w:jc w:val="center"/>
              <w:rPr>
                <w:sz w:val="22"/>
                <w:szCs w:val="22"/>
              </w:rPr>
            </w:pPr>
            <w:r w:rsidRPr="00AB229B">
              <w:rPr>
                <w:sz w:val="22"/>
                <w:szCs w:val="22"/>
              </w:rPr>
              <w:t>9</w:t>
            </w:r>
            <w:r w:rsidR="00122052" w:rsidRPr="00AB229B">
              <w:rPr>
                <w:sz w:val="22"/>
                <w:szCs w:val="22"/>
              </w:rPr>
              <w:t>0</w:t>
            </w:r>
            <w:r w:rsidRPr="00AB229B">
              <w:rPr>
                <w:sz w:val="22"/>
                <w:szCs w:val="22"/>
              </w:rPr>
              <w:t>%</w:t>
            </w:r>
          </w:p>
        </w:tc>
        <w:tc>
          <w:tcPr>
            <w:tcW w:w="851" w:type="dxa"/>
          </w:tcPr>
          <w:p w14:paraId="69E7530D" w14:textId="77777777" w:rsidR="0029133C" w:rsidRPr="00AB229B" w:rsidRDefault="0029133C" w:rsidP="0085359B">
            <w:pPr>
              <w:spacing w:before="60" w:after="60" w:line="240" w:lineRule="exact"/>
              <w:jc w:val="center"/>
              <w:rPr>
                <w:sz w:val="22"/>
                <w:szCs w:val="22"/>
              </w:rPr>
            </w:pPr>
            <w:proofErr w:type="spellStart"/>
            <w:r w:rsidRPr="00AB229B">
              <w:rPr>
                <w:sz w:val="22"/>
                <w:szCs w:val="22"/>
              </w:rPr>
              <w:t>RMcC</w:t>
            </w:r>
            <w:proofErr w:type="spellEnd"/>
          </w:p>
        </w:tc>
        <w:tc>
          <w:tcPr>
            <w:tcW w:w="2935" w:type="dxa"/>
          </w:tcPr>
          <w:p w14:paraId="6A6A08D7" w14:textId="77777777" w:rsidR="0029133C" w:rsidRPr="00AB229B" w:rsidRDefault="00122052" w:rsidP="00943D83">
            <w:pPr>
              <w:spacing w:before="60" w:after="60" w:line="240" w:lineRule="exact"/>
              <w:ind w:left="113"/>
              <w:rPr>
                <w:sz w:val="22"/>
                <w:szCs w:val="22"/>
              </w:rPr>
            </w:pPr>
            <w:r w:rsidRPr="00AB229B">
              <w:rPr>
                <w:sz w:val="22"/>
                <w:szCs w:val="22"/>
              </w:rPr>
              <w:t>First draft issue</w:t>
            </w:r>
            <w:r w:rsidR="00943D83" w:rsidRPr="00AB229B">
              <w:rPr>
                <w:sz w:val="22"/>
                <w:szCs w:val="22"/>
              </w:rPr>
              <w:t>d</w:t>
            </w:r>
            <w:r w:rsidRPr="00AB229B">
              <w:rPr>
                <w:sz w:val="22"/>
                <w:szCs w:val="22"/>
              </w:rPr>
              <w:t xml:space="preserve"> 23 Feb 2016, comment received, needs to be formatted into TBN format and include comments</w:t>
            </w:r>
          </w:p>
        </w:tc>
      </w:tr>
      <w:tr w:rsidR="00AB229B" w:rsidRPr="00985006" w14:paraId="610EEF65" w14:textId="77777777" w:rsidTr="00AB229B">
        <w:tc>
          <w:tcPr>
            <w:tcW w:w="567" w:type="dxa"/>
            <w:tcMar>
              <w:top w:w="0" w:type="dxa"/>
              <w:left w:w="108" w:type="dxa"/>
              <w:bottom w:w="0" w:type="dxa"/>
              <w:right w:w="108" w:type="dxa"/>
            </w:tcMar>
            <w:hideMark/>
          </w:tcPr>
          <w:p w14:paraId="7A6391E2" w14:textId="77777777" w:rsidR="0029133C" w:rsidRPr="00AB229B" w:rsidRDefault="0029133C" w:rsidP="0085359B">
            <w:pPr>
              <w:spacing w:before="60" w:after="60" w:line="240" w:lineRule="exact"/>
              <w:jc w:val="center"/>
              <w:rPr>
                <w:rFonts w:cs="Calibri"/>
                <w:sz w:val="22"/>
                <w:szCs w:val="22"/>
              </w:rPr>
            </w:pPr>
            <w:r w:rsidRPr="00AB229B">
              <w:rPr>
                <w:rFonts w:cs="Calibri"/>
                <w:sz w:val="22"/>
                <w:szCs w:val="22"/>
                <w:lang w:val="es-CL"/>
              </w:rPr>
              <w:t>8</w:t>
            </w:r>
          </w:p>
        </w:tc>
        <w:tc>
          <w:tcPr>
            <w:tcW w:w="2552" w:type="dxa"/>
            <w:tcMar>
              <w:top w:w="0" w:type="dxa"/>
              <w:left w:w="108" w:type="dxa"/>
              <w:bottom w:w="0" w:type="dxa"/>
              <w:right w:w="108" w:type="dxa"/>
            </w:tcMar>
            <w:hideMark/>
          </w:tcPr>
          <w:p w14:paraId="58E07700" w14:textId="77777777" w:rsidR="0029133C" w:rsidRPr="00AB229B" w:rsidRDefault="0029133C" w:rsidP="00943D83">
            <w:pPr>
              <w:spacing w:before="60" w:after="60" w:line="240" w:lineRule="exact"/>
              <w:rPr>
                <w:rFonts w:cs="Calibri"/>
                <w:sz w:val="22"/>
                <w:szCs w:val="22"/>
              </w:rPr>
            </w:pPr>
            <w:r w:rsidRPr="00AB229B">
              <w:rPr>
                <w:sz w:val="22"/>
                <w:szCs w:val="22"/>
              </w:rPr>
              <w:t>Managing Encroachment &amp; Societal Risk for Oil Pipelines</w:t>
            </w:r>
          </w:p>
        </w:tc>
        <w:tc>
          <w:tcPr>
            <w:tcW w:w="1182" w:type="dxa"/>
            <w:tcMar>
              <w:top w:w="0" w:type="dxa"/>
              <w:left w:w="108" w:type="dxa"/>
              <w:bottom w:w="0" w:type="dxa"/>
              <w:right w:w="108" w:type="dxa"/>
            </w:tcMar>
          </w:tcPr>
          <w:p w14:paraId="36420F98" w14:textId="77777777" w:rsidR="0029133C" w:rsidRPr="00AB229B" w:rsidRDefault="000936E7" w:rsidP="0085359B">
            <w:pPr>
              <w:spacing w:before="60" w:after="60" w:line="240" w:lineRule="exact"/>
              <w:jc w:val="center"/>
              <w:rPr>
                <w:rFonts w:cs="Calibri"/>
                <w:sz w:val="22"/>
                <w:szCs w:val="22"/>
              </w:rPr>
            </w:pPr>
            <w:r w:rsidRPr="00AB229B">
              <w:rPr>
                <w:sz w:val="22"/>
                <w:szCs w:val="22"/>
              </w:rPr>
              <w:t>TBN</w:t>
            </w:r>
          </w:p>
        </w:tc>
        <w:tc>
          <w:tcPr>
            <w:tcW w:w="944" w:type="dxa"/>
          </w:tcPr>
          <w:p w14:paraId="1F5D16D5" w14:textId="77777777" w:rsidR="0029133C" w:rsidRPr="00AB229B" w:rsidRDefault="0029133C" w:rsidP="0085359B">
            <w:pPr>
              <w:spacing w:before="60" w:after="60" w:line="240" w:lineRule="exact"/>
              <w:jc w:val="center"/>
              <w:rPr>
                <w:sz w:val="22"/>
                <w:szCs w:val="22"/>
              </w:rPr>
            </w:pPr>
            <w:r w:rsidRPr="00AB229B">
              <w:rPr>
                <w:sz w:val="22"/>
                <w:szCs w:val="22"/>
              </w:rPr>
              <w:t>0%</w:t>
            </w:r>
          </w:p>
        </w:tc>
        <w:tc>
          <w:tcPr>
            <w:tcW w:w="851" w:type="dxa"/>
          </w:tcPr>
          <w:p w14:paraId="5141B056" w14:textId="77777777" w:rsidR="0029133C" w:rsidRPr="00AB229B" w:rsidRDefault="0029133C" w:rsidP="0085359B">
            <w:pPr>
              <w:spacing w:before="60" w:after="60" w:line="240" w:lineRule="exact"/>
              <w:jc w:val="center"/>
              <w:rPr>
                <w:sz w:val="22"/>
                <w:szCs w:val="22"/>
              </w:rPr>
            </w:pPr>
            <w:proofErr w:type="spellStart"/>
            <w:r w:rsidRPr="00AB229B">
              <w:rPr>
                <w:sz w:val="22"/>
                <w:szCs w:val="22"/>
              </w:rPr>
              <w:t>RMcC</w:t>
            </w:r>
            <w:proofErr w:type="spellEnd"/>
          </w:p>
        </w:tc>
        <w:tc>
          <w:tcPr>
            <w:tcW w:w="2935" w:type="dxa"/>
          </w:tcPr>
          <w:p w14:paraId="6016AD9B" w14:textId="77777777" w:rsidR="0029133C" w:rsidRPr="00AB229B" w:rsidRDefault="00122052" w:rsidP="00943D83">
            <w:pPr>
              <w:spacing w:before="60" w:after="60" w:line="240" w:lineRule="exact"/>
              <w:ind w:left="113"/>
              <w:rPr>
                <w:sz w:val="22"/>
                <w:szCs w:val="22"/>
              </w:rPr>
            </w:pPr>
            <w:r w:rsidRPr="00AB229B">
              <w:rPr>
                <w:sz w:val="22"/>
                <w:szCs w:val="22"/>
              </w:rPr>
              <w:t>Plan to complete draft late 2017, may incorporate into (3) above</w:t>
            </w:r>
          </w:p>
        </w:tc>
      </w:tr>
      <w:tr w:rsidR="00AB229B" w:rsidRPr="00985006" w14:paraId="602E9F37" w14:textId="77777777" w:rsidTr="00AB229B">
        <w:tc>
          <w:tcPr>
            <w:tcW w:w="567" w:type="dxa"/>
            <w:tcMar>
              <w:top w:w="0" w:type="dxa"/>
              <w:left w:w="108" w:type="dxa"/>
              <w:bottom w:w="0" w:type="dxa"/>
              <w:right w:w="108" w:type="dxa"/>
            </w:tcMar>
          </w:tcPr>
          <w:p w14:paraId="1502D89A" w14:textId="77777777" w:rsidR="0029133C" w:rsidRPr="00AB229B" w:rsidRDefault="0029133C" w:rsidP="0085359B">
            <w:pPr>
              <w:spacing w:before="60" w:after="60" w:line="240" w:lineRule="exact"/>
              <w:jc w:val="center"/>
              <w:rPr>
                <w:rFonts w:cs="Calibri"/>
                <w:sz w:val="22"/>
                <w:szCs w:val="22"/>
                <w:lang w:val="es-CL"/>
              </w:rPr>
            </w:pPr>
            <w:r w:rsidRPr="00AB229B">
              <w:rPr>
                <w:rFonts w:cs="Calibri"/>
                <w:sz w:val="22"/>
                <w:szCs w:val="22"/>
                <w:lang w:val="es-CL"/>
              </w:rPr>
              <w:t>9</w:t>
            </w:r>
          </w:p>
        </w:tc>
        <w:tc>
          <w:tcPr>
            <w:tcW w:w="2552" w:type="dxa"/>
            <w:tcMar>
              <w:top w:w="0" w:type="dxa"/>
              <w:left w:w="108" w:type="dxa"/>
              <w:bottom w:w="0" w:type="dxa"/>
              <w:right w:w="108" w:type="dxa"/>
            </w:tcMar>
          </w:tcPr>
          <w:p w14:paraId="293C366E" w14:textId="77777777" w:rsidR="0029133C" w:rsidRPr="00AB229B" w:rsidRDefault="0029133C" w:rsidP="0085359B">
            <w:pPr>
              <w:spacing w:before="60" w:after="60" w:line="240" w:lineRule="exact"/>
              <w:rPr>
                <w:rFonts w:cstheme="minorHAnsi"/>
                <w:sz w:val="22"/>
                <w:szCs w:val="22"/>
              </w:rPr>
            </w:pPr>
            <w:r w:rsidRPr="00AB229B">
              <w:rPr>
                <w:rFonts w:cstheme="minorHAnsi"/>
                <w:sz w:val="22"/>
                <w:szCs w:val="22"/>
              </w:rPr>
              <w:t>Managing societal risk in the vicinity of gas pipelines;</w:t>
            </w:r>
          </w:p>
        </w:tc>
        <w:tc>
          <w:tcPr>
            <w:tcW w:w="1182" w:type="dxa"/>
            <w:tcMar>
              <w:top w:w="0" w:type="dxa"/>
              <w:left w:w="108" w:type="dxa"/>
              <w:bottom w:w="0" w:type="dxa"/>
              <w:right w:w="108" w:type="dxa"/>
            </w:tcMar>
          </w:tcPr>
          <w:p w14:paraId="0600F36E" w14:textId="77777777" w:rsidR="0029133C" w:rsidRPr="00AB229B" w:rsidRDefault="0029133C" w:rsidP="0085359B">
            <w:pPr>
              <w:spacing w:before="60" w:after="60" w:line="240" w:lineRule="exact"/>
              <w:jc w:val="center"/>
              <w:rPr>
                <w:rFonts w:cs="Calibri"/>
                <w:sz w:val="22"/>
                <w:szCs w:val="22"/>
              </w:rPr>
            </w:pPr>
            <w:r w:rsidRPr="00AB229B">
              <w:rPr>
                <w:sz w:val="22"/>
                <w:szCs w:val="22"/>
              </w:rPr>
              <w:t>GPG</w:t>
            </w:r>
          </w:p>
        </w:tc>
        <w:tc>
          <w:tcPr>
            <w:tcW w:w="944" w:type="dxa"/>
          </w:tcPr>
          <w:p w14:paraId="6D8771CA" w14:textId="77777777" w:rsidR="0029133C" w:rsidRPr="00AB229B" w:rsidRDefault="0029133C" w:rsidP="00122052">
            <w:pPr>
              <w:spacing w:before="60" w:after="60" w:line="240" w:lineRule="exact"/>
              <w:jc w:val="center"/>
              <w:rPr>
                <w:sz w:val="22"/>
                <w:szCs w:val="22"/>
              </w:rPr>
            </w:pPr>
            <w:r w:rsidRPr="00AB229B">
              <w:rPr>
                <w:sz w:val="22"/>
                <w:szCs w:val="22"/>
              </w:rPr>
              <w:t>9</w:t>
            </w:r>
            <w:r w:rsidR="00122052" w:rsidRPr="00AB229B">
              <w:rPr>
                <w:sz w:val="22"/>
                <w:szCs w:val="22"/>
              </w:rPr>
              <w:t>0</w:t>
            </w:r>
            <w:r w:rsidRPr="00AB229B">
              <w:rPr>
                <w:sz w:val="22"/>
                <w:szCs w:val="22"/>
              </w:rPr>
              <w:t>%</w:t>
            </w:r>
          </w:p>
        </w:tc>
        <w:tc>
          <w:tcPr>
            <w:tcW w:w="851" w:type="dxa"/>
          </w:tcPr>
          <w:p w14:paraId="00254062" w14:textId="77777777" w:rsidR="0029133C" w:rsidRPr="00AB229B" w:rsidRDefault="0029133C" w:rsidP="0085359B">
            <w:pPr>
              <w:spacing w:before="60" w:after="60" w:line="240" w:lineRule="exact"/>
              <w:jc w:val="center"/>
              <w:rPr>
                <w:sz w:val="22"/>
                <w:szCs w:val="22"/>
              </w:rPr>
            </w:pPr>
            <w:r w:rsidRPr="00AB229B">
              <w:rPr>
                <w:sz w:val="22"/>
                <w:szCs w:val="22"/>
              </w:rPr>
              <w:t>NWJ</w:t>
            </w:r>
          </w:p>
        </w:tc>
        <w:tc>
          <w:tcPr>
            <w:tcW w:w="2935" w:type="dxa"/>
          </w:tcPr>
          <w:p w14:paraId="30239597" w14:textId="77777777" w:rsidR="0029133C" w:rsidRPr="00AB229B" w:rsidRDefault="0085359B" w:rsidP="00943D83">
            <w:pPr>
              <w:spacing w:before="60" w:after="60" w:line="240" w:lineRule="exact"/>
              <w:ind w:left="113"/>
              <w:rPr>
                <w:sz w:val="22"/>
                <w:szCs w:val="22"/>
              </w:rPr>
            </w:pPr>
            <w:r w:rsidRPr="00AB229B">
              <w:rPr>
                <w:sz w:val="22"/>
                <w:szCs w:val="22"/>
              </w:rPr>
              <w:t xml:space="preserve">Initial draft by Steve Potts </w:t>
            </w:r>
            <w:r w:rsidR="00122052" w:rsidRPr="00AB229B">
              <w:rPr>
                <w:sz w:val="22"/>
                <w:szCs w:val="22"/>
              </w:rPr>
              <w:t>updated by Neil Jackson issued as “National Grid Approach to Managing Societal Risk around Gas Transmission Pipelines” dated 18 March 2016</w:t>
            </w:r>
          </w:p>
        </w:tc>
      </w:tr>
      <w:tr w:rsidR="00AB229B" w:rsidRPr="00985006" w14:paraId="123FBE0D" w14:textId="77777777" w:rsidTr="00AB229B">
        <w:tc>
          <w:tcPr>
            <w:tcW w:w="567" w:type="dxa"/>
            <w:tcMar>
              <w:top w:w="0" w:type="dxa"/>
              <w:left w:w="108" w:type="dxa"/>
              <w:bottom w:w="0" w:type="dxa"/>
              <w:right w:w="108" w:type="dxa"/>
            </w:tcMar>
          </w:tcPr>
          <w:p w14:paraId="779EF5A4" w14:textId="77777777" w:rsidR="0029133C" w:rsidRPr="00AB229B" w:rsidRDefault="0029133C" w:rsidP="0085359B">
            <w:pPr>
              <w:spacing w:before="60" w:after="60" w:line="240" w:lineRule="exact"/>
              <w:jc w:val="center"/>
              <w:rPr>
                <w:rFonts w:cs="Calibri"/>
                <w:sz w:val="22"/>
                <w:szCs w:val="22"/>
                <w:lang w:val="es-CL"/>
              </w:rPr>
            </w:pPr>
            <w:r w:rsidRPr="00AB229B">
              <w:rPr>
                <w:rFonts w:cs="Calibri"/>
                <w:sz w:val="22"/>
                <w:szCs w:val="22"/>
                <w:lang w:val="es-CL"/>
              </w:rPr>
              <w:t>10</w:t>
            </w:r>
          </w:p>
        </w:tc>
        <w:tc>
          <w:tcPr>
            <w:tcW w:w="2552" w:type="dxa"/>
            <w:tcMar>
              <w:top w:w="0" w:type="dxa"/>
              <w:left w:w="108" w:type="dxa"/>
              <w:bottom w:w="0" w:type="dxa"/>
              <w:right w:w="108" w:type="dxa"/>
            </w:tcMar>
          </w:tcPr>
          <w:p w14:paraId="28428DAA" w14:textId="77777777" w:rsidR="0029133C" w:rsidRPr="00AB229B" w:rsidRDefault="0029133C" w:rsidP="0085359B">
            <w:pPr>
              <w:spacing w:before="60" w:after="60" w:line="240" w:lineRule="exact"/>
              <w:rPr>
                <w:rFonts w:cstheme="minorHAnsi"/>
                <w:sz w:val="22"/>
                <w:szCs w:val="22"/>
              </w:rPr>
            </w:pPr>
            <w:r w:rsidRPr="00AB229B">
              <w:rPr>
                <w:rFonts w:cstheme="minorHAnsi"/>
                <w:sz w:val="22"/>
                <w:szCs w:val="22"/>
              </w:rPr>
              <w:t>Managing societal risk in the vicinity of ethylene pipelines.</w:t>
            </w:r>
          </w:p>
        </w:tc>
        <w:tc>
          <w:tcPr>
            <w:tcW w:w="1182" w:type="dxa"/>
            <w:tcMar>
              <w:top w:w="0" w:type="dxa"/>
              <w:left w:w="108" w:type="dxa"/>
              <w:bottom w:w="0" w:type="dxa"/>
              <w:right w:w="108" w:type="dxa"/>
            </w:tcMar>
          </w:tcPr>
          <w:p w14:paraId="1C417A9E" w14:textId="77777777" w:rsidR="0029133C" w:rsidRPr="00AB229B" w:rsidRDefault="000936E7" w:rsidP="0085359B">
            <w:pPr>
              <w:spacing w:before="60" w:after="60" w:line="240" w:lineRule="exact"/>
              <w:jc w:val="center"/>
              <w:rPr>
                <w:rFonts w:cs="Calibri"/>
                <w:sz w:val="22"/>
                <w:szCs w:val="22"/>
              </w:rPr>
            </w:pPr>
            <w:r w:rsidRPr="00AB229B">
              <w:rPr>
                <w:sz w:val="22"/>
                <w:szCs w:val="22"/>
              </w:rPr>
              <w:t>TBN</w:t>
            </w:r>
          </w:p>
        </w:tc>
        <w:tc>
          <w:tcPr>
            <w:tcW w:w="944" w:type="dxa"/>
          </w:tcPr>
          <w:p w14:paraId="1709BA4B" w14:textId="77777777" w:rsidR="0029133C" w:rsidRPr="00AB229B" w:rsidRDefault="0029133C" w:rsidP="00122052">
            <w:pPr>
              <w:spacing w:before="60" w:after="60" w:line="240" w:lineRule="exact"/>
              <w:jc w:val="center"/>
              <w:rPr>
                <w:sz w:val="22"/>
                <w:szCs w:val="22"/>
              </w:rPr>
            </w:pPr>
            <w:r w:rsidRPr="00AB229B">
              <w:rPr>
                <w:sz w:val="22"/>
                <w:szCs w:val="22"/>
              </w:rPr>
              <w:t>9</w:t>
            </w:r>
            <w:r w:rsidR="00122052" w:rsidRPr="00AB229B">
              <w:rPr>
                <w:sz w:val="22"/>
                <w:szCs w:val="22"/>
              </w:rPr>
              <w:t>0</w:t>
            </w:r>
            <w:r w:rsidRPr="00AB229B">
              <w:rPr>
                <w:sz w:val="22"/>
                <w:szCs w:val="22"/>
              </w:rPr>
              <w:t>%</w:t>
            </w:r>
          </w:p>
        </w:tc>
        <w:tc>
          <w:tcPr>
            <w:tcW w:w="851" w:type="dxa"/>
          </w:tcPr>
          <w:p w14:paraId="6B3CA03E" w14:textId="77777777" w:rsidR="0029133C" w:rsidRPr="00AB229B" w:rsidRDefault="0029133C" w:rsidP="0085359B">
            <w:pPr>
              <w:spacing w:before="60" w:after="60" w:line="240" w:lineRule="exact"/>
              <w:jc w:val="center"/>
              <w:rPr>
                <w:sz w:val="22"/>
                <w:szCs w:val="22"/>
              </w:rPr>
            </w:pPr>
            <w:proofErr w:type="spellStart"/>
            <w:r w:rsidRPr="00AB229B">
              <w:rPr>
                <w:sz w:val="22"/>
                <w:szCs w:val="22"/>
              </w:rPr>
              <w:t>RMcC</w:t>
            </w:r>
            <w:proofErr w:type="spellEnd"/>
          </w:p>
        </w:tc>
        <w:tc>
          <w:tcPr>
            <w:tcW w:w="2935" w:type="dxa"/>
          </w:tcPr>
          <w:p w14:paraId="0FDC51EE" w14:textId="77777777" w:rsidR="0029133C" w:rsidRPr="00AB229B" w:rsidRDefault="0085359B" w:rsidP="00943D83">
            <w:pPr>
              <w:spacing w:before="60" w:after="60" w:line="240" w:lineRule="exact"/>
              <w:ind w:left="113"/>
              <w:rPr>
                <w:sz w:val="22"/>
                <w:szCs w:val="22"/>
              </w:rPr>
            </w:pPr>
            <w:r w:rsidRPr="00AB229B">
              <w:rPr>
                <w:sz w:val="22"/>
                <w:szCs w:val="22"/>
              </w:rPr>
              <w:t xml:space="preserve">First draft </w:t>
            </w:r>
            <w:r w:rsidR="00122052" w:rsidRPr="00AB229B">
              <w:rPr>
                <w:sz w:val="22"/>
                <w:szCs w:val="22"/>
              </w:rPr>
              <w:t xml:space="preserve"> V0.2 </w:t>
            </w:r>
            <w:r w:rsidRPr="00AB229B">
              <w:rPr>
                <w:sz w:val="22"/>
                <w:szCs w:val="22"/>
              </w:rPr>
              <w:t>issued as GPG for comment in Sept 2015 – now need</w:t>
            </w:r>
            <w:r w:rsidR="00AB229B">
              <w:rPr>
                <w:sz w:val="22"/>
                <w:szCs w:val="22"/>
              </w:rPr>
              <w:t>s</w:t>
            </w:r>
            <w:r w:rsidRPr="00AB229B">
              <w:rPr>
                <w:sz w:val="22"/>
                <w:szCs w:val="22"/>
              </w:rPr>
              <w:t xml:space="preserve"> to be updated into TBN format and include comments</w:t>
            </w:r>
          </w:p>
        </w:tc>
      </w:tr>
    </w:tbl>
    <w:p w14:paraId="326AC11B" w14:textId="77777777" w:rsidR="0029133C" w:rsidRDefault="0029133C"/>
    <w:p w14:paraId="447EEE1E" w14:textId="77777777" w:rsidR="007D5B49" w:rsidRDefault="007D5B49">
      <w:r>
        <w:br w:type="page"/>
      </w:r>
    </w:p>
    <w:tbl>
      <w:tblPr>
        <w:tblStyle w:val="TableGrid"/>
        <w:tblW w:w="0" w:type="auto"/>
        <w:tblLook w:val="04A0" w:firstRow="1" w:lastRow="0" w:firstColumn="1" w:lastColumn="0" w:noHBand="0" w:noVBand="1"/>
      </w:tblPr>
      <w:tblGrid>
        <w:gridCol w:w="9242"/>
      </w:tblGrid>
      <w:tr w:rsidR="007D5B49" w14:paraId="12FED92C"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5481CF69" w14:textId="77777777" w:rsidR="007D5B49" w:rsidRPr="007D5B49" w:rsidRDefault="007D5B49">
            <w:pPr>
              <w:rPr>
                <w:b/>
                <w:sz w:val="22"/>
                <w:szCs w:val="22"/>
                <w:lang w:eastAsia="en-US"/>
              </w:rPr>
            </w:pPr>
            <w:r w:rsidRPr="00AB229B">
              <w:rPr>
                <w:b/>
              </w:rPr>
              <w:lastRenderedPageBreak/>
              <w:t>1  Application of Cost benefit analysis to pipelines to demonstrate ALARP</w:t>
            </w:r>
          </w:p>
        </w:tc>
      </w:tr>
      <w:tr w:rsidR="007D5B49" w14:paraId="45AFBF1E"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55DE2149" w14:textId="77777777" w:rsidR="007D5B49" w:rsidRPr="007D5B49" w:rsidRDefault="007D5B49" w:rsidP="007D5B49">
            <w:pPr>
              <w:spacing w:before="60" w:after="60"/>
              <w:rPr>
                <w:sz w:val="22"/>
                <w:szCs w:val="22"/>
                <w:lang w:eastAsia="en-US"/>
              </w:rPr>
            </w:pPr>
            <w:r w:rsidRPr="007D5B49">
              <w:rPr>
                <w:b/>
                <w:sz w:val="22"/>
              </w:rPr>
              <w:t xml:space="preserve">Type  </w:t>
            </w:r>
            <w:r w:rsidRPr="007D5B49">
              <w:rPr>
                <w:sz w:val="22"/>
              </w:rPr>
              <w:t>GOOD PRACTICE GUIDE</w:t>
            </w:r>
          </w:p>
        </w:tc>
      </w:tr>
      <w:tr w:rsidR="007D5B49" w14:paraId="7A698022"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0243B453" w14:textId="77777777" w:rsidR="007D5B49" w:rsidRPr="007D5B49" w:rsidRDefault="007D5B49" w:rsidP="007D5B49">
            <w:pPr>
              <w:spacing w:before="60" w:after="60"/>
              <w:rPr>
                <w:sz w:val="22"/>
                <w:szCs w:val="22"/>
                <w:lang w:eastAsia="en-US"/>
              </w:rPr>
            </w:pPr>
            <w:r w:rsidRPr="007D5B49">
              <w:rPr>
                <w:b/>
                <w:sz w:val="22"/>
              </w:rPr>
              <w:t>Status –</w:t>
            </w:r>
            <w:r w:rsidRPr="007D5B49">
              <w:rPr>
                <w:sz w:val="22"/>
              </w:rPr>
              <w:t xml:space="preserve"> First draft issued for comment August 2017</w:t>
            </w:r>
          </w:p>
        </w:tc>
      </w:tr>
      <w:tr w:rsidR="007D5B49" w14:paraId="1E6FA14C"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3C658A18" w14:textId="77777777" w:rsidR="007D5B49" w:rsidRPr="007D5B49" w:rsidRDefault="007D5B49" w:rsidP="007D5B49">
            <w:pPr>
              <w:spacing w:before="60" w:after="60"/>
              <w:rPr>
                <w:b/>
                <w:sz w:val="22"/>
                <w:szCs w:val="22"/>
                <w:lang w:eastAsia="en-US"/>
              </w:rPr>
            </w:pPr>
            <w:r w:rsidRPr="007D5B49">
              <w:rPr>
                <w:b/>
                <w:sz w:val="22"/>
              </w:rPr>
              <w:t xml:space="preserve">Relevance and Value - </w:t>
            </w:r>
            <w:r w:rsidRPr="007D5B49">
              <w:rPr>
                <w:sz w:val="22"/>
              </w:rPr>
              <w:t>relevant to all pipeline operators.  Cost Benefit Analysis can be applied to (a) determine whether a risk reduction measure is justifiable or (b) to assess what cost is justifiable for reduce risk to meet ALARP requirements or (c) the effect of using different Gross Disproportion Factors (GDF or Values of a Preventing a Fatality (VPF). The Guide includes detailed explanation of terms used such as ALARP, GDF,  VPF, CPF, ICAF and other terms used in HSE’s R2P2, SPCs 9 and 12, and CER’s ALARP Guidance, as well as worked examples showing how common risk reduction factors such as slabbing are assessed, and use of Expectation when assessing societal risk reduction measures.</w:t>
            </w:r>
          </w:p>
        </w:tc>
      </w:tr>
      <w:tr w:rsidR="007D5B49" w14:paraId="78911590"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3B8BADA3" w14:textId="77777777" w:rsidR="007D5B49" w:rsidRPr="007D5B49" w:rsidRDefault="007D5B49" w:rsidP="007D5B49">
            <w:pPr>
              <w:spacing w:before="60" w:after="60"/>
              <w:rPr>
                <w:b/>
                <w:sz w:val="22"/>
                <w:szCs w:val="22"/>
                <w:lang w:eastAsia="en-US"/>
              </w:rPr>
            </w:pPr>
            <w:r w:rsidRPr="007D5B49">
              <w:rPr>
                <w:b/>
                <w:sz w:val="22"/>
              </w:rPr>
              <w:t xml:space="preserve">History / Reason  - </w:t>
            </w:r>
            <w:r w:rsidRPr="007D5B49">
              <w:rPr>
                <w:sz w:val="22"/>
              </w:rPr>
              <w:t>CBA has been extensively in recent years to justify (a) installing additional risk reduction measures (b) not installing addition measures or (c) justifying alternatives to code-based recommendations or requirements.  CBA can be confusing, especially understanding of ALARP requirements.  Therefore a clear UKOPA Guide would be of benefit to all operators.</w:t>
            </w:r>
          </w:p>
        </w:tc>
      </w:tr>
      <w:tr w:rsidR="007D5B49" w14:paraId="06612554"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70F51CDC" w14:textId="77777777" w:rsidR="007D5B49" w:rsidRPr="007D5B49" w:rsidRDefault="007D5B49">
            <w:pPr>
              <w:spacing w:before="60" w:after="60"/>
              <w:rPr>
                <w:sz w:val="22"/>
                <w:szCs w:val="22"/>
                <w:lang w:eastAsia="en-US"/>
              </w:rPr>
            </w:pPr>
            <w:r w:rsidRPr="007D5B49">
              <w:rPr>
                <w:b/>
                <w:sz w:val="22"/>
              </w:rPr>
              <w:t xml:space="preserve">Conclusion – </w:t>
            </w:r>
            <w:r w:rsidRPr="007D5B49">
              <w:rPr>
                <w:sz w:val="22"/>
              </w:rPr>
              <w:t>Guide should be written and published as UKOPA Good Practice Guide. Initial draft document will require extensive input from other contributors.</w:t>
            </w:r>
          </w:p>
        </w:tc>
      </w:tr>
    </w:tbl>
    <w:p w14:paraId="57E1AF4D" w14:textId="77777777" w:rsidR="007D5B49" w:rsidRDefault="007D5B49"/>
    <w:tbl>
      <w:tblPr>
        <w:tblStyle w:val="TableGrid"/>
        <w:tblW w:w="0" w:type="auto"/>
        <w:tblLook w:val="04A0" w:firstRow="1" w:lastRow="0" w:firstColumn="1" w:lastColumn="0" w:noHBand="0" w:noVBand="1"/>
      </w:tblPr>
      <w:tblGrid>
        <w:gridCol w:w="9242"/>
      </w:tblGrid>
      <w:tr w:rsidR="007D5B49" w14:paraId="43B75D5C"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080F0820" w14:textId="77777777" w:rsidR="007D5B49" w:rsidRPr="00AD49B4" w:rsidRDefault="007D5B49" w:rsidP="007D5B49">
            <w:pPr>
              <w:rPr>
                <w:b/>
                <w:sz w:val="22"/>
                <w:szCs w:val="22"/>
                <w:lang w:eastAsia="en-US"/>
              </w:rPr>
            </w:pPr>
            <w:r w:rsidRPr="00AB229B">
              <w:rPr>
                <w:b/>
              </w:rPr>
              <w:t>2 Collecting and Reporting Fault Data Fault (including FR1 Fault Data input form)</w:t>
            </w:r>
          </w:p>
        </w:tc>
      </w:tr>
      <w:tr w:rsidR="007D5B49" w14:paraId="5696EC80"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6C8572ED" w14:textId="77777777" w:rsidR="007D5B49" w:rsidRPr="00AD49B4" w:rsidRDefault="007D5B49" w:rsidP="007D5B49">
            <w:pPr>
              <w:rPr>
                <w:sz w:val="22"/>
                <w:szCs w:val="22"/>
                <w:lang w:eastAsia="en-US"/>
              </w:rPr>
            </w:pPr>
            <w:r w:rsidRPr="00AD49B4">
              <w:rPr>
                <w:b/>
                <w:sz w:val="22"/>
              </w:rPr>
              <w:t xml:space="preserve">Type </w:t>
            </w:r>
            <w:r w:rsidRPr="00AD49B4">
              <w:rPr>
                <w:sz w:val="22"/>
              </w:rPr>
              <w:t xml:space="preserve">TECHNICAL BRIEFING NOTE </w:t>
            </w:r>
          </w:p>
        </w:tc>
      </w:tr>
      <w:tr w:rsidR="007D5B49" w14:paraId="362072D4"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76FBD4D2" w14:textId="77777777" w:rsidR="007D5B49" w:rsidRPr="00AD49B4" w:rsidRDefault="007D5B49" w:rsidP="00AD49B4">
            <w:pPr>
              <w:spacing w:before="60" w:after="60"/>
              <w:rPr>
                <w:sz w:val="22"/>
                <w:szCs w:val="22"/>
                <w:lang w:eastAsia="en-US"/>
              </w:rPr>
            </w:pPr>
            <w:r w:rsidRPr="00AD49B4">
              <w:rPr>
                <w:b/>
                <w:sz w:val="22"/>
              </w:rPr>
              <w:t>Status –</w:t>
            </w:r>
            <w:r w:rsidRPr="00AD49B4">
              <w:rPr>
                <w:sz w:val="22"/>
              </w:rPr>
              <w:t xml:space="preserve"> not yet started. </w:t>
            </w:r>
          </w:p>
        </w:tc>
      </w:tr>
      <w:tr w:rsidR="007D5B49" w14:paraId="313CBD5F"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15E1F048" w14:textId="77777777" w:rsidR="007D5B49" w:rsidRPr="00AD49B4" w:rsidRDefault="007D5B49">
            <w:pPr>
              <w:spacing w:before="60" w:after="60"/>
              <w:rPr>
                <w:sz w:val="22"/>
              </w:rPr>
            </w:pPr>
            <w:r w:rsidRPr="00AD49B4">
              <w:rPr>
                <w:b/>
                <w:sz w:val="22"/>
              </w:rPr>
              <w:t xml:space="preserve">Relevance and Value - </w:t>
            </w:r>
            <w:r w:rsidRPr="00AD49B4">
              <w:rPr>
                <w:sz w:val="22"/>
              </w:rPr>
              <w:t>relevant to all pipeline operators</w:t>
            </w:r>
            <w:r w:rsidR="00AD49B4" w:rsidRPr="00AD49B4">
              <w:rPr>
                <w:sz w:val="22"/>
              </w:rPr>
              <w:t xml:space="preserve"> who contribute data</w:t>
            </w:r>
            <w:r w:rsidRPr="00AD49B4">
              <w:rPr>
                <w:sz w:val="22"/>
              </w:rPr>
              <w:t xml:space="preserve">.  Captures the way the Fault database is currently set up and works. Largely based on the document issued in October 2012 - </w:t>
            </w:r>
            <w:r w:rsidRPr="00AD49B4">
              <w:rPr>
                <w:b/>
                <w:i/>
                <w:sz w:val="22"/>
              </w:rPr>
              <w:t xml:space="preserve">FDMG: Guidance for Operation of the Excel-Based Fault Database  </w:t>
            </w:r>
            <w:r w:rsidRPr="00AD49B4">
              <w:rPr>
                <w:sz w:val="22"/>
              </w:rPr>
              <w:t>but also to include sections on</w:t>
            </w:r>
          </w:p>
          <w:p w14:paraId="17CBB5A7" w14:textId="77777777" w:rsidR="007D5B49" w:rsidRPr="00AD49B4" w:rsidRDefault="007D5B49">
            <w:pPr>
              <w:spacing w:before="60" w:after="60"/>
              <w:ind w:left="720"/>
              <w:rPr>
                <w:sz w:val="22"/>
              </w:rPr>
            </w:pPr>
            <w:r w:rsidRPr="00AD49B4">
              <w:rPr>
                <w:sz w:val="22"/>
              </w:rPr>
              <w:t xml:space="preserve">history of the database, </w:t>
            </w:r>
            <w:r w:rsidRPr="00AD49B4">
              <w:rPr>
                <w:sz w:val="22"/>
              </w:rPr>
              <w:br/>
              <w:t>benefits and reasons for collecting fault and leak data</w:t>
            </w:r>
            <w:r w:rsidRPr="00AD49B4">
              <w:rPr>
                <w:sz w:val="22"/>
              </w:rPr>
              <w:br/>
              <w:t>salient results presented at previous UKOPA meetings</w:t>
            </w:r>
            <w:r w:rsidRPr="00AD49B4">
              <w:rPr>
                <w:sz w:val="22"/>
              </w:rPr>
              <w:br/>
              <w:t>work and calculations required to produce annual report</w:t>
            </w:r>
            <w:r w:rsidRPr="00AD49B4">
              <w:rPr>
                <w:sz w:val="22"/>
              </w:rPr>
              <w:br/>
              <w:t xml:space="preserve">experience in assisting </w:t>
            </w:r>
            <w:proofErr w:type="spellStart"/>
            <w:r w:rsidRPr="00AD49B4">
              <w:rPr>
                <w:sz w:val="22"/>
              </w:rPr>
              <w:t>SwissGas</w:t>
            </w:r>
            <w:proofErr w:type="spellEnd"/>
            <w:r w:rsidRPr="00AD49B4">
              <w:rPr>
                <w:sz w:val="22"/>
              </w:rPr>
              <w:t xml:space="preserve"> to set up the Switzerland database</w:t>
            </w:r>
            <w:r w:rsidRPr="00AD49B4">
              <w:rPr>
                <w:sz w:val="22"/>
              </w:rPr>
              <w:br/>
              <w:t>setting up the Liquid Hydrocarbons Database</w:t>
            </w:r>
            <w:r w:rsidRPr="00AD49B4">
              <w:rPr>
                <w:sz w:val="22"/>
              </w:rPr>
              <w:br/>
              <w:t>collecting data and details of the FR1 and FR1B data capture forms</w:t>
            </w:r>
          </w:p>
          <w:p w14:paraId="7D0483AF" w14:textId="77777777" w:rsidR="007D5B49" w:rsidRPr="00AD49B4" w:rsidRDefault="007D5B49" w:rsidP="00AD49B4">
            <w:pPr>
              <w:spacing w:before="60" w:after="60"/>
              <w:rPr>
                <w:sz w:val="22"/>
                <w:szCs w:val="22"/>
                <w:lang w:eastAsia="en-US"/>
              </w:rPr>
            </w:pPr>
            <w:r w:rsidRPr="00AD49B4">
              <w:rPr>
                <w:sz w:val="22"/>
              </w:rPr>
              <w:t xml:space="preserve">Value is to capture history and background of the UKOPA database for future reference and to provide a single document to capture the topic rather than the dispersed set of documents which currently exist. </w:t>
            </w:r>
          </w:p>
        </w:tc>
      </w:tr>
      <w:tr w:rsidR="007D5B49" w14:paraId="7AF3426F"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0239B577" w14:textId="77777777" w:rsidR="007D5B49" w:rsidRPr="00AD49B4" w:rsidRDefault="007D5B49" w:rsidP="00AD49B4">
            <w:pPr>
              <w:spacing w:before="60" w:after="60"/>
              <w:rPr>
                <w:b/>
                <w:sz w:val="22"/>
                <w:szCs w:val="22"/>
                <w:lang w:eastAsia="en-US"/>
              </w:rPr>
            </w:pPr>
            <w:r w:rsidRPr="00AD49B4">
              <w:rPr>
                <w:b/>
                <w:sz w:val="22"/>
              </w:rPr>
              <w:t xml:space="preserve">History / </w:t>
            </w:r>
            <w:proofErr w:type="gramStart"/>
            <w:r w:rsidRPr="00AD49B4">
              <w:rPr>
                <w:b/>
                <w:sz w:val="22"/>
              </w:rPr>
              <w:t>Reason  -</w:t>
            </w:r>
            <w:proofErr w:type="gramEnd"/>
            <w:r w:rsidRPr="00AD49B4">
              <w:rPr>
                <w:b/>
                <w:sz w:val="22"/>
              </w:rPr>
              <w:t xml:space="preserve"> </w:t>
            </w:r>
            <w:r w:rsidRPr="00AD49B4">
              <w:rPr>
                <w:sz w:val="22"/>
              </w:rPr>
              <w:t xml:space="preserve">extensive work has been carried out for UKOPA over the past 17 years which is contained in </w:t>
            </w:r>
            <w:r w:rsidR="00AD49B4" w:rsidRPr="00AD49B4">
              <w:rPr>
                <w:sz w:val="22"/>
              </w:rPr>
              <w:t>several</w:t>
            </w:r>
            <w:r w:rsidRPr="00AD49B4">
              <w:rPr>
                <w:sz w:val="22"/>
              </w:rPr>
              <w:t xml:space="preserve"> documents. The databases are likely to continue for the foreseeable future so a single document capturing database operation, information, and history, for the benefit of future database managers and pipeline operators is important.</w:t>
            </w:r>
          </w:p>
        </w:tc>
      </w:tr>
      <w:tr w:rsidR="007D5B49" w14:paraId="3AA10499" w14:textId="77777777" w:rsidTr="007D5B49">
        <w:tc>
          <w:tcPr>
            <w:tcW w:w="9242" w:type="dxa"/>
            <w:tcBorders>
              <w:top w:val="single" w:sz="4" w:space="0" w:color="auto"/>
              <w:left w:val="single" w:sz="4" w:space="0" w:color="auto"/>
              <w:bottom w:val="single" w:sz="4" w:space="0" w:color="auto"/>
              <w:right w:val="single" w:sz="4" w:space="0" w:color="auto"/>
            </w:tcBorders>
            <w:hideMark/>
          </w:tcPr>
          <w:p w14:paraId="6148A2F9" w14:textId="77777777" w:rsidR="007D5B49" w:rsidRPr="00AD49B4" w:rsidRDefault="007D5B49" w:rsidP="00AD49B4">
            <w:pPr>
              <w:spacing w:before="60" w:after="60"/>
              <w:rPr>
                <w:sz w:val="22"/>
                <w:szCs w:val="22"/>
                <w:lang w:eastAsia="en-US"/>
              </w:rPr>
            </w:pPr>
            <w:r w:rsidRPr="00AD49B4">
              <w:rPr>
                <w:b/>
                <w:sz w:val="22"/>
              </w:rPr>
              <w:t xml:space="preserve">Conclusion – </w:t>
            </w:r>
            <w:r w:rsidRPr="00AD49B4">
              <w:rPr>
                <w:sz w:val="22"/>
              </w:rPr>
              <w:t>maintain as TBN and as a working document for the F</w:t>
            </w:r>
            <w:r w:rsidR="00AD49B4" w:rsidRPr="00AD49B4">
              <w:rPr>
                <w:sz w:val="22"/>
              </w:rPr>
              <w:t>ARWG</w:t>
            </w:r>
            <w:r w:rsidRPr="00AD49B4">
              <w:rPr>
                <w:sz w:val="22"/>
              </w:rPr>
              <w:t>. Initial draft document will require input from other contributors.</w:t>
            </w:r>
          </w:p>
        </w:tc>
      </w:tr>
    </w:tbl>
    <w:p w14:paraId="4E3A28C3" w14:textId="77777777" w:rsidR="007D5B49" w:rsidRDefault="007D5B49"/>
    <w:tbl>
      <w:tblPr>
        <w:tblStyle w:val="TableGrid"/>
        <w:tblW w:w="0" w:type="auto"/>
        <w:tblLook w:val="04A0" w:firstRow="1" w:lastRow="0" w:firstColumn="1" w:lastColumn="0" w:noHBand="0" w:noVBand="1"/>
      </w:tblPr>
      <w:tblGrid>
        <w:gridCol w:w="9242"/>
      </w:tblGrid>
      <w:tr w:rsidR="00AD49B4" w14:paraId="6E82F1E5"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283AB01C" w14:textId="77777777" w:rsidR="00AD49B4" w:rsidRPr="00AD49B4" w:rsidRDefault="00AD49B4">
            <w:pPr>
              <w:rPr>
                <w:b/>
                <w:sz w:val="22"/>
                <w:szCs w:val="22"/>
                <w:lang w:eastAsia="en-US"/>
              </w:rPr>
            </w:pPr>
            <w:r w:rsidRPr="00AB229B">
              <w:rPr>
                <w:b/>
                <w:szCs w:val="22"/>
              </w:rPr>
              <w:t>3 Gasoline pipelines methodology for calculating land use planning zones</w:t>
            </w:r>
          </w:p>
        </w:tc>
      </w:tr>
      <w:tr w:rsidR="00AD49B4" w14:paraId="3CD5CB11"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3086C239" w14:textId="77777777" w:rsidR="00AD49B4" w:rsidRPr="00AD49B4" w:rsidRDefault="00AD49B4">
            <w:pPr>
              <w:rPr>
                <w:sz w:val="22"/>
                <w:szCs w:val="22"/>
                <w:lang w:eastAsia="en-US"/>
              </w:rPr>
            </w:pPr>
            <w:r w:rsidRPr="00AD49B4">
              <w:rPr>
                <w:b/>
                <w:sz w:val="22"/>
              </w:rPr>
              <w:t xml:space="preserve">Type </w:t>
            </w:r>
            <w:r w:rsidRPr="00AD49B4">
              <w:rPr>
                <w:sz w:val="22"/>
              </w:rPr>
              <w:t>TECHNICAL BRIEFING NOTE</w:t>
            </w:r>
          </w:p>
        </w:tc>
      </w:tr>
      <w:tr w:rsidR="00AD49B4" w14:paraId="45FE1939"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70DC1427" w14:textId="77777777" w:rsidR="00AD49B4" w:rsidRPr="00AD49B4" w:rsidRDefault="00AD49B4" w:rsidP="00AD49B4">
            <w:pPr>
              <w:spacing w:before="60" w:after="60"/>
              <w:rPr>
                <w:sz w:val="22"/>
                <w:szCs w:val="22"/>
                <w:lang w:eastAsia="en-US"/>
              </w:rPr>
            </w:pPr>
            <w:r w:rsidRPr="00AD49B4">
              <w:rPr>
                <w:b/>
                <w:sz w:val="22"/>
                <w:szCs w:val="22"/>
              </w:rPr>
              <w:t>Status –</w:t>
            </w:r>
            <w:r w:rsidRPr="00AD49B4">
              <w:rPr>
                <w:sz w:val="22"/>
                <w:szCs w:val="22"/>
              </w:rPr>
              <w:t xml:space="preserve"> </w:t>
            </w:r>
            <w:r>
              <w:rPr>
                <w:sz w:val="22"/>
                <w:szCs w:val="22"/>
              </w:rPr>
              <w:t>about 50% complete, estimated time to complete 1 day</w:t>
            </w:r>
          </w:p>
        </w:tc>
      </w:tr>
      <w:tr w:rsidR="00AD49B4" w14:paraId="53A176ED"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401A7FB1" w14:textId="77777777" w:rsidR="00AD49B4" w:rsidRPr="00AD49B4" w:rsidRDefault="00AD49B4" w:rsidP="00AD49B4">
            <w:pPr>
              <w:spacing w:before="60" w:after="60"/>
              <w:rPr>
                <w:sz w:val="22"/>
                <w:szCs w:val="22"/>
                <w:lang w:eastAsia="en-US"/>
              </w:rPr>
            </w:pPr>
            <w:r w:rsidRPr="00AD49B4">
              <w:rPr>
                <w:b/>
                <w:sz w:val="22"/>
                <w:szCs w:val="22"/>
              </w:rPr>
              <w:t xml:space="preserve">Relevance and Value - </w:t>
            </w:r>
            <w:r w:rsidRPr="00AD49B4">
              <w:rPr>
                <w:sz w:val="22"/>
                <w:szCs w:val="22"/>
              </w:rPr>
              <w:t xml:space="preserve">relevant to oil pipeline operators only.  Already preserved as a document in the Gasoline Archive which was created in </w:t>
            </w:r>
            <w:proofErr w:type="gramStart"/>
            <w:r w:rsidRPr="00AD49B4">
              <w:rPr>
                <w:sz w:val="22"/>
                <w:szCs w:val="22"/>
              </w:rPr>
              <w:t>2012  as</w:t>
            </w:r>
            <w:proofErr w:type="gramEnd"/>
            <w:r w:rsidRPr="00AD49B4">
              <w:rPr>
                <w:sz w:val="22"/>
                <w:szCs w:val="22"/>
              </w:rPr>
              <w:t xml:space="preserve"> a folder containing key documents after changes to PSR 96 to include gasoline as a “dangerous substance” were cancelled/postponed. This TBN will be largely based on the document issued in 2007 as RAWG/07/</w:t>
            </w:r>
            <w:proofErr w:type="gramStart"/>
            <w:r w:rsidRPr="00AD49B4">
              <w:rPr>
                <w:sz w:val="22"/>
                <w:szCs w:val="22"/>
              </w:rPr>
              <w:t>003  Gasoline</w:t>
            </w:r>
            <w:proofErr w:type="gramEnd"/>
            <w:r w:rsidRPr="00AD49B4">
              <w:rPr>
                <w:sz w:val="22"/>
                <w:szCs w:val="22"/>
              </w:rPr>
              <w:t xml:space="preserve"> Pipelines – </w:t>
            </w:r>
            <w:r w:rsidRPr="00AD49B4">
              <w:rPr>
                <w:b/>
                <w:i/>
                <w:sz w:val="22"/>
                <w:szCs w:val="22"/>
              </w:rPr>
              <w:t xml:space="preserve">“Possible </w:t>
            </w:r>
            <w:r w:rsidRPr="00AD49B4">
              <w:rPr>
                <w:b/>
                <w:i/>
                <w:sz w:val="22"/>
                <w:szCs w:val="22"/>
              </w:rPr>
              <w:lastRenderedPageBreak/>
              <w:t>inclusion as MAHPs in PSR 1996  - Proposed Methodology to Determine Land Use Planning Zones”</w:t>
            </w:r>
            <w:r w:rsidRPr="00AD49B4">
              <w:rPr>
                <w:sz w:val="22"/>
                <w:szCs w:val="22"/>
              </w:rPr>
              <w:t>, with addition information on HSE’s proposed land use planning zones, work done by HSE to review explosion risk, and status of the risk assessment methodology in 201</w:t>
            </w:r>
            <w:r>
              <w:rPr>
                <w:sz w:val="22"/>
                <w:szCs w:val="22"/>
              </w:rPr>
              <w:t>7</w:t>
            </w:r>
            <w:r w:rsidRPr="00AD49B4">
              <w:rPr>
                <w:sz w:val="22"/>
                <w:szCs w:val="22"/>
              </w:rPr>
              <w:t>.</w:t>
            </w:r>
          </w:p>
        </w:tc>
      </w:tr>
      <w:tr w:rsidR="00AD49B4" w14:paraId="53DDDA67"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745C42D4" w14:textId="77777777" w:rsidR="00AD49B4" w:rsidRPr="00AD49B4" w:rsidRDefault="00AD49B4">
            <w:pPr>
              <w:spacing w:before="60" w:after="60"/>
              <w:rPr>
                <w:sz w:val="22"/>
                <w:szCs w:val="22"/>
              </w:rPr>
            </w:pPr>
            <w:r w:rsidRPr="00AD49B4">
              <w:rPr>
                <w:b/>
                <w:sz w:val="22"/>
                <w:szCs w:val="22"/>
              </w:rPr>
              <w:lastRenderedPageBreak/>
              <w:t xml:space="preserve">History / Reason  - </w:t>
            </w:r>
            <w:r w:rsidRPr="00AD49B4">
              <w:rPr>
                <w:sz w:val="22"/>
                <w:szCs w:val="22"/>
              </w:rPr>
              <w:t>extensive work was carried out by UKOPA to prepare for gasoline to be included in PSR 96 which would result in LUP zones being applied to gasoline pipelines.</w:t>
            </w:r>
          </w:p>
          <w:p w14:paraId="127CABF7" w14:textId="77777777" w:rsidR="00AD49B4" w:rsidRPr="00AD49B4" w:rsidRDefault="00AD49B4">
            <w:pPr>
              <w:spacing w:before="60" w:after="60"/>
              <w:rPr>
                <w:b/>
                <w:sz w:val="22"/>
                <w:szCs w:val="22"/>
                <w:lang w:eastAsia="en-US"/>
              </w:rPr>
            </w:pPr>
            <w:r w:rsidRPr="00AD49B4">
              <w:rPr>
                <w:sz w:val="22"/>
                <w:szCs w:val="22"/>
              </w:rPr>
              <w:t>Value to UKOPA is for oil pipeline operators only.  All the existing information in already included in documents contained in the 30+ documents contained in the gasoline archive, but capturing this information in a TBN would record the history of how</w:t>
            </w:r>
            <w:r>
              <w:rPr>
                <w:sz w:val="22"/>
                <w:szCs w:val="22"/>
              </w:rPr>
              <w:t xml:space="preserve"> and why</w:t>
            </w:r>
            <w:r w:rsidRPr="00AD49B4">
              <w:rPr>
                <w:sz w:val="22"/>
                <w:szCs w:val="22"/>
              </w:rPr>
              <w:t xml:space="preserve"> the methodology was developed.</w:t>
            </w:r>
          </w:p>
        </w:tc>
      </w:tr>
      <w:tr w:rsidR="00AD49B4" w14:paraId="7019075D"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011079B0" w14:textId="77777777" w:rsidR="00AD49B4" w:rsidRPr="00AD49B4" w:rsidRDefault="00AD49B4">
            <w:pPr>
              <w:spacing w:before="60" w:after="60"/>
              <w:rPr>
                <w:sz w:val="22"/>
                <w:szCs w:val="22"/>
                <w:lang w:eastAsia="en-US"/>
              </w:rPr>
            </w:pPr>
            <w:r w:rsidRPr="00AD49B4">
              <w:rPr>
                <w:b/>
                <w:sz w:val="22"/>
                <w:szCs w:val="22"/>
              </w:rPr>
              <w:t xml:space="preserve">Conclusion – </w:t>
            </w:r>
            <w:r w:rsidRPr="00AD49B4">
              <w:rPr>
                <w:sz w:val="22"/>
                <w:szCs w:val="22"/>
              </w:rPr>
              <w:t>maintain as TBN only – if oil pipeline operators think this would be of value.</w:t>
            </w:r>
          </w:p>
        </w:tc>
      </w:tr>
    </w:tbl>
    <w:p w14:paraId="0B3C5DFF" w14:textId="77777777" w:rsidR="00AD49B4" w:rsidRDefault="00AD49B4"/>
    <w:tbl>
      <w:tblPr>
        <w:tblStyle w:val="TableGrid"/>
        <w:tblW w:w="0" w:type="auto"/>
        <w:tblLook w:val="04A0" w:firstRow="1" w:lastRow="0" w:firstColumn="1" w:lastColumn="0" w:noHBand="0" w:noVBand="1"/>
      </w:tblPr>
      <w:tblGrid>
        <w:gridCol w:w="9242"/>
      </w:tblGrid>
      <w:tr w:rsidR="00AD49B4" w14:paraId="50297EEA"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25EEAB2C" w14:textId="77777777" w:rsidR="00AD49B4" w:rsidRPr="00AD49B4" w:rsidRDefault="00AD49B4" w:rsidP="00AD49B4">
            <w:pPr>
              <w:rPr>
                <w:b/>
                <w:sz w:val="22"/>
                <w:szCs w:val="22"/>
                <w:lang w:eastAsia="en-US"/>
              </w:rPr>
            </w:pPr>
            <w:r w:rsidRPr="00AB229B">
              <w:rPr>
                <w:b/>
                <w:szCs w:val="22"/>
              </w:rPr>
              <w:t>4 History of Land Use Planning</w:t>
            </w:r>
          </w:p>
        </w:tc>
      </w:tr>
      <w:tr w:rsidR="00AD49B4" w14:paraId="2F132DAD"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62F6BF3B" w14:textId="77777777" w:rsidR="00AD49B4" w:rsidRPr="00AD49B4" w:rsidRDefault="00AD49B4" w:rsidP="00AD49B4">
            <w:pPr>
              <w:rPr>
                <w:sz w:val="22"/>
                <w:szCs w:val="22"/>
                <w:lang w:eastAsia="en-US"/>
              </w:rPr>
            </w:pPr>
            <w:r>
              <w:rPr>
                <w:b/>
                <w:sz w:val="22"/>
                <w:szCs w:val="22"/>
              </w:rPr>
              <w:t>Type</w:t>
            </w:r>
            <w:r w:rsidRPr="00AD49B4">
              <w:rPr>
                <w:b/>
                <w:sz w:val="22"/>
                <w:szCs w:val="22"/>
              </w:rPr>
              <w:t xml:space="preserve">  </w:t>
            </w:r>
            <w:r w:rsidRPr="00AD49B4">
              <w:rPr>
                <w:sz w:val="22"/>
                <w:szCs w:val="22"/>
              </w:rPr>
              <w:t>TECHNICAL BRIEFING NOT</w:t>
            </w:r>
            <w:r>
              <w:rPr>
                <w:sz w:val="22"/>
                <w:szCs w:val="22"/>
              </w:rPr>
              <w:t>E</w:t>
            </w:r>
          </w:p>
        </w:tc>
      </w:tr>
      <w:tr w:rsidR="00AD49B4" w14:paraId="673F5EC4"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0DCC0743" w14:textId="77777777" w:rsidR="00AD49B4" w:rsidRPr="00AD49B4" w:rsidRDefault="00AD49B4">
            <w:pPr>
              <w:spacing w:before="60" w:after="60"/>
              <w:rPr>
                <w:sz w:val="22"/>
                <w:szCs w:val="22"/>
                <w:lang w:eastAsia="en-US"/>
              </w:rPr>
            </w:pPr>
            <w:r w:rsidRPr="00AD49B4">
              <w:rPr>
                <w:b/>
                <w:sz w:val="22"/>
                <w:szCs w:val="22"/>
              </w:rPr>
              <w:t>Status –</w:t>
            </w:r>
            <w:r w:rsidRPr="00AD49B4">
              <w:rPr>
                <w:sz w:val="22"/>
                <w:szCs w:val="22"/>
              </w:rPr>
              <w:t xml:space="preserve"> not yet started. Estimated time to generate draft TBN – 5 days</w:t>
            </w:r>
          </w:p>
        </w:tc>
      </w:tr>
      <w:tr w:rsidR="00AD49B4" w14:paraId="240A9006"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052385B6" w14:textId="77777777" w:rsidR="00AD49B4" w:rsidRPr="00AD49B4" w:rsidRDefault="00AD49B4">
            <w:pPr>
              <w:spacing w:before="60" w:after="60"/>
              <w:rPr>
                <w:b/>
                <w:i/>
                <w:sz w:val="22"/>
                <w:szCs w:val="22"/>
              </w:rPr>
            </w:pPr>
            <w:r w:rsidRPr="00AD49B4">
              <w:rPr>
                <w:b/>
                <w:sz w:val="22"/>
                <w:szCs w:val="22"/>
              </w:rPr>
              <w:t xml:space="preserve">Relevance and Value - </w:t>
            </w:r>
            <w:r w:rsidRPr="00AD49B4">
              <w:rPr>
                <w:sz w:val="22"/>
                <w:szCs w:val="22"/>
              </w:rPr>
              <w:t xml:space="preserve">relevant to all pipeline operators.  Largely based on a document issued in February 2005 </w:t>
            </w:r>
            <w:r w:rsidRPr="00AD49B4">
              <w:rPr>
                <w:b/>
                <w:i/>
                <w:sz w:val="22"/>
                <w:szCs w:val="22"/>
              </w:rPr>
              <w:t>“History of Land Use Planning or “how we got to where we are”’</w:t>
            </w:r>
          </w:p>
          <w:p w14:paraId="3ECD37F0" w14:textId="77777777" w:rsidR="00AD49B4" w:rsidRPr="00AD49B4" w:rsidRDefault="00AD49B4">
            <w:pPr>
              <w:spacing w:before="60" w:after="60"/>
              <w:rPr>
                <w:sz w:val="22"/>
                <w:szCs w:val="22"/>
              </w:rPr>
            </w:pPr>
            <w:r w:rsidRPr="00AD49B4">
              <w:rPr>
                <w:sz w:val="22"/>
                <w:szCs w:val="22"/>
              </w:rPr>
              <w:t xml:space="preserve">This note was produced following the January 2005 UKOPA meeting at </w:t>
            </w:r>
            <w:proofErr w:type="spellStart"/>
            <w:r w:rsidRPr="00AD49B4">
              <w:rPr>
                <w:sz w:val="22"/>
                <w:szCs w:val="22"/>
              </w:rPr>
              <w:t>Eakring</w:t>
            </w:r>
            <w:proofErr w:type="spellEnd"/>
            <w:r w:rsidRPr="00AD49B4">
              <w:rPr>
                <w:sz w:val="22"/>
                <w:szCs w:val="22"/>
              </w:rPr>
              <w:t>, when the question was raised as to how we have got to where we are.  It attempted to answer this question, and explain the various terms and jargon used in the ongoing discussion of Land Use Planning.</w:t>
            </w:r>
          </w:p>
          <w:p w14:paraId="61E7BB17" w14:textId="77777777" w:rsidR="00AD49B4" w:rsidRPr="00AD49B4" w:rsidRDefault="00AD49B4">
            <w:pPr>
              <w:spacing w:before="60" w:after="60"/>
              <w:rPr>
                <w:sz w:val="22"/>
                <w:szCs w:val="22"/>
              </w:rPr>
            </w:pPr>
            <w:r w:rsidRPr="00AD49B4">
              <w:rPr>
                <w:sz w:val="22"/>
                <w:szCs w:val="22"/>
              </w:rPr>
              <w:t xml:space="preserve">However extensive progress has since been made on the issues raised in this document, so an update could be valuable as recording the history of UKOPA’s ongoing dialogue with HSE on the calculations associated with pipeline failure rates and land use planning zones, especially </w:t>
            </w:r>
          </w:p>
          <w:p w14:paraId="12015772" w14:textId="77777777" w:rsidR="00AD49B4" w:rsidRDefault="00AD49B4" w:rsidP="00AD49B4">
            <w:pPr>
              <w:spacing w:before="60" w:after="60"/>
              <w:ind w:left="720"/>
              <w:rPr>
                <w:sz w:val="22"/>
                <w:szCs w:val="22"/>
              </w:rPr>
            </w:pPr>
            <w:r w:rsidRPr="00AD49B4">
              <w:rPr>
                <w:sz w:val="22"/>
                <w:szCs w:val="22"/>
              </w:rPr>
              <w:t>progress with predictive modelling for 3</w:t>
            </w:r>
            <w:r w:rsidRPr="00AD49B4">
              <w:rPr>
                <w:sz w:val="22"/>
                <w:szCs w:val="22"/>
                <w:vertAlign w:val="superscript"/>
              </w:rPr>
              <w:t>rd</w:t>
            </w:r>
            <w:r w:rsidRPr="00AD49B4">
              <w:rPr>
                <w:sz w:val="22"/>
                <w:szCs w:val="22"/>
              </w:rPr>
              <w:t xml:space="preserve"> party failure rates,</w:t>
            </w:r>
            <w:r w:rsidRPr="00AD49B4">
              <w:rPr>
                <w:sz w:val="22"/>
                <w:szCs w:val="22"/>
              </w:rPr>
              <w:br/>
              <w:t>development of the risk assessment codes IGEM/TD/2 and PD8010 Part 3</w:t>
            </w:r>
            <w:r w:rsidRPr="00AD49B4">
              <w:rPr>
                <w:sz w:val="22"/>
                <w:szCs w:val="22"/>
              </w:rPr>
              <w:br/>
              <w:t>influencing HSE’s mechanical, corrosion, and ground movement pipeline failure rates</w:t>
            </w:r>
            <w:r w:rsidRPr="00AD49B4">
              <w:rPr>
                <w:sz w:val="22"/>
                <w:szCs w:val="22"/>
              </w:rPr>
              <w:br/>
              <w:t>issues raised with HSE on conseque</w:t>
            </w:r>
            <w:r>
              <w:rPr>
                <w:sz w:val="22"/>
                <w:szCs w:val="22"/>
              </w:rPr>
              <w:t>nce modelling, event trees etc.</w:t>
            </w:r>
          </w:p>
          <w:p w14:paraId="58846E14" w14:textId="77777777" w:rsidR="00AD49B4" w:rsidRPr="00AD49B4" w:rsidRDefault="00AD49B4" w:rsidP="00AD49B4">
            <w:pPr>
              <w:spacing w:before="60" w:after="60"/>
              <w:ind w:left="720"/>
              <w:rPr>
                <w:sz w:val="22"/>
                <w:szCs w:val="22"/>
              </w:rPr>
            </w:pPr>
            <w:r>
              <w:rPr>
                <w:sz w:val="22"/>
                <w:szCs w:val="22"/>
              </w:rPr>
              <w:t>HSL review of failure rates based on UKOPA data</w:t>
            </w:r>
            <w:r>
              <w:rPr>
                <w:sz w:val="22"/>
                <w:szCs w:val="22"/>
              </w:rPr>
              <w:br/>
            </w:r>
            <w:r w:rsidRPr="00AD49B4">
              <w:rPr>
                <w:sz w:val="22"/>
                <w:szCs w:val="22"/>
              </w:rPr>
              <w:t xml:space="preserve">re-assessment of land use planning zones, especially ethylene LUP zones  </w:t>
            </w:r>
          </w:p>
          <w:p w14:paraId="6B7FE1E9" w14:textId="77777777" w:rsidR="00AD49B4" w:rsidRPr="00AD49B4" w:rsidRDefault="00AD49B4">
            <w:pPr>
              <w:spacing w:before="60" w:after="60"/>
              <w:rPr>
                <w:sz w:val="22"/>
                <w:szCs w:val="22"/>
                <w:lang w:eastAsia="en-US"/>
              </w:rPr>
            </w:pPr>
            <w:r w:rsidRPr="00AD49B4">
              <w:rPr>
                <w:sz w:val="22"/>
                <w:szCs w:val="22"/>
              </w:rPr>
              <w:t>Value is as background history and information for UKOPA’s ongoing dialogue with HSE on risk assessment issues concerned with land use planning.</w:t>
            </w:r>
          </w:p>
        </w:tc>
      </w:tr>
      <w:tr w:rsidR="00AD49B4" w14:paraId="7C8FE1E4"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4443EAB4" w14:textId="77777777" w:rsidR="00AD49B4" w:rsidRPr="00AD49B4" w:rsidRDefault="00AD49B4" w:rsidP="00AD49B4">
            <w:pPr>
              <w:spacing w:before="60" w:after="60"/>
              <w:rPr>
                <w:b/>
                <w:sz w:val="22"/>
                <w:szCs w:val="22"/>
                <w:lang w:eastAsia="en-US"/>
              </w:rPr>
            </w:pPr>
            <w:r w:rsidRPr="00AD49B4">
              <w:rPr>
                <w:b/>
                <w:sz w:val="22"/>
                <w:szCs w:val="22"/>
              </w:rPr>
              <w:t xml:space="preserve">History / </w:t>
            </w:r>
            <w:proofErr w:type="gramStart"/>
            <w:r w:rsidRPr="00AD49B4">
              <w:rPr>
                <w:b/>
                <w:sz w:val="22"/>
                <w:szCs w:val="22"/>
              </w:rPr>
              <w:t>Reason  -</w:t>
            </w:r>
            <w:proofErr w:type="gramEnd"/>
            <w:r w:rsidRPr="00AD49B4">
              <w:rPr>
                <w:b/>
                <w:sz w:val="22"/>
                <w:szCs w:val="22"/>
              </w:rPr>
              <w:t xml:space="preserve"> </w:t>
            </w:r>
            <w:r w:rsidRPr="00AD49B4">
              <w:rPr>
                <w:sz w:val="22"/>
                <w:szCs w:val="22"/>
              </w:rPr>
              <w:t>extensive work has carried out by UKOPA to influence HSE’s approach to setting LUP zones.</w:t>
            </w:r>
            <w:r>
              <w:rPr>
                <w:sz w:val="22"/>
                <w:szCs w:val="22"/>
              </w:rPr>
              <w:t xml:space="preserve"> </w:t>
            </w:r>
            <w:r w:rsidRPr="00AD49B4">
              <w:rPr>
                <w:sz w:val="22"/>
                <w:szCs w:val="22"/>
              </w:rPr>
              <w:t>Capturing what has occurred is important for UKOPA’s continuing role in this area, as part of the handover to those involved with future discussions.</w:t>
            </w:r>
          </w:p>
        </w:tc>
      </w:tr>
      <w:tr w:rsidR="00AD49B4" w14:paraId="5DB06ECB"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36D9D440" w14:textId="77777777" w:rsidR="00AD49B4" w:rsidRPr="00AD49B4" w:rsidRDefault="00AD49B4">
            <w:pPr>
              <w:spacing w:before="60" w:after="60"/>
              <w:rPr>
                <w:sz w:val="22"/>
                <w:szCs w:val="22"/>
                <w:lang w:eastAsia="en-US"/>
              </w:rPr>
            </w:pPr>
            <w:r w:rsidRPr="00AD49B4">
              <w:rPr>
                <w:b/>
                <w:sz w:val="22"/>
                <w:szCs w:val="22"/>
              </w:rPr>
              <w:t xml:space="preserve">Conclusion – </w:t>
            </w:r>
            <w:r w:rsidRPr="00AD49B4">
              <w:rPr>
                <w:sz w:val="22"/>
                <w:szCs w:val="22"/>
              </w:rPr>
              <w:t>maintain as TBN only. Initial draft document will require input from other contributors.</w:t>
            </w:r>
          </w:p>
        </w:tc>
      </w:tr>
    </w:tbl>
    <w:p w14:paraId="54974FE4" w14:textId="77777777" w:rsidR="00AD49B4" w:rsidRDefault="00AD49B4"/>
    <w:tbl>
      <w:tblPr>
        <w:tblStyle w:val="TableGrid"/>
        <w:tblW w:w="0" w:type="auto"/>
        <w:tblLook w:val="04A0" w:firstRow="1" w:lastRow="0" w:firstColumn="1" w:lastColumn="0" w:noHBand="0" w:noVBand="1"/>
      </w:tblPr>
      <w:tblGrid>
        <w:gridCol w:w="9242"/>
      </w:tblGrid>
      <w:tr w:rsidR="00AD49B4" w14:paraId="07042C05"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4BE0B81E" w14:textId="77777777" w:rsidR="00AD49B4" w:rsidRPr="00AD49B4" w:rsidRDefault="00287DB0">
            <w:pPr>
              <w:rPr>
                <w:b/>
                <w:sz w:val="22"/>
                <w:szCs w:val="22"/>
                <w:lang w:eastAsia="en-US"/>
              </w:rPr>
            </w:pPr>
            <w:r w:rsidRPr="00AB229B">
              <w:rPr>
                <w:b/>
                <w:szCs w:val="22"/>
              </w:rPr>
              <w:t>5</w:t>
            </w:r>
            <w:r w:rsidR="00AD49B4" w:rsidRPr="00AB229B">
              <w:rPr>
                <w:b/>
                <w:szCs w:val="22"/>
              </w:rPr>
              <w:t xml:space="preserve"> Capturing and monitoring population densities in proximity to pipelines</w:t>
            </w:r>
          </w:p>
        </w:tc>
      </w:tr>
      <w:tr w:rsidR="00AD49B4" w14:paraId="5AC94B28"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46197C7B" w14:textId="77777777" w:rsidR="00AD49B4" w:rsidRPr="00AD49B4" w:rsidRDefault="00287DB0" w:rsidP="00287DB0">
            <w:pPr>
              <w:rPr>
                <w:sz w:val="22"/>
                <w:szCs w:val="22"/>
                <w:lang w:eastAsia="en-US"/>
              </w:rPr>
            </w:pPr>
            <w:r>
              <w:rPr>
                <w:b/>
                <w:sz w:val="22"/>
                <w:szCs w:val="22"/>
              </w:rPr>
              <w:t>Type</w:t>
            </w:r>
            <w:r w:rsidR="00AD49B4" w:rsidRPr="00AD49B4">
              <w:rPr>
                <w:sz w:val="22"/>
                <w:szCs w:val="22"/>
              </w:rPr>
              <w:t xml:space="preserve"> GOOD PRACTICE GUIDE </w:t>
            </w:r>
          </w:p>
        </w:tc>
      </w:tr>
      <w:tr w:rsidR="00AD49B4" w14:paraId="16E723C1"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77551A84" w14:textId="77777777" w:rsidR="00AD49B4" w:rsidRPr="00AD49B4" w:rsidRDefault="00AD49B4" w:rsidP="00287DB0">
            <w:pPr>
              <w:spacing w:before="60" w:after="60"/>
              <w:rPr>
                <w:sz w:val="22"/>
                <w:szCs w:val="22"/>
                <w:lang w:eastAsia="en-US"/>
              </w:rPr>
            </w:pPr>
            <w:r w:rsidRPr="00AD49B4">
              <w:rPr>
                <w:b/>
                <w:sz w:val="22"/>
                <w:szCs w:val="22"/>
              </w:rPr>
              <w:t>Status –</w:t>
            </w:r>
            <w:r w:rsidRPr="00AD49B4">
              <w:rPr>
                <w:sz w:val="22"/>
                <w:szCs w:val="22"/>
              </w:rPr>
              <w:t xml:space="preserve"> not yet started. </w:t>
            </w:r>
          </w:p>
        </w:tc>
      </w:tr>
      <w:tr w:rsidR="00AD49B4" w14:paraId="62F6F1C1"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3C5368DF" w14:textId="77777777" w:rsidR="00AD49B4" w:rsidRPr="00AD49B4" w:rsidRDefault="00AD49B4">
            <w:pPr>
              <w:spacing w:before="60" w:after="60"/>
              <w:rPr>
                <w:sz w:val="22"/>
                <w:szCs w:val="22"/>
              </w:rPr>
            </w:pPr>
            <w:r w:rsidRPr="00AD49B4">
              <w:rPr>
                <w:b/>
                <w:sz w:val="22"/>
                <w:szCs w:val="22"/>
              </w:rPr>
              <w:t xml:space="preserve">Relevance and Value - </w:t>
            </w:r>
            <w:r w:rsidRPr="00AD49B4">
              <w:rPr>
                <w:sz w:val="22"/>
                <w:szCs w:val="22"/>
              </w:rPr>
              <w:t>relevant to all pipeline operators.  Important to review ongoing increases in population adjacent to pipelines to identify infringements of proximity distance, and increase in societal risk when population exceeds 2.5 persons per hectare.  Gas industry carries out 4-yearly Affirmation of MOP review in accordance with IGEM/TD/1 in addition to regular surveillance.  Non-natural gas pipeline operators monitor population on ongoing basis.</w:t>
            </w:r>
          </w:p>
          <w:p w14:paraId="66EB10F8" w14:textId="77777777" w:rsidR="00AD49B4" w:rsidRPr="00AD49B4" w:rsidRDefault="00AD49B4">
            <w:pPr>
              <w:spacing w:before="60" w:after="60"/>
              <w:rPr>
                <w:sz w:val="22"/>
                <w:szCs w:val="22"/>
                <w:lang w:eastAsia="en-US"/>
              </w:rPr>
            </w:pPr>
            <w:r w:rsidRPr="00AD49B4">
              <w:rPr>
                <w:sz w:val="22"/>
                <w:szCs w:val="22"/>
              </w:rPr>
              <w:t>This review would capture current good practice applied by gas and non-natural gas pipeline operators in identifying and assessing population increases adjacent to population routes based on code requirements and experience from recent past.</w:t>
            </w:r>
          </w:p>
        </w:tc>
      </w:tr>
      <w:tr w:rsidR="00AD49B4" w14:paraId="7FE20702"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36A55606" w14:textId="77777777" w:rsidR="00AD49B4" w:rsidRPr="00AD49B4" w:rsidRDefault="00AD49B4">
            <w:pPr>
              <w:spacing w:before="60" w:after="60"/>
              <w:rPr>
                <w:b/>
                <w:sz w:val="22"/>
                <w:szCs w:val="22"/>
                <w:lang w:eastAsia="en-US"/>
              </w:rPr>
            </w:pPr>
            <w:r w:rsidRPr="00AD49B4">
              <w:rPr>
                <w:b/>
                <w:sz w:val="22"/>
                <w:szCs w:val="22"/>
              </w:rPr>
              <w:t xml:space="preserve">History / </w:t>
            </w:r>
            <w:proofErr w:type="gramStart"/>
            <w:r w:rsidRPr="00AD49B4">
              <w:rPr>
                <w:b/>
                <w:sz w:val="22"/>
                <w:szCs w:val="22"/>
              </w:rPr>
              <w:t>Reason  -</w:t>
            </w:r>
            <w:proofErr w:type="gramEnd"/>
            <w:r w:rsidRPr="00AD49B4">
              <w:rPr>
                <w:b/>
                <w:sz w:val="22"/>
                <w:szCs w:val="22"/>
              </w:rPr>
              <w:t xml:space="preserve"> </w:t>
            </w:r>
            <w:r w:rsidRPr="00AD49B4">
              <w:rPr>
                <w:sz w:val="22"/>
                <w:szCs w:val="22"/>
              </w:rPr>
              <w:t xml:space="preserve">New techniques (aerial surveys </w:t>
            </w:r>
            <w:proofErr w:type="spellStart"/>
            <w:r w:rsidRPr="00AD49B4">
              <w:rPr>
                <w:sz w:val="22"/>
                <w:szCs w:val="22"/>
              </w:rPr>
              <w:t>etc</w:t>
            </w:r>
            <w:proofErr w:type="spellEnd"/>
            <w:r w:rsidRPr="00AD49B4">
              <w:rPr>
                <w:sz w:val="22"/>
                <w:szCs w:val="22"/>
              </w:rPr>
              <w:t xml:space="preserve">) have been applied to capture and record population increases such as new housing and retail parks within the hazard distance from pipeline </w:t>
            </w:r>
            <w:r w:rsidRPr="00AD49B4">
              <w:rPr>
                <w:sz w:val="22"/>
                <w:szCs w:val="22"/>
              </w:rPr>
              <w:lastRenderedPageBreak/>
              <w:t>routes.  This GPG would add value to the processes already recorded within the codes.</w:t>
            </w:r>
          </w:p>
        </w:tc>
      </w:tr>
      <w:tr w:rsidR="00AD49B4" w14:paraId="668B52D4" w14:textId="77777777" w:rsidTr="00AD49B4">
        <w:tc>
          <w:tcPr>
            <w:tcW w:w="9242" w:type="dxa"/>
            <w:tcBorders>
              <w:top w:val="single" w:sz="4" w:space="0" w:color="auto"/>
              <w:left w:val="single" w:sz="4" w:space="0" w:color="auto"/>
              <w:bottom w:val="single" w:sz="4" w:space="0" w:color="auto"/>
              <w:right w:val="single" w:sz="4" w:space="0" w:color="auto"/>
            </w:tcBorders>
            <w:hideMark/>
          </w:tcPr>
          <w:p w14:paraId="1D33C7F9" w14:textId="77777777" w:rsidR="00AD49B4" w:rsidRPr="00AD49B4" w:rsidRDefault="00AD49B4">
            <w:pPr>
              <w:spacing w:before="60" w:after="60"/>
              <w:rPr>
                <w:sz w:val="22"/>
                <w:szCs w:val="22"/>
                <w:lang w:eastAsia="en-US"/>
              </w:rPr>
            </w:pPr>
            <w:r w:rsidRPr="00AD49B4">
              <w:rPr>
                <w:b/>
                <w:sz w:val="22"/>
                <w:szCs w:val="22"/>
              </w:rPr>
              <w:lastRenderedPageBreak/>
              <w:t xml:space="preserve">Conclusion – </w:t>
            </w:r>
            <w:r w:rsidRPr="00AD49B4">
              <w:rPr>
                <w:sz w:val="22"/>
                <w:szCs w:val="22"/>
              </w:rPr>
              <w:t xml:space="preserve">Guide should be written and </w:t>
            </w:r>
            <w:r w:rsidR="00287DB0">
              <w:rPr>
                <w:sz w:val="22"/>
                <w:szCs w:val="22"/>
              </w:rPr>
              <w:t xml:space="preserve">may be </w:t>
            </w:r>
            <w:r w:rsidRPr="00AD49B4">
              <w:rPr>
                <w:sz w:val="22"/>
                <w:szCs w:val="22"/>
              </w:rPr>
              <w:t>published as UKOPA Good Practice Guide. Initial draft document will require extensive input from other contributors.</w:t>
            </w:r>
          </w:p>
        </w:tc>
      </w:tr>
    </w:tbl>
    <w:p w14:paraId="09F571C6" w14:textId="77777777" w:rsidR="00AD49B4" w:rsidRDefault="00AD49B4"/>
    <w:tbl>
      <w:tblPr>
        <w:tblStyle w:val="TableGrid"/>
        <w:tblW w:w="0" w:type="auto"/>
        <w:tblLook w:val="04A0" w:firstRow="1" w:lastRow="0" w:firstColumn="1" w:lastColumn="0" w:noHBand="0" w:noVBand="1"/>
      </w:tblPr>
      <w:tblGrid>
        <w:gridCol w:w="9242"/>
      </w:tblGrid>
      <w:tr w:rsidR="00287DB0" w14:paraId="1B0DC8D1"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281A7BD8" w14:textId="77777777" w:rsidR="00287DB0" w:rsidRPr="00287DB0" w:rsidRDefault="00287DB0">
            <w:pPr>
              <w:rPr>
                <w:b/>
                <w:sz w:val="22"/>
                <w:szCs w:val="22"/>
                <w:lang w:eastAsia="en-US"/>
              </w:rPr>
            </w:pPr>
            <w:r w:rsidRPr="00AB229B">
              <w:rPr>
                <w:b/>
                <w:szCs w:val="22"/>
              </w:rPr>
              <w:t>6 Effect of pipeline surveillance on risk</w:t>
            </w:r>
          </w:p>
        </w:tc>
      </w:tr>
      <w:tr w:rsidR="00287DB0" w14:paraId="24832367"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7ADDA801" w14:textId="77777777" w:rsidR="00287DB0" w:rsidRPr="00287DB0" w:rsidRDefault="00287DB0" w:rsidP="00287DB0">
            <w:pPr>
              <w:rPr>
                <w:sz w:val="22"/>
                <w:szCs w:val="22"/>
                <w:lang w:eastAsia="en-US"/>
              </w:rPr>
            </w:pPr>
            <w:r>
              <w:rPr>
                <w:b/>
                <w:sz w:val="22"/>
                <w:szCs w:val="22"/>
              </w:rPr>
              <w:t>Type</w:t>
            </w:r>
            <w:r w:rsidRPr="00287DB0">
              <w:rPr>
                <w:sz w:val="22"/>
                <w:szCs w:val="22"/>
              </w:rPr>
              <w:t xml:space="preserve"> TECHNICAL BRIEFING NOTE </w:t>
            </w:r>
          </w:p>
        </w:tc>
      </w:tr>
      <w:tr w:rsidR="00287DB0" w14:paraId="3E6E47C1"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55F1F5C4" w14:textId="77777777" w:rsidR="00287DB0" w:rsidRPr="00287DB0" w:rsidRDefault="00287DB0" w:rsidP="00287DB0">
            <w:pPr>
              <w:spacing w:before="60" w:after="60"/>
              <w:rPr>
                <w:sz w:val="22"/>
                <w:szCs w:val="22"/>
                <w:lang w:eastAsia="en-US"/>
              </w:rPr>
            </w:pPr>
            <w:r w:rsidRPr="00287DB0">
              <w:rPr>
                <w:b/>
                <w:sz w:val="22"/>
                <w:szCs w:val="22"/>
              </w:rPr>
              <w:t>Status –</w:t>
            </w:r>
            <w:r w:rsidRPr="00287DB0">
              <w:rPr>
                <w:sz w:val="22"/>
                <w:szCs w:val="22"/>
              </w:rPr>
              <w:t xml:space="preserve"> not yet started. Estimated time to generate draft TBN – </w:t>
            </w:r>
            <w:r>
              <w:rPr>
                <w:sz w:val="22"/>
                <w:szCs w:val="22"/>
              </w:rPr>
              <w:t>2</w:t>
            </w:r>
            <w:r w:rsidRPr="00287DB0">
              <w:rPr>
                <w:sz w:val="22"/>
                <w:szCs w:val="22"/>
              </w:rPr>
              <w:t xml:space="preserve"> day</w:t>
            </w:r>
            <w:r>
              <w:rPr>
                <w:sz w:val="22"/>
                <w:szCs w:val="22"/>
              </w:rPr>
              <w:t>s</w:t>
            </w:r>
          </w:p>
        </w:tc>
      </w:tr>
      <w:tr w:rsidR="00287DB0" w14:paraId="14C4F081"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27C39201" w14:textId="77777777" w:rsidR="00287DB0" w:rsidRPr="00287DB0" w:rsidRDefault="00287DB0" w:rsidP="00287DB0">
            <w:pPr>
              <w:spacing w:before="60" w:after="60"/>
              <w:rPr>
                <w:sz w:val="22"/>
                <w:szCs w:val="22"/>
                <w:lang w:eastAsia="en-US"/>
              </w:rPr>
            </w:pPr>
            <w:r w:rsidRPr="00287DB0">
              <w:rPr>
                <w:b/>
                <w:sz w:val="22"/>
                <w:szCs w:val="22"/>
              </w:rPr>
              <w:t xml:space="preserve">Relevance and Value - </w:t>
            </w:r>
            <w:r w:rsidRPr="00287DB0">
              <w:rPr>
                <w:sz w:val="22"/>
                <w:szCs w:val="22"/>
              </w:rPr>
              <w:t xml:space="preserve">relevant to all pipeline operators.  Should be preserved as Technical Briefing Note only. Largely based on a paper issued 4 October 2005  </w:t>
            </w:r>
            <w:r w:rsidRPr="00287DB0">
              <w:rPr>
                <w:b/>
                <w:i/>
                <w:sz w:val="22"/>
                <w:szCs w:val="22"/>
              </w:rPr>
              <w:t>“Effect of Surveillance Frequency on 3rd Party Excavation Rate”</w:t>
            </w:r>
            <w:r w:rsidRPr="00287DB0">
              <w:rPr>
                <w:sz w:val="22"/>
                <w:szCs w:val="22"/>
              </w:rPr>
              <w:t xml:space="preserve"> which was used as the basis for the surveillance frequency graph in IGEM/TD/2 and PD 8010 Part 3 which shows the increase in the probability of detection of 3</w:t>
            </w:r>
            <w:r w:rsidRPr="00287DB0">
              <w:rPr>
                <w:sz w:val="22"/>
                <w:szCs w:val="22"/>
                <w:vertAlign w:val="superscript"/>
              </w:rPr>
              <w:t>rd</w:t>
            </w:r>
            <w:r w:rsidRPr="00287DB0">
              <w:rPr>
                <w:sz w:val="22"/>
                <w:szCs w:val="22"/>
              </w:rPr>
              <w:t xml:space="preserve"> party excavations with increasing surveillance frequency.  Based on infringement data and Monte Carlo simulation, and resulted in the Excel “Surveillance Frequency Calculator” issued to UKOPA members in 2012.</w:t>
            </w:r>
            <w:r>
              <w:rPr>
                <w:sz w:val="22"/>
                <w:szCs w:val="22"/>
              </w:rPr>
              <w:t xml:space="preserve"> </w:t>
            </w:r>
            <w:r w:rsidRPr="00287DB0">
              <w:rPr>
                <w:sz w:val="22"/>
                <w:szCs w:val="22"/>
              </w:rPr>
              <w:t>Value is as historical record of how surveillance frequency influences detection of 3</w:t>
            </w:r>
            <w:r w:rsidRPr="00287DB0">
              <w:rPr>
                <w:sz w:val="22"/>
                <w:szCs w:val="22"/>
                <w:vertAlign w:val="superscript"/>
              </w:rPr>
              <w:t>rd</w:t>
            </w:r>
            <w:r w:rsidRPr="00287DB0">
              <w:rPr>
                <w:sz w:val="22"/>
                <w:szCs w:val="22"/>
              </w:rPr>
              <w:t xml:space="preserve"> party excavations.</w:t>
            </w:r>
          </w:p>
        </w:tc>
      </w:tr>
      <w:tr w:rsidR="00287DB0" w14:paraId="7D861333"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624B4AEB" w14:textId="77777777" w:rsidR="00287DB0" w:rsidRPr="00287DB0" w:rsidRDefault="00287DB0">
            <w:pPr>
              <w:spacing w:before="60" w:after="60"/>
              <w:rPr>
                <w:b/>
                <w:sz w:val="22"/>
                <w:szCs w:val="22"/>
                <w:lang w:eastAsia="en-US"/>
              </w:rPr>
            </w:pPr>
            <w:r w:rsidRPr="00287DB0">
              <w:rPr>
                <w:b/>
                <w:sz w:val="22"/>
                <w:szCs w:val="22"/>
              </w:rPr>
              <w:t xml:space="preserve">History / </w:t>
            </w:r>
            <w:proofErr w:type="gramStart"/>
            <w:r w:rsidRPr="00287DB0">
              <w:rPr>
                <w:b/>
                <w:sz w:val="22"/>
                <w:szCs w:val="22"/>
              </w:rPr>
              <w:t>Reason  -</w:t>
            </w:r>
            <w:proofErr w:type="gramEnd"/>
            <w:r w:rsidRPr="00287DB0">
              <w:rPr>
                <w:b/>
                <w:sz w:val="22"/>
                <w:szCs w:val="22"/>
              </w:rPr>
              <w:t xml:space="preserve"> </w:t>
            </w:r>
            <w:r w:rsidRPr="00287DB0">
              <w:rPr>
                <w:sz w:val="22"/>
                <w:szCs w:val="22"/>
              </w:rPr>
              <w:t>Increased surveillance is known to increase the probability of detecting 3</w:t>
            </w:r>
            <w:r w:rsidRPr="00287DB0">
              <w:rPr>
                <w:sz w:val="22"/>
                <w:szCs w:val="22"/>
                <w:vertAlign w:val="superscript"/>
              </w:rPr>
              <w:t>rd</w:t>
            </w:r>
            <w:r w:rsidRPr="00287DB0">
              <w:rPr>
                <w:sz w:val="22"/>
                <w:szCs w:val="22"/>
              </w:rPr>
              <w:t xml:space="preserve"> party excavations although it is seen by HSE as a “soft” risk reduction measure. A logical mathematically approach has therefore been used to generate a reduction graph.  The reasoning and methodology should therefore be preserved so that the approach can be justified in future.</w:t>
            </w:r>
          </w:p>
        </w:tc>
      </w:tr>
      <w:tr w:rsidR="00287DB0" w14:paraId="3B4BFFA9"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1B9B9912" w14:textId="77777777" w:rsidR="00287DB0" w:rsidRPr="00287DB0" w:rsidRDefault="00287DB0">
            <w:pPr>
              <w:spacing w:before="60" w:after="60"/>
              <w:rPr>
                <w:sz w:val="22"/>
                <w:szCs w:val="22"/>
                <w:lang w:eastAsia="en-US"/>
              </w:rPr>
            </w:pPr>
            <w:r w:rsidRPr="00287DB0">
              <w:rPr>
                <w:b/>
                <w:sz w:val="22"/>
                <w:szCs w:val="22"/>
              </w:rPr>
              <w:t xml:space="preserve">Conclusion – </w:t>
            </w:r>
            <w:r w:rsidRPr="00287DB0">
              <w:rPr>
                <w:sz w:val="22"/>
                <w:szCs w:val="22"/>
              </w:rPr>
              <w:t>maintain as TBN only.</w:t>
            </w:r>
          </w:p>
        </w:tc>
      </w:tr>
    </w:tbl>
    <w:p w14:paraId="6D9BD21B" w14:textId="77777777" w:rsidR="00287DB0" w:rsidRDefault="00287DB0"/>
    <w:tbl>
      <w:tblPr>
        <w:tblStyle w:val="TableGrid"/>
        <w:tblW w:w="0" w:type="auto"/>
        <w:tblLook w:val="04A0" w:firstRow="1" w:lastRow="0" w:firstColumn="1" w:lastColumn="0" w:noHBand="0" w:noVBand="1"/>
      </w:tblPr>
      <w:tblGrid>
        <w:gridCol w:w="9242"/>
      </w:tblGrid>
      <w:tr w:rsidR="00287DB0" w14:paraId="3B8BAF53"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0DD83C3D" w14:textId="77777777" w:rsidR="00287DB0" w:rsidRPr="00287DB0" w:rsidRDefault="00287DB0">
            <w:pPr>
              <w:spacing w:before="60" w:after="60"/>
              <w:rPr>
                <w:b/>
                <w:sz w:val="22"/>
                <w:szCs w:val="22"/>
                <w:lang w:eastAsia="en-US"/>
              </w:rPr>
            </w:pPr>
            <w:r w:rsidRPr="00AB229B">
              <w:rPr>
                <w:b/>
                <w:szCs w:val="22"/>
              </w:rPr>
              <w:t>7  Oil Pipelines Drain Down Study</w:t>
            </w:r>
          </w:p>
        </w:tc>
      </w:tr>
      <w:tr w:rsidR="00287DB0" w14:paraId="26CCE5CD"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78D1E1B5" w14:textId="77777777" w:rsidR="00287DB0" w:rsidRPr="00287DB0" w:rsidRDefault="00287DB0" w:rsidP="00287DB0">
            <w:pPr>
              <w:spacing w:before="60" w:after="60"/>
              <w:rPr>
                <w:sz w:val="22"/>
                <w:szCs w:val="22"/>
                <w:lang w:eastAsia="en-US"/>
              </w:rPr>
            </w:pPr>
            <w:r>
              <w:rPr>
                <w:b/>
                <w:sz w:val="22"/>
                <w:szCs w:val="22"/>
              </w:rPr>
              <w:t xml:space="preserve">Type  </w:t>
            </w:r>
            <w:r w:rsidRPr="00287DB0">
              <w:rPr>
                <w:sz w:val="22"/>
                <w:szCs w:val="22"/>
              </w:rPr>
              <w:t>TECHNICAL BRIEFING NOTE</w:t>
            </w:r>
          </w:p>
        </w:tc>
      </w:tr>
      <w:tr w:rsidR="00287DB0" w14:paraId="04119936"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1D98A57E" w14:textId="77777777" w:rsidR="00287DB0" w:rsidRPr="00287DB0" w:rsidRDefault="00287DB0">
            <w:pPr>
              <w:spacing w:before="60" w:after="60"/>
              <w:rPr>
                <w:sz w:val="22"/>
                <w:szCs w:val="22"/>
                <w:lang w:eastAsia="en-US"/>
              </w:rPr>
            </w:pPr>
            <w:r w:rsidRPr="00287DB0">
              <w:rPr>
                <w:b/>
                <w:sz w:val="22"/>
                <w:szCs w:val="22"/>
              </w:rPr>
              <w:t xml:space="preserve">Status </w:t>
            </w:r>
            <w:r>
              <w:rPr>
                <w:b/>
                <w:sz w:val="22"/>
                <w:szCs w:val="22"/>
              </w:rPr>
              <w:t>–</w:t>
            </w:r>
            <w:r w:rsidRPr="00287DB0">
              <w:rPr>
                <w:sz w:val="22"/>
                <w:szCs w:val="22"/>
              </w:rPr>
              <w:t xml:space="preserve"> </w:t>
            </w:r>
            <w:r>
              <w:rPr>
                <w:sz w:val="22"/>
                <w:szCs w:val="22"/>
              </w:rPr>
              <w:t xml:space="preserve">Draft </w:t>
            </w:r>
            <w:r w:rsidRPr="00287DB0">
              <w:rPr>
                <w:sz w:val="22"/>
                <w:szCs w:val="22"/>
              </w:rPr>
              <w:t>written February 2016, comments received but not yet included</w:t>
            </w:r>
          </w:p>
        </w:tc>
      </w:tr>
      <w:tr w:rsidR="00287DB0" w14:paraId="5D0ADB76"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322F5634" w14:textId="77777777" w:rsidR="00287DB0" w:rsidRPr="00287DB0" w:rsidRDefault="00287DB0" w:rsidP="00287DB0">
            <w:pPr>
              <w:spacing w:before="60" w:after="60"/>
              <w:rPr>
                <w:b/>
                <w:sz w:val="22"/>
                <w:szCs w:val="22"/>
                <w:lang w:eastAsia="en-US"/>
              </w:rPr>
            </w:pPr>
            <w:r w:rsidRPr="00287DB0">
              <w:rPr>
                <w:b/>
                <w:sz w:val="22"/>
                <w:szCs w:val="22"/>
              </w:rPr>
              <w:t xml:space="preserve">Relevance and Value- </w:t>
            </w:r>
            <w:r w:rsidRPr="00287DB0">
              <w:rPr>
                <w:sz w:val="22"/>
                <w:szCs w:val="22"/>
              </w:rPr>
              <w:t xml:space="preserve">relevant to oil pipeline operators only.  Not relevant to anyone else, should be preserved as Technical Briefing Note only.  Value to UKOPA as common approach applied to several UKOPA oil pipeline operators which should be preserved in UKOPA archives as well as by individual operators. Also key evidence supporting declared UKOPA objective </w:t>
            </w:r>
            <w:r>
              <w:rPr>
                <w:sz w:val="22"/>
                <w:szCs w:val="22"/>
              </w:rPr>
              <w:br/>
            </w:r>
            <w:r w:rsidRPr="00287DB0">
              <w:rPr>
                <w:sz w:val="22"/>
                <w:szCs w:val="22"/>
              </w:rPr>
              <w:t>(V) TO DEVELOP ENVIRONMENTAL RISK STRATEGY</w:t>
            </w:r>
          </w:p>
        </w:tc>
      </w:tr>
      <w:tr w:rsidR="00287DB0" w14:paraId="749B814D"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04921E27" w14:textId="77777777" w:rsidR="00287DB0" w:rsidRPr="00287DB0" w:rsidRDefault="00287DB0">
            <w:pPr>
              <w:spacing w:before="60" w:after="60"/>
              <w:rPr>
                <w:b/>
                <w:sz w:val="22"/>
                <w:szCs w:val="22"/>
                <w:lang w:eastAsia="en-US"/>
              </w:rPr>
            </w:pPr>
            <w:r w:rsidRPr="00287DB0">
              <w:rPr>
                <w:b/>
                <w:sz w:val="22"/>
                <w:szCs w:val="22"/>
              </w:rPr>
              <w:t xml:space="preserve">History / Reason  - </w:t>
            </w:r>
            <w:r w:rsidRPr="00287DB0">
              <w:rPr>
                <w:sz w:val="22"/>
                <w:szCs w:val="22"/>
              </w:rPr>
              <w:t>captures work carried out  for oil pipeline operators during period 2008-2014 reviewing amount of oil draining out of holes or ruptured pipeline due to elevation of pipeline above sea level.  This has allowed some operators in install additional remotely-operated cross-country valves to minimise drain-down in the event of a pipeline leak or rupture. Describes drain down mechanisms following loss of containment and pump switch-off, and how to calculate amounts draining out.  Describes development and application of a simple drain-down calculator which can be used by control operators to calculate how much and how long drain-out will occur.</w:t>
            </w:r>
          </w:p>
        </w:tc>
      </w:tr>
      <w:tr w:rsidR="00287DB0" w14:paraId="315F0BA6"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0CBC5D96" w14:textId="77777777" w:rsidR="00287DB0" w:rsidRPr="00287DB0" w:rsidRDefault="00287DB0" w:rsidP="00287DB0">
            <w:pPr>
              <w:spacing w:before="60" w:after="60"/>
              <w:rPr>
                <w:sz w:val="22"/>
                <w:szCs w:val="22"/>
                <w:lang w:eastAsia="en-US"/>
              </w:rPr>
            </w:pPr>
            <w:r w:rsidRPr="00287DB0">
              <w:rPr>
                <w:b/>
                <w:sz w:val="22"/>
                <w:szCs w:val="22"/>
              </w:rPr>
              <w:t xml:space="preserve">Conclusion – </w:t>
            </w:r>
            <w:r w:rsidRPr="00287DB0">
              <w:rPr>
                <w:sz w:val="22"/>
                <w:szCs w:val="22"/>
              </w:rPr>
              <w:t>maintain as TBN only</w:t>
            </w:r>
          </w:p>
        </w:tc>
      </w:tr>
    </w:tbl>
    <w:p w14:paraId="264EB613" w14:textId="77777777" w:rsidR="00287DB0" w:rsidRDefault="00287DB0"/>
    <w:tbl>
      <w:tblPr>
        <w:tblStyle w:val="TableGrid"/>
        <w:tblW w:w="0" w:type="auto"/>
        <w:tblLook w:val="04A0" w:firstRow="1" w:lastRow="0" w:firstColumn="1" w:lastColumn="0" w:noHBand="0" w:noVBand="1"/>
      </w:tblPr>
      <w:tblGrid>
        <w:gridCol w:w="9242"/>
      </w:tblGrid>
      <w:tr w:rsidR="00287DB0" w14:paraId="3AA84668"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34ABB76B" w14:textId="77777777" w:rsidR="00287DB0" w:rsidRPr="00287DB0" w:rsidRDefault="00287DB0" w:rsidP="00287DB0">
            <w:pPr>
              <w:spacing w:before="60" w:after="60"/>
              <w:rPr>
                <w:b/>
                <w:sz w:val="22"/>
                <w:szCs w:val="22"/>
                <w:lang w:eastAsia="en-US"/>
              </w:rPr>
            </w:pPr>
            <w:r w:rsidRPr="00AB229B">
              <w:rPr>
                <w:b/>
                <w:szCs w:val="22"/>
              </w:rPr>
              <w:t>8  Oil Pipelines Societal Risk Studies – Managing Encroaching Developments</w:t>
            </w:r>
          </w:p>
        </w:tc>
      </w:tr>
      <w:tr w:rsidR="00287DB0" w14:paraId="3274DAC7"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64A1E902" w14:textId="77777777" w:rsidR="00287DB0" w:rsidRPr="00287DB0" w:rsidRDefault="00287DB0" w:rsidP="00287DB0">
            <w:pPr>
              <w:spacing w:before="60" w:after="60"/>
              <w:rPr>
                <w:sz w:val="22"/>
                <w:szCs w:val="22"/>
                <w:lang w:eastAsia="en-US"/>
              </w:rPr>
            </w:pPr>
            <w:r>
              <w:rPr>
                <w:b/>
                <w:sz w:val="22"/>
                <w:szCs w:val="22"/>
              </w:rPr>
              <w:t>Type</w:t>
            </w:r>
            <w:r w:rsidRPr="00287DB0">
              <w:rPr>
                <w:b/>
                <w:sz w:val="22"/>
                <w:szCs w:val="22"/>
              </w:rPr>
              <w:t xml:space="preserve"> </w:t>
            </w:r>
            <w:r w:rsidRPr="00287DB0">
              <w:rPr>
                <w:sz w:val="22"/>
                <w:szCs w:val="22"/>
              </w:rPr>
              <w:t xml:space="preserve">TECHNICAL BRIEFING NOTE </w:t>
            </w:r>
          </w:p>
        </w:tc>
      </w:tr>
      <w:tr w:rsidR="00287DB0" w14:paraId="55D76686"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47F9D118" w14:textId="77777777" w:rsidR="00287DB0" w:rsidRPr="00287DB0" w:rsidRDefault="00287DB0">
            <w:pPr>
              <w:spacing w:before="60" w:after="60"/>
              <w:rPr>
                <w:sz w:val="22"/>
                <w:szCs w:val="22"/>
                <w:lang w:eastAsia="en-US"/>
              </w:rPr>
            </w:pPr>
            <w:r w:rsidRPr="00287DB0">
              <w:rPr>
                <w:b/>
                <w:sz w:val="22"/>
                <w:szCs w:val="22"/>
              </w:rPr>
              <w:t>Status –</w:t>
            </w:r>
            <w:r w:rsidRPr="00287DB0">
              <w:rPr>
                <w:sz w:val="22"/>
                <w:szCs w:val="22"/>
              </w:rPr>
              <w:t xml:space="preserve"> not yet started.  Estimated time to generate draft TBN – 2 days</w:t>
            </w:r>
          </w:p>
        </w:tc>
      </w:tr>
      <w:tr w:rsidR="00287DB0" w14:paraId="63C09EFB"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43851698" w14:textId="77777777" w:rsidR="00287DB0" w:rsidRPr="00287DB0" w:rsidRDefault="00287DB0" w:rsidP="00287DB0">
            <w:pPr>
              <w:spacing w:before="60" w:after="60"/>
              <w:rPr>
                <w:b/>
                <w:sz w:val="22"/>
                <w:szCs w:val="22"/>
                <w:lang w:eastAsia="en-US"/>
              </w:rPr>
            </w:pPr>
            <w:r w:rsidRPr="00287DB0">
              <w:rPr>
                <w:b/>
                <w:sz w:val="22"/>
                <w:szCs w:val="22"/>
              </w:rPr>
              <w:t xml:space="preserve">Relevance and Value- </w:t>
            </w:r>
            <w:r w:rsidRPr="00287DB0">
              <w:rPr>
                <w:sz w:val="22"/>
                <w:szCs w:val="22"/>
              </w:rPr>
              <w:t xml:space="preserve">relevant to oil pipeline operators only.  Summary of approach used by most UKOPA oil pipeline operators for assessing societal risks from gasoline, kerosene, crude oil and aviation fuel pipelines where there is significant population within the hazard zone from these pipelines. Allows operators to identify and action risk reduction measures where appropriate, based on ALARP and cost benefit considerations.  Working models issued to operators allows on-going </w:t>
            </w:r>
            <w:r w:rsidRPr="00287DB0">
              <w:rPr>
                <w:sz w:val="22"/>
                <w:szCs w:val="22"/>
              </w:rPr>
              <w:lastRenderedPageBreak/>
              <w:t>population development to be assessed in sensitive areas. Value to UKOPA as common approach applied to oil pipeline which should be preserved in UKOPA archives as well as by individual operators.</w:t>
            </w:r>
          </w:p>
        </w:tc>
      </w:tr>
      <w:tr w:rsidR="00287DB0" w14:paraId="666A18C2"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6F9FF43F" w14:textId="77777777" w:rsidR="00287DB0" w:rsidRPr="00287DB0" w:rsidRDefault="00287DB0">
            <w:pPr>
              <w:spacing w:before="60" w:after="60"/>
              <w:rPr>
                <w:b/>
                <w:sz w:val="22"/>
                <w:szCs w:val="22"/>
                <w:lang w:eastAsia="en-US"/>
              </w:rPr>
            </w:pPr>
            <w:r w:rsidRPr="00287DB0">
              <w:rPr>
                <w:b/>
                <w:sz w:val="22"/>
                <w:szCs w:val="22"/>
              </w:rPr>
              <w:lastRenderedPageBreak/>
              <w:t xml:space="preserve">History / Reason  - </w:t>
            </w:r>
            <w:r w:rsidRPr="00287DB0">
              <w:rPr>
                <w:sz w:val="22"/>
                <w:szCs w:val="22"/>
              </w:rPr>
              <w:t xml:space="preserve">captures work carried out  for oil pipeline operators during period 2007-2015 reviewing population adjacent to pipeline routes to identify and assess areas where population exceed 2.5 persons per hectare.  Describes how site specific studies were carried out and process applied  where high population sections required risk reduction measures to be applied, in accordance with PD 8010 Part 3.  </w:t>
            </w:r>
          </w:p>
        </w:tc>
      </w:tr>
      <w:tr w:rsidR="00287DB0" w14:paraId="5B545B93" w14:textId="77777777" w:rsidTr="00287DB0">
        <w:tc>
          <w:tcPr>
            <w:tcW w:w="9242" w:type="dxa"/>
            <w:tcBorders>
              <w:top w:val="single" w:sz="4" w:space="0" w:color="auto"/>
              <w:left w:val="single" w:sz="4" w:space="0" w:color="auto"/>
              <w:bottom w:val="single" w:sz="4" w:space="0" w:color="auto"/>
              <w:right w:val="single" w:sz="4" w:space="0" w:color="auto"/>
            </w:tcBorders>
            <w:hideMark/>
          </w:tcPr>
          <w:p w14:paraId="0F44BEB2" w14:textId="77777777" w:rsidR="00287DB0" w:rsidRPr="00287DB0" w:rsidRDefault="00287DB0">
            <w:pPr>
              <w:spacing w:before="60" w:after="60"/>
              <w:rPr>
                <w:sz w:val="22"/>
                <w:szCs w:val="22"/>
                <w:lang w:eastAsia="en-US"/>
              </w:rPr>
            </w:pPr>
            <w:r w:rsidRPr="00287DB0">
              <w:rPr>
                <w:b/>
                <w:sz w:val="22"/>
                <w:szCs w:val="22"/>
              </w:rPr>
              <w:t xml:space="preserve">Conclusion – </w:t>
            </w:r>
            <w:r w:rsidRPr="00287DB0">
              <w:rPr>
                <w:sz w:val="22"/>
                <w:szCs w:val="22"/>
              </w:rPr>
              <w:t xml:space="preserve">maintain as TBN only. </w:t>
            </w:r>
            <w:r>
              <w:rPr>
                <w:sz w:val="22"/>
                <w:szCs w:val="22"/>
              </w:rPr>
              <w:t>May combine with (3) above</w:t>
            </w:r>
          </w:p>
        </w:tc>
      </w:tr>
    </w:tbl>
    <w:p w14:paraId="4E49F6FC" w14:textId="77777777" w:rsidR="00287DB0" w:rsidRDefault="00287DB0"/>
    <w:tbl>
      <w:tblPr>
        <w:tblStyle w:val="TableGrid"/>
        <w:tblW w:w="0" w:type="auto"/>
        <w:tblLook w:val="04A0" w:firstRow="1" w:lastRow="0" w:firstColumn="1" w:lastColumn="0" w:noHBand="0" w:noVBand="1"/>
      </w:tblPr>
      <w:tblGrid>
        <w:gridCol w:w="9242"/>
      </w:tblGrid>
      <w:tr w:rsidR="00287DB0" w:rsidRPr="00287DB0" w14:paraId="1D432DB7" w14:textId="77777777" w:rsidTr="00251958">
        <w:tc>
          <w:tcPr>
            <w:tcW w:w="9242" w:type="dxa"/>
            <w:tcBorders>
              <w:top w:val="single" w:sz="4" w:space="0" w:color="auto"/>
              <w:left w:val="single" w:sz="4" w:space="0" w:color="auto"/>
              <w:bottom w:val="single" w:sz="4" w:space="0" w:color="auto"/>
              <w:right w:val="single" w:sz="4" w:space="0" w:color="auto"/>
            </w:tcBorders>
            <w:hideMark/>
          </w:tcPr>
          <w:p w14:paraId="0695008F" w14:textId="77777777" w:rsidR="00287DB0" w:rsidRPr="00287DB0" w:rsidRDefault="00F83CF4" w:rsidP="00F83CF4">
            <w:pPr>
              <w:spacing w:before="60" w:after="60"/>
              <w:rPr>
                <w:b/>
                <w:sz w:val="22"/>
                <w:szCs w:val="22"/>
                <w:lang w:eastAsia="en-US"/>
              </w:rPr>
            </w:pPr>
            <w:r w:rsidRPr="00AB229B">
              <w:rPr>
                <w:b/>
                <w:szCs w:val="22"/>
              </w:rPr>
              <w:t>9</w:t>
            </w:r>
            <w:r w:rsidR="00287DB0" w:rsidRPr="00AB229B">
              <w:rPr>
                <w:b/>
                <w:szCs w:val="22"/>
              </w:rPr>
              <w:t xml:space="preserve">  </w:t>
            </w:r>
            <w:r w:rsidRPr="00AB229B">
              <w:rPr>
                <w:b/>
                <w:szCs w:val="22"/>
              </w:rPr>
              <w:t>Managing societal risk in the vicinity of gas pipelines;</w:t>
            </w:r>
          </w:p>
        </w:tc>
      </w:tr>
      <w:tr w:rsidR="00287DB0" w:rsidRPr="00287DB0" w14:paraId="15A61A87" w14:textId="77777777" w:rsidTr="00251958">
        <w:tc>
          <w:tcPr>
            <w:tcW w:w="9242" w:type="dxa"/>
            <w:tcBorders>
              <w:top w:val="single" w:sz="4" w:space="0" w:color="auto"/>
              <w:left w:val="single" w:sz="4" w:space="0" w:color="auto"/>
              <w:bottom w:val="single" w:sz="4" w:space="0" w:color="auto"/>
              <w:right w:val="single" w:sz="4" w:space="0" w:color="auto"/>
            </w:tcBorders>
            <w:hideMark/>
          </w:tcPr>
          <w:p w14:paraId="353D8F10" w14:textId="77777777" w:rsidR="00287DB0" w:rsidRPr="00287DB0" w:rsidRDefault="00287DB0" w:rsidP="00251958">
            <w:pPr>
              <w:spacing w:before="60" w:after="60"/>
              <w:rPr>
                <w:sz w:val="22"/>
                <w:szCs w:val="22"/>
                <w:lang w:eastAsia="en-US"/>
              </w:rPr>
            </w:pPr>
            <w:r>
              <w:rPr>
                <w:b/>
                <w:sz w:val="22"/>
                <w:szCs w:val="22"/>
              </w:rPr>
              <w:t>Type</w:t>
            </w:r>
            <w:r w:rsidRPr="00287DB0">
              <w:rPr>
                <w:b/>
                <w:sz w:val="22"/>
                <w:szCs w:val="22"/>
              </w:rPr>
              <w:t xml:space="preserve"> </w:t>
            </w:r>
            <w:r w:rsidRPr="00287DB0">
              <w:rPr>
                <w:sz w:val="22"/>
                <w:szCs w:val="22"/>
              </w:rPr>
              <w:t xml:space="preserve">TECHNICAL BRIEFING NOTE </w:t>
            </w:r>
            <w:r w:rsidR="00F83CF4">
              <w:rPr>
                <w:sz w:val="22"/>
                <w:szCs w:val="22"/>
              </w:rPr>
              <w:t>possible GPG</w:t>
            </w:r>
          </w:p>
        </w:tc>
      </w:tr>
      <w:tr w:rsidR="00287DB0" w:rsidRPr="00287DB0" w14:paraId="61BF6C33" w14:textId="77777777" w:rsidTr="00251958">
        <w:tc>
          <w:tcPr>
            <w:tcW w:w="9242" w:type="dxa"/>
            <w:tcBorders>
              <w:top w:val="single" w:sz="4" w:space="0" w:color="auto"/>
              <w:left w:val="single" w:sz="4" w:space="0" w:color="auto"/>
              <w:bottom w:val="single" w:sz="4" w:space="0" w:color="auto"/>
              <w:right w:val="single" w:sz="4" w:space="0" w:color="auto"/>
            </w:tcBorders>
            <w:hideMark/>
          </w:tcPr>
          <w:p w14:paraId="20546BFC" w14:textId="77777777" w:rsidR="00287DB0" w:rsidRPr="00287DB0" w:rsidRDefault="00287DB0" w:rsidP="00F83CF4">
            <w:pPr>
              <w:spacing w:before="60" w:after="60"/>
              <w:rPr>
                <w:sz w:val="22"/>
                <w:szCs w:val="22"/>
                <w:lang w:eastAsia="en-US"/>
              </w:rPr>
            </w:pPr>
            <w:r w:rsidRPr="00287DB0">
              <w:rPr>
                <w:b/>
                <w:sz w:val="22"/>
                <w:szCs w:val="22"/>
              </w:rPr>
              <w:t>Status –</w:t>
            </w:r>
            <w:r w:rsidRPr="00287DB0">
              <w:rPr>
                <w:sz w:val="22"/>
                <w:szCs w:val="22"/>
              </w:rPr>
              <w:t xml:space="preserve"> </w:t>
            </w:r>
            <w:r w:rsidR="00F83CF4">
              <w:rPr>
                <w:sz w:val="22"/>
                <w:szCs w:val="22"/>
              </w:rPr>
              <w:t>Issued as note “</w:t>
            </w:r>
            <w:r w:rsidR="00F83CF4" w:rsidRPr="00F83CF4">
              <w:rPr>
                <w:sz w:val="22"/>
                <w:szCs w:val="22"/>
              </w:rPr>
              <w:t xml:space="preserve">“National Grid Approach to Managing Societal Risk around Gas Transmission Pipelines” </w:t>
            </w:r>
            <w:r w:rsidR="00F83CF4">
              <w:rPr>
                <w:sz w:val="22"/>
                <w:szCs w:val="22"/>
              </w:rPr>
              <w:t xml:space="preserve"> by Neil Jackson in March 2016</w:t>
            </w:r>
          </w:p>
        </w:tc>
      </w:tr>
      <w:tr w:rsidR="00287DB0" w:rsidRPr="00287DB0" w14:paraId="2575F539" w14:textId="77777777" w:rsidTr="00251958">
        <w:tc>
          <w:tcPr>
            <w:tcW w:w="9242" w:type="dxa"/>
            <w:tcBorders>
              <w:top w:val="single" w:sz="4" w:space="0" w:color="auto"/>
              <w:left w:val="single" w:sz="4" w:space="0" w:color="auto"/>
              <w:bottom w:val="single" w:sz="4" w:space="0" w:color="auto"/>
              <w:right w:val="single" w:sz="4" w:space="0" w:color="auto"/>
            </w:tcBorders>
            <w:hideMark/>
          </w:tcPr>
          <w:p w14:paraId="07A6CF93" w14:textId="77777777" w:rsidR="00287DB0" w:rsidRPr="00287DB0" w:rsidRDefault="00287DB0" w:rsidP="00F83CF4">
            <w:pPr>
              <w:spacing w:before="60" w:after="60"/>
              <w:rPr>
                <w:b/>
                <w:sz w:val="22"/>
                <w:szCs w:val="22"/>
                <w:lang w:eastAsia="en-US"/>
              </w:rPr>
            </w:pPr>
            <w:r w:rsidRPr="00287DB0">
              <w:rPr>
                <w:b/>
                <w:sz w:val="22"/>
                <w:szCs w:val="22"/>
              </w:rPr>
              <w:t xml:space="preserve">Relevance and Value- </w:t>
            </w:r>
            <w:r w:rsidRPr="00287DB0">
              <w:rPr>
                <w:sz w:val="22"/>
                <w:szCs w:val="22"/>
              </w:rPr>
              <w:t xml:space="preserve">relevant to </w:t>
            </w:r>
            <w:r w:rsidR="00F83CF4">
              <w:rPr>
                <w:sz w:val="22"/>
                <w:szCs w:val="22"/>
              </w:rPr>
              <w:t>gas</w:t>
            </w:r>
            <w:r w:rsidRPr="00287DB0">
              <w:rPr>
                <w:sz w:val="22"/>
                <w:szCs w:val="22"/>
              </w:rPr>
              <w:t xml:space="preserve"> pipeline operators.  </w:t>
            </w:r>
            <w:r w:rsidR="00F83CF4">
              <w:rPr>
                <w:sz w:val="22"/>
                <w:szCs w:val="22"/>
              </w:rPr>
              <w:t>Gas operators</w:t>
            </w:r>
            <w:r w:rsidR="00F83CF4" w:rsidRPr="00F83CF4">
              <w:rPr>
                <w:sz w:val="22"/>
                <w:szCs w:val="22"/>
              </w:rPr>
              <w:t xml:space="preserve"> ha</w:t>
            </w:r>
            <w:r w:rsidR="00F83CF4">
              <w:rPr>
                <w:sz w:val="22"/>
                <w:szCs w:val="22"/>
              </w:rPr>
              <w:t>ve</w:t>
            </w:r>
            <w:r w:rsidR="00F83CF4" w:rsidRPr="00F83CF4">
              <w:rPr>
                <w:sz w:val="22"/>
                <w:szCs w:val="22"/>
              </w:rPr>
              <w:t xml:space="preserve"> a duty under the Pipeline Safety Regulations to manage the risks associated with MAHP and because pipelines are long distributed assets with a low likelihood of failure, societal risk is the most appropriate means of measuring the risk. </w:t>
            </w:r>
            <w:r w:rsidR="00F83CF4">
              <w:rPr>
                <w:sz w:val="22"/>
                <w:szCs w:val="22"/>
              </w:rPr>
              <w:t>This note describes National Grid approach.</w:t>
            </w:r>
          </w:p>
        </w:tc>
      </w:tr>
      <w:tr w:rsidR="00287DB0" w:rsidRPr="00287DB0" w14:paraId="66DEF8D1" w14:textId="77777777" w:rsidTr="00251958">
        <w:tc>
          <w:tcPr>
            <w:tcW w:w="9242" w:type="dxa"/>
            <w:tcBorders>
              <w:top w:val="single" w:sz="4" w:space="0" w:color="auto"/>
              <w:left w:val="single" w:sz="4" w:space="0" w:color="auto"/>
              <w:bottom w:val="single" w:sz="4" w:space="0" w:color="auto"/>
              <w:right w:val="single" w:sz="4" w:space="0" w:color="auto"/>
            </w:tcBorders>
            <w:hideMark/>
          </w:tcPr>
          <w:p w14:paraId="394D55BD" w14:textId="77777777" w:rsidR="00287DB0" w:rsidRPr="00287DB0" w:rsidRDefault="00287DB0" w:rsidP="00F83CF4">
            <w:pPr>
              <w:spacing w:before="60" w:after="60"/>
              <w:rPr>
                <w:b/>
                <w:sz w:val="22"/>
                <w:szCs w:val="22"/>
                <w:lang w:eastAsia="en-US"/>
              </w:rPr>
            </w:pPr>
            <w:r w:rsidRPr="00287DB0">
              <w:rPr>
                <w:b/>
                <w:sz w:val="22"/>
                <w:szCs w:val="22"/>
              </w:rPr>
              <w:t xml:space="preserve">History / </w:t>
            </w:r>
            <w:proofErr w:type="gramStart"/>
            <w:r w:rsidRPr="00287DB0">
              <w:rPr>
                <w:b/>
                <w:sz w:val="22"/>
                <w:szCs w:val="22"/>
              </w:rPr>
              <w:t>Reason  -</w:t>
            </w:r>
            <w:proofErr w:type="gramEnd"/>
            <w:r w:rsidRPr="00287DB0">
              <w:rPr>
                <w:b/>
                <w:sz w:val="22"/>
                <w:szCs w:val="22"/>
              </w:rPr>
              <w:t xml:space="preserve"> </w:t>
            </w:r>
            <w:r w:rsidR="00F83CF4" w:rsidRPr="00F83CF4">
              <w:rPr>
                <w:sz w:val="22"/>
                <w:szCs w:val="22"/>
              </w:rPr>
              <w:t>This note describe</w:t>
            </w:r>
            <w:r w:rsidR="00F83CF4">
              <w:rPr>
                <w:sz w:val="22"/>
                <w:szCs w:val="22"/>
              </w:rPr>
              <w:t>s</w:t>
            </w:r>
            <w:r w:rsidR="00F83CF4" w:rsidRPr="00F83CF4">
              <w:rPr>
                <w:sz w:val="22"/>
                <w:szCs w:val="22"/>
              </w:rPr>
              <w:t xml:space="preserve"> the methodology that National Grid Gas Transmission follows to manage societal risk around Gas Transmission pipelines. It is a logical and structured approach and follows industry, national, legislative criteria. It enables National Grid to follow a consistent approach to managing the risks with its Major Accident Hazard Pipelines and to demonstrate that the risks are ‘As-Low-As-Reasonably-Practicable’.</w:t>
            </w:r>
          </w:p>
        </w:tc>
      </w:tr>
      <w:tr w:rsidR="00287DB0" w:rsidRPr="00287DB0" w14:paraId="76837C8C" w14:textId="77777777" w:rsidTr="00251958">
        <w:tc>
          <w:tcPr>
            <w:tcW w:w="9242" w:type="dxa"/>
            <w:tcBorders>
              <w:top w:val="single" w:sz="4" w:space="0" w:color="auto"/>
              <w:left w:val="single" w:sz="4" w:space="0" w:color="auto"/>
              <w:bottom w:val="single" w:sz="4" w:space="0" w:color="auto"/>
              <w:right w:val="single" w:sz="4" w:space="0" w:color="auto"/>
            </w:tcBorders>
            <w:hideMark/>
          </w:tcPr>
          <w:p w14:paraId="12FC5CDE" w14:textId="77777777" w:rsidR="00287DB0" w:rsidRPr="00287DB0" w:rsidRDefault="00287DB0" w:rsidP="00F83CF4">
            <w:pPr>
              <w:spacing w:before="60" w:after="60"/>
              <w:rPr>
                <w:sz w:val="22"/>
                <w:szCs w:val="22"/>
                <w:lang w:eastAsia="en-US"/>
              </w:rPr>
            </w:pPr>
            <w:r w:rsidRPr="00287DB0">
              <w:rPr>
                <w:b/>
                <w:sz w:val="22"/>
                <w:szCs w:val="22"/>
              </w:rPr>
              <w:t xml:space="preserve">Conclusion – </w:t>
            </w:r>
            <w:r w:rsidRPr="00287DB0">
              <w:rPr>
                <w:sz w:val="22"/>
                <w:szCs w:val="22"/>
              </w:rPr>
              <w:t>maintain as TBN</w:t>
            </w:r>
            <w:r w:rsidR="00F83CF4">
              <w:rPr>
                <w:sz w:val="22"/>
                <w:szCs w:val="22"/>
              </w:rPr>
              <w:t>, may be suitable as a GPG?</w:t>
            </w:r>
          </w:p>
        </w:tc>
      </w:tr>
    </w:tbl>
    <w:p w14:paraId="2D4E0723" w14:textId="77777777" w:rsidR="00287DB0" w:rsidRDefault="00287DB0"/>
    <w:tbl>
      <w:tblPr>
        <w:tblStyle w:val="TableGrid"/>
        <w:tblW w:w="0" w:type="auto"/>
        <w:tblLook w:val="04A0" w:firstRow="1" w:lastRow="0" w:firstColumn="1" w:lastColumn="0" w:noHBand="0" w:noVBand="1"/>
      </w:tblPr>
      <w:tblGrid>
        <w:gridCol w:w="9242"/>
      </w:tblGrid>
      <w:tr w:rsidR="00F83CF4" w14:paraId="06855255" w14:textId="77777777" w:rsidTr="00F83CF4">
        <w:tc>
          <w:tcPr>
            <w:tcW w:w="9242" w:type="dxa"/>
            <w:tcBorders>
              <w:top w:val="single" w:sz="4" w:space="0" w:color="auto"/>
              <w:left w:val="single" w:sz="4" w:space="0" w:color="auto"/>
              <w:bottom w:val="single" w:sz="4" w:space="0" w:color="auto"/>
              <w:right w:val="single" w:sz="4" w:space="0" w:color="auto"/>
            </w:tcBorders>
            <w:hideMark/>
          </w:tcPr>
          <w:p w14:paraId="2574A25B" w14:textId="77777777" w:rsidR="00F83CF4" w:rsidRPr="00AB229B" w:rsidRDefault="00F83CF4">
            <w:pPr>
              <w:spacing w:before="60" w:after="60"/>
              <w:rPr>
                <w:b/>
                <w:szCs w:val="22"/>
                <w:lang w:eastAsia="en-US"/>
              </w:rPr>
            </w:pPr>
            <w:r w:rsidRPr="00AB229B">
              <w:rPr>
                <w:b/>
                <w:szCs w:val="22"/>
              </w:rPr>
              <w:t>10  Ethylene Societal Risk Studies</w:t>
            </w:r>
          </w:p>
        </w:tc>
      </w:tr>
      <w:tr w:rsidR="00F83CF4" w14:paraId="72805A20" w14:textId="77777777" w:rsidTr="00F83CF4">
        <w:tc>
          <w:tcPr>
            <w:tcW w:w="9242" w:type="dxa"/>
            <w:tcBorders>
              <w:top w:val="single" w:sz="4" w:space="0" w:color="auto"/>
              <w:left w:val="single" w:sz="4" w:space="0" w:color="auto"/>
              <w:bottom w:val="single" w:sz="4" w:space="0" w:color="auto"/>
              <w:right w:val="single" w:sz="4" w:space="0" w:color="auto"/>
            </w:tcBorders>
            <w:hideMark/>
          </w:tcPr>
          <w:p w14:paraId="43B42F1E" w14:textId="77777777" w:rsidR="00F83CF4" w:rsidRPr="00287DB0" w:rsidRDefault="00F83CF4" w:rsidP="00F83CF4">
            <w:pPr>
              <w:spacing w:before="60" w:after="60"/>
              <w:rPr>
                <w:sz w:val="22"/>
                <w:szCs w:val="22"/>
                <w:lang w:eastAsia="en-US"/>
              </w:rPr>
            </w:pPr>
            <w:r>
              <w:rPr>
                <w:b/>
                <w:sz w:val="22"/>
                <w:szCs w:val="22"/>
              </w:rPr>
              <w:t>Type</w:t>
            </w:r>
            <w:r w:rsidRPr="00287DB0">
              <w:rPr>
                <w:b/>
                <w:sz w:val="22"/>
                <w:szCs w:val="22"/>
              </w:rPr>
              <w:t xml:space="preserve"> </w:t>
            </w:r>
            <w:r w:rsidRPr="00287DB0">
              <w:rPr>
                <w:sz w:val="22"/>
                <w:szCs w:val="22"/>
              </w:rPr>
              <w:t xml:space="preserve">TECHNICAL BRIEFING NOTE </w:t>
            </w:r>
          </w:p>
        </w:tc>
      </w:tr>
      <w:tr w:rsidR="00F83CF4" w14:paraId="64937909" w14:textId="77777777" w:rsidTr="00F83CF4">
        <w:tc>
          <w:tcPr>
            <w:tcW w:w="9242" w:type="dxa"/>
            <w:tcBorders>
              <w:top w:val="single" w:sz="4" w:space="0" w:color="auto"/>
              <w:left w:val="single" w:sz="4" w:space="0" w:color="auto"/>
              <w:bottom w:val="single" w:sz="4" w:space="0" w:color="auto"/>
              <w:right w:val="single" w:sz="4" w:space="0" w:color="auto"/>
            </w:tcBorders>
            <w:hideMark/>
          </w:tcPr>
          <w:p w14:paraId="410E81B9" w14:textId="77777777" w:rsidR="00F83CF4" w:rsidRPr="00F83CF4" w:rsidRDefault="00F83CF4">
            <w:pPr>
              <w:spacing w:before="60" w:after="60"/>
              <w:rPr>
                <w:sz w:val="22"/>
                <w:szCs w:val="22"/>
                <w:lang w:eastAsia="en-US"/>
              </w:rPr>
            </w:pPr>
            <w:r w:rsidRPr="00F83CF4">
              <w:rPr>
                <w:b/>
                <w:sz w:val="22"/>
                <w:szCs w:val="22"/>
              </w:rPr>
              <w:t>Status -</w:t>
            </w:r>
            <w:r w:rsidRPr="00F83CF4">
              <w:rPr>
                <w:sz w:val="22"/>
                <w:szCs w:val="22"/>
              </w:rPr>
              <w:t xml:space="preserve"> written June 2015, comments included in draft 2 Sept 2015</w:t>
            </w:r>
          </w:p>
        </w:tc>
      </w:tr>
      <w:tr w:rsidR="00F83CF4" w14:paraId="2D46052D" w14:textId="77777777" w:rsidTr="00F83CF4">
        <w:tc>
          <w:tcPr>
            <w:tcW w:w="9242" w:type="dxa"/>
            <w:tcBorders>
              <w:top w:val="single" w:sz="4" w:space="0" w:color="auto"/>
              <w:left w:val="single" w:sz="4" w:space="0" w:color="auto"/>
              <w:bottom w:val="single" w:sz="4" w:space="0" w:color="auto"/>
              <w:right w:val="single" w:sz="4" w:space="0" w:color="auto"/>
            </w:tcBorders>
            <w:hideMark/>
          </w:tcPr>
          <w:p w14:paraId="08973E84" w14:textId="77777777" w:rsidR="00F83CF4" w:rsidRPr="00F83CF4" w:rsidRDefault="00F83CF4" w:rsidP="00F83CF4">
            <w:pPr>
              <w:spacing w:before="60" w:after="60"/>
              <w:rPr>
                <w:b/>
                <w:sz w:val="22"/>
                <w:szCs w:val="22"/>
                <w:lang w:eastAsia="en-US"/>
              </w:rPr>
            </w:pPr>
            <w:r w:rsidRPr="00F83CF4">
              <w:rPr>
                <w:b/>
                <w:sz w:val="22"/>
                <w:szCs w:val="22"/>
              </w:rPr>
              <w:t xml:space="preserve">Relevance and Value- </w:t>
            </w:r>
            <w:r w:rsidRPr="00F83CF4">
              <w:rPr>
                <w:sz w:val="22"/>
                <w:szCs w:val="22"/>
              </w:rPr>
              <w:t>relevant to ethylene pipeline operators only.  Summary of approach presented to UKOPA meeting 13 October 2013. Value to UKOPA as common approach applied to all UKOPA ethylene operators which should be preserved in UKOPA archives as well as by individual operators.</w:t>
            </w:r>
          </w:p>
        </w:tc>
      </w:tr>
      <w:tr w:rsidR="00F83CF4" w14:paraId="51AC90C6" w14:textId="77777777" w:rsidTr="00F83CF4">
        <w:tc>
          <w:tcPr>
            <w:tcW w:w="9242" w:type="dxa"/>
            <w:tcBorders>
              <w:top w:val="single" w:sz="4" w:space="0" w:color="auto"/>
              <w:left w:val="single" w:sz="4" w:space="0" w:color="auto"/>
              <w:bottom w:val="single" w:sz="4" w:space="0" w:color="auto"/>
              <w:right w:val="single" w:sz="4" w:space="0" w:color="auto"/>
            </w:tcBorders>
            <w:hideMark/>
          </w:tcPr>
          <w:p w14:paraId="7241642A" w14:textId="77777777" w:rsidR="00F83CF4" w:rsidRPr="00F83CF4" w:rsidRDefault="00F83CF4">
            <w:pPr>
              <w:spacing w:before="60" w:after="60"/>
              <w:rPr>
                <w:b/>
                <w:sz w:val="22"/>
                <w:szCs w:val="22"/>
                <w:lang w:eastAsia="en-US"/>
              </w:rPr>
            </w:pPr>
            <w:r w:rsidRPr="00F83CF4">
              <w:rPr>
                <w:b/>
                <w:sz w:val="22"/>
                <w:szCs w:val="22"/>
              </w:rPr>
              <w:t xml:space="preserve">History / Reason  - </w:t>
            </w:r>
            <w:r w:rsidRPr="00F83CF4">
              <w:rPr>
                <w:sz w:val="22"/>
                <w:szCs w:val="22"/>
              </w:rPr>
              <w:t>captures work carried out  for ethylene pipeline operators during period 2012-2014 reviewing population adjacent to pipeline routes to identify and assess areas where population exceed 2.5 persons per hectare.  Describes how site specific studies were carried out and process applied  where high population sections required risk reduction measures to be applied, in accordance with PD 8010 Part 3.  Validity of these studies is slightly reduced (i.e. results are now conservative) by subsequent reduction in Land Use Planning zones as a result of HSE applying less conservation dispersion distances to ethylene flash fires.</w:t>
            </w:r>
          </w:p>
        </w:tc>
      </w:tr>
      <w:tr w:rsidR="00F83CF4" w14:paraId="413BABD3" w14:textId="77777777" w:rsidTr="00F83CF4">
        <w:tc>
          <w:tcPr>
            <w:tcW w:w="9242" w:type="dxa"/>
            <w:tcBorders>
              <w:top w:val="single" w:sz="4" w:space="0" w:color="auto"/>
              <w:left w:val="single" w:sz="4" w:space="0" w:color="auto"/>
              <w:bottom w:val="single" w:sz="4" w:space="0" w:color="auto"/>
              <w:right w:val="single" w:sz="4" w:space="0" w:color="auto"/>
            </w:tcBorders>
            <w:hideMark/>
          </w:tcPr>
          <w:p w14:paraId="643ADCF6" w14:textId="77777777" w:rsidR="00F83CF4" w:rsidRPr="00F83CF4" w:rsidRDefault="00F83CF4" w:rsidP="00F83CF4">
            <w:pPr>
              <w:spacing w:before="60" w:after="60"/>
              <w:rPr>
                <w:sz w:val="22"/>
                <w:szCs w:val="22"/>
                <w:lang w:eastAsia="en-US"/>
              </w:rPr>
            </w:pPr>
            <w:r w:rsidRPr="00F83CF4">
              <w:rPr>
                <w:b/>
                <w:sz w:val="22"/>
                <w:szCs w:val="22"/>
              </w:rPr>
              <w:t xml:space="preserve">Conclusion – </w:t>
            </w:r>
            <w:r w:rsidRPr="00F83CF4">
              <w:rPr>
                <w:sz w:val="22"/>
                <w:szCs w:val="22"/>
              </w:rPr>
              <w:t>maintain as TBN only.</w:t>
            </w:r>
          </w:p>
        </w:tc>
      </w:tr>
    </w:tbl>
    <w:p w14:paraId="293B8B0E" w14:textId="77777777" w:rsidR="00F83CF4" w:rsidRDefault="00F83CF4" w:rsidP="00F83CF4">
      <w:pPr>
        <w:rPr>
          <w:rFonts w:asciiTheme="minorHAnsi" w:hAnsiTheme="minorHAnsi" w:cstheme="minorBidi"/>
          <w:sz w:val="22"/>
          <w:szCs w:val="22"/>
          <w:lang w:eastAsia="en-US"/>
        </w:rPr>
      </w:pPr>
    </w:p>
    <w:p w14:paraId="6C5263E9" w14:textId="77777777" w:rsidR="00F83CF4" w:rsidRDefault="00F83CF4"/>
    <w:sectPr w:rsidR="00F83CF4" w:rsidSect="00943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74C7A"/>
    <w:multiLevelType w:val="multilevel"/>
    <w:tmpl w:val="78D4EEF8"/>
    <w:lvl w:ilvl="0">
      <w:start w:val="1"/>
      <w:numFmt w:val="decimal"/>
      <w:lvlText w:val="%1"/>
      <w:lvlJc w:val="left"/>
      <w:pPr>
        <w:tabs>
          <w:tab w:val="num" w:pos="574"/>
        </w:tabs>
        <w:ind w:left="574"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3C"/>
    <w:rsid w:val="000936E7"/>
    <w:rsid w:val="00122052"/>
    <w:rsid w:val="00273580"/>
    <w:rsid w:val="00277C60"/>
    <w:rsid w:val="00287DB0"/>
    <w:rsid w:val="0029133C"/>
    <w:rsid w:val="00511D93"/>
    <w:rsid w:val="00531F76"/>
    <w:rsid w:val="00774F73"/>
    <w:rsid w:val="007D5B49"/>
    <w:rsid w:val="0085359B"/>
    <w:rsid w:val="00943D83"/>
    <w:rsid w:val="00975A30"/>
    <w:rsid w:val="00992D6C"/>
    <w:rsid w:val="009A6F6E"/>
    <w:rsid w:val="00AB229B"/>
    <w:rsid w:val="00AD49B4"/>
    <w:rsid w:val="00BE2667"/>
    <w:rsid w:val="00F83CF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9F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133C"/>
    <w:rPr>
      <w:rFonts w:ascii="Times New Roman" w:eastAsia="Times New Roman" w:hAnsi="Times New Roman" w:cs="Times New Roman"/>
      <w:sz w:val="24"/>
      <w:szCs w:val="24"/>
      <w:lang w:eastAsia="en-GB"/>
    </w:rPr>
  </w:style>
  <w:style w:type="paragraph" w:styleId="Heading1">
    <w:name w:val="heading 1"/>
    <w:aliases w:val="RSKH1,RSKH11,RSKH12,RSKH111"/>
    <w:basedOn w:val="Normal"/>
    <w:next w:val="Normal"/>
    <w:link w:val="Heading1Char"/>
    <w:uiPriority w:val="99"/>
    <w:qFormat/>
    <w:rsid w:val="00277C60"/>
    <w:pPr>
      <w:keepNext/>
      <w:tabs>
        <w:tab w:val="num" w:pos="858"/>
      </w:tabs>
      <w:spacing w:before="240" w:after="120"/>
      <w:ind w:left="574" w:hanging="432"/>
      <w:jc w:val="both"/>
      <w:outlineLvl w:val="0"/>
    </w:pPr>
    <w:rPr>
      <w:rFonts w:ascii="Arial" w:eastAsiaTheme="minorHAnsi" w:hAnsi="Arial" w:cs="Arial"/>
      <w:b/>
      <w:bCs/>
      <w:kern w:val="32"/>
      <w:sz w:val="28"/>
      <w:lang w:eastAsia="en-US"/>
    </w:rPr>
  </w:style>
  <w:style w:type="paragraph" w:styleId="Heading4">
    <w:name w:val="heading 4"/>
    <w:basedOn w:val="Normal"/>
    <w:next w:val="Normal"/>
    <w:link w:val="Heading4Char"/>
    <w:autoRedefine/>
    <w:uiPriority w:val="99"/>
    <w:qFormat/>
    <w:rsid w:val="00BE2667"/>
    <w:pPr>
      <w:keepNext/>
      <w:tabs>
        <w:tab w:val="num" w:pos="1080"/>
      </w:tabs>
      <w:spacing w:before="240" w:after="60"/>
      <w:ind w:left="864" w:hanging="864"/>
      <w:jc w:val="both"/>
      <w:outlineLvl w:val="3"/>
    </w:pPr>
    <w:rPr>
      <w:rFonts w:ascii="Arial" w:eastAsiaTheme="minorHAnsi" w:hAnsi="Arial" w:cstheme="minorBid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rsid w:val="00BE2667"/>
    <w:rPr>
      <w:rFonts w:ascii="Arial" w:hAnsi="Arial"/>
      <w:b/>
      <w:bCs/>
      <w:sz w:val="28"/>
      <w:szCs w:val="28"/>
    </w:rPr>
  </w:style>
  <w:style w:type="character" w:customStyle="1" w:styleId="Heading1Char">
    <w:name w:val="Heading 1 Char"/>
    <w:aliases w:val="RSKH1 Char,RSKH11 Char,RSKH12 Char,RSKH111 Char"/>
    <w:link w:val="Heading1"/>
    <w:uiPriority w:val="99"/>
    <w:rsid w:val="00277C60"/>
    <w:rPr>
      <w:rFonts w:ascii="Arial" w:hAnsi="Arial" w:cs="Arial"/>
      <w:b/>
      <w:bCs/>
      <w:kern w:val="32"/>
      <w:sz w:val="28"/>
      <w:szCs w:val="24"/>
    </w:rPr>
  </w:style>
  <w:style w:type="character" w:customStyle="1" w:styleId="apple-converted-space">
    <w:name w:val="apple-converted-space"/>
    <w:basedOn w:val="DefaultParagraphFont"/>
    <w:rsid w:val="0029133C"/>
  </w:style>
  <w:style w:type="table" w:styleId="TableGrid">
    <w:name w:val="Table Grid"/>
    <w:basedOn w:val="TableNormal"/>
    <w:uiPriority w:val="59"/>
    <w:rsid w:val="007D5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4787">
      <w:bodyDiv w:val="1"/>
      <w:marLeft w:val="0"/>
      <w:marRight w:val="0"/>
      <w:marTop w:val="0"/>
      <w:marBottom w:val="0"/>
      <w:divBdr>
        <w:top w:val="none" w:sz="0" w:space="0" w:color="auto"/>
        <w:left w:val="none" w:sz="0" w:space="0" w:color="auto"/>
        <w:bottom w:val="none" w:sz="0" w:space="0" w:color="auto"/>
        <w:right w:val="none" w:sz="0" w:space="0" w:color="auto"/>
      </w:divBdr>
    </w:div>
    <w:div w:id="290407529">
      <w:bodyDiv w:val="1"/>
      <w:marLeft w:val="0"/>
      <w:marRight w:val="0"/>
      <w:marTop w:val="0"/>
      <w:marBottom w:val="0"/>
      <w:divBdr>
        <w:top w:val="none" w:sz="0" w:space="0" w:color="auto"/>
        <w:left w:val="none" w:sz="0" w:space="0" w:color="auto"/>
        <w:bottom w:val="none" w:sz="0" w:space="0" w:color="auto"/>
        <w:right w:val="none" w:sz="0" w:space="0" w:color="auto"/>
      </w:divBdr>
    </w:div>
    <w:div w:id="413236673">
      <w:bodyDiv w:val="1"/>
      <w:marLeft w:val="0"/>
      <w:marRight w:val="0"/>
      <w:marTop w:val="0"/>
      <w:marBottom w:val="0"/>
      <w:divBdr>
        <w:top w:val="none" w:sz="0" w:space="0" w:color="auto"/>
        <w:left w:val="none" w:sz="0" w:space="0" w:color="auto"/>
        <w:bottom w:val="none" w:sz="0" w:space="0" w:color="auto"/>
        <w:right w:val="none" w:sz="0" w:space="0" w:color="auto"/>
      </w:divBdr>
    </w:div>
    <w:div w:id="480854916">
      <w:bodyDiv w:val="1"/>
      <w:marLeft w:val="0"/>
      <w:marRight w:val="0"/>
      <w:marTop w:val="0"/>
      <w:marBottom w:val="0"/>
      <w:divBdr>
        <w:top w:val="none" w:sz="0" w:space="0" w:color="auto"/>
        <w:left w:val="none" w:sz="0" w:space="0" w:color="auto"/>
        <w:bottom w:val="none" w:sz="0" w:space="0" w:color="auto"/>
        <w:right w:val="none" w:sz="0" w:space="0" w:color="auto"/>
      </w:divBdr>
    </w:div>
    <w:div w:id="556820168">
      <w:bodyDiv w:val="1"/>
      <w:marLeft w:val="0"/>
      <w:marRight w:val="0"/>
      <w:marTop w:val="0"/>
      <w:marBottom w:val="0"/>
      <w:divBdr>
        <w:top w:val="none" w:sz="0" w:space="0" w:color="auto"/>
        <w:left w:val="none" w:sz="0" w:space="0" w:color="auto"/>
        <w:bottom w:val="none" w:sz="0" w:space="0" w:color="auto"/>
        <w:right w:val="none" w:sz="0" w:space="0" w:color="auto"/>
      </w:divBdr>
    </w:div>
    <w:div w:id="676419658">
      <w:bodyDiv w:val="1"/>
      <w:marLeft w:val="0"/>
      <w:marRight w:val="0"/>
      <w:marTop w:val="0"/>
      <w:marBottom w:val="0"/>
      <w:divBdr>
        <w:top w:val="none" w:sz="0" w:space="0" w:color="auto"/>
        <w:left w:val="none" w:sz="0" w:space="0" w:color="auto"/>
        <w:bottom w:val="none" w:sz="0" w:space="0" w:color="auto"/>
        <w:right w:val="none" w:sz="0" w:space="0" w:color="auto"/>
      </w:divBdr>
    </w:div>
    <w:div w:id="695691361">
      <w:bodyDiv w:val="1"/>
      <w:marLeft w:val="0"/>
      <w:marRight w:val="0"/>
      <w:marTop w:val="0"/>
      <w:marBottom w:val="0"/>
      <w:divBdr>
        <w:top w:val="none" w:sz="0" w:space="0" w:color="auto"/>
        <w:left w:val="none" w:sz="0" w:space="0" w:color="auto"/>
        <w:bottom w:val="none" w:sz="0" w:space="0" w:color="auto"/>
        <w:right w:val="none" w:sz="0" w:space="0" w:color="auto"/>
      </w:divBdr>
    </w:div>
    <w:div w:id="1273050391">
      <w:bodyDiv w:val="1"/>
      <w:marLeft w:val="0"/>
      <w:marRight w:val="0"/>
      <w:marTop w:val="0"/>
      <w:marBottom w:val="0"/>
      <w:divBdr>
        <w:top w:val="none" w:sz="0" w:space="0" w:color="auto"/>
        <w:left w:val="none" w:sz="0" w:space="0" w:color="auto"/>
        <w:bottom w:val="none" w:sz="0" w:space="0" w:color="auto"/>
        <w:right w:val="none" w:sz="0" w:space="0" w:color="auto"/>
      </w:divBdr>
    </w:div>
    <w:div w:id="1846824710">
      <w:bodyDiv w:val="1"/>
      <w:marLeft w:val="0"/>
      <w:marRight w:val="0"/>
      <w:marTop w:val="0"/>
      <w:marBottom w:val="0"/>
      <w:divBdr>
        <w:top w:val="none" w:sz="0" w:space="0" w:color="auto"/>
        <w:left w:val="none" w:sz="0" w:space="0" w:color="auto"/>
        <w:bottom w:val="none" w:sz="0" w:space="0" w:color="auto"/>
        <w:right w:val="none" w:sz="0" w:space="0" w:color="auto"/>
      </w:divBdr>
    </w:div>
    <w:div w:id="199055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2260</Words>
  <Characters>12883</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c:creator>
  <cp:lastModifiedBy>Nikki Barker</cp:lastModifiedBy>
  <cp:revision>2</cp:revision>
  <dcterms:created xsi:type="dcterms:W3CDTF">2017-09-13T11:12:00Z</dcterms:created>
  <dcterms:modified xsi:type="dcterms:W3CDTF">2017-09-13T11:12:00Z</dcterms:modified>
</cp:coreProperties>
</file>