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7C" w:rsidRPr="003A0D86" w:rsidRDefault="004C2D7C" w:rsidP="004C2D7C">
      <w:pPr>
        <w:pStyle w:val="BodyText"/>
        <w:jc w:val="center"/>
      </w:pPr>
      <w:r>
        <w:t xml:space="preserve">Notes of the Pipeline and Integrity </w:t>
      </w:r>
      <w:r w:rsidRPr="003A0D86">
        <w:t xml:space="preserve">Working Group </w:t>
      </w:r>
      <w:r>
        <w:t>Teleconference</w:t>
      </w:r>
      <w:bookmarkStart w:id="0" w:name="_GoBack"/>
      <w:bookmarkEnd w:id="0"/>
      <w:r>
        <w:br/>
        <w:t>on 30</w:t>
      </w:r>
      <w:r>
        <w:rPr>
          <w:vertAlign w:val="superscript"/>
        </w:rPr>
        <w:t>th</w:t>
      </w:r>
      <w:r>
        <w:t xml:space="preserve"> September 2015</w:t>
      </w:r>
    </w:p>
    <w:p w:rsidR="004C2D7C" w:rsidRPr="003A0D86" w:rsidRDefault="004C2D7C" w:rsidP="004C2D7C"/>
    <w:p w:rsidR="004C2D7C" w:rsidRDefault="004C2D7C" w:rsidP="004C2D7C">
      <w:pPr>
        <w:pStyle w:val="BodyText"/>
        <w:tabs>
          <w:tab w:val="right" w:pos="8931"/>
        </w:tabs>
        <w:jc w:val="center"/>
      </w:pPr>
      <w:r w:rsidRPr="00143ECF">
        <w:t>DRAFT FOR APPROVAL</w:t>
      </w:r>
      <w:r>
        <w:tab/>
        <w:t>PI</w:t>
      </w:r>
      <w:r w:rsidRPr="003A0D86">
        <w:t>WG/1</w:t>
      </w:r>
      <w:r>
        <w:t>5</w:t>
      </w:r>
      <w:r w:rsidRPr="003A0D86">
        <w:t>/0</w:t>
      </w:r>
      <w:r w:rsidR="001B2CA8">
        <w:t>27</w:t>
      </w:r>
    </w:p>
    <w:p w:rsidR="004C2D7C" w:rsidRPr="003A0D86" w:rsidRDefault="004C2D7C" w:rsidP="004C2D7C">
      <w:pPr>
        <w:pStyle w:val="BodyText"/>
        <w:tabs>
          <w:tab w:val="right" w:pos="8931"/>
        </w:tabs>
        <w:jc w:val="center"/>
      </w:pPr>
    </w:p>
    <w:p w:rsidR="004C2D7C" w:rsidRPr="003A0D86" w:rsidRDefault="004C2D7C" w:rsidP="004C2D7C">
      <w:pPr>
        <w:pStyle w:val="BodyText"/>
      </w:pPr>
    </w:p>
    <w:p w:rsidR="004C2D7C" w:rsidRDefault="004C2D7C" w:rsidP="004C2D7C">
      <w:pPr>
        <w:pStyle w:val="BodyText"/>
      </w:pPr>
      <w:r>
        <w:t>Attendees:</w:t>
      </w:r>
    </w:p>
    <w:p w:rsidR="004C2D7C" w:rsidRDefault="004C2D7C" w:rsidP="004C2D7C">
      <w:pPr>
        <w:ind w:left="720"/>
      </w:pPr>
    </w:p>
    <w:p w:rsidR="004C2D7C" w:rsidRDefault="004C2D7C" w:rsidP="004C2D7C">
      <w:pPr>
        <w:ind w:left="720"/>
      </w:pPr>
      <w:r>
        <w:t>Neil Jackson</w:t>
      </w:r>
      <w:r>
        <w:tab/>
      </w:r>
      <w:r>
        <w:tab/>
        <w:t>Independent Consultant (Secretary and Stand in Chair)</w:t>
      </w:r>
    </w:p>
    <w:p w:rsidR="004C2D7C" w:rsidRDefault="004C2D7C" w:rsidP="004C2D7C">
      <w:pPr>
        <w:ind w:left="720"/>
      </w:pPr>
      <w:r>
        <w:t>Steve Potts</w:t>
      </w:r>
      <w:r>
        <w:tab/>
      </w:r>
      <w:r>
        <w:tab/>
        <w:t>National Grid</w:t>
      </w:r>
    </w:p>
    <w:p w:rsidR="004C2D7C" w:rsidRDefault="004C2D7C" w:rsidP="004C2D7C">
      <w:pPr>
        <w:ind w:firstLine="720"/>
      </w:pPr>
      <w:r>
        <w:t>Barry Dalus</w:t>
      </w:r>
      <w:r>
        <w:tab/>
      </w:r>
      <w:r>
        <w:tab/>
        <w:t>Northern Gas Networks</w:t>
      </w:r>
    </w:p>
    <w:p w:rsidR="004C2D7C" w:rsidRDefault="004C2D7C" w:rsidP="004C2D7C">
      <w:pPr>
        <w:ind w:firstLine="720"/>
      </w:pPr>
      <w:r>
        <w:t>Walter Gaffney</w:t>
      </w:r>
      <w:r>
        <w:tab/>
        <w:t>SGN</w:t>
      </w:r>
    </w:p>
    <w:p w:rsidR="004C2D7C" w:rsidRDefault="004C2D7C" w:rsidP="004C2D7C">
      <w:pPr>
        <w:ind w:left="720"/>
      </w:pPr>
      <w:r>
        <w:t>Stephen Humphrey</w:t>
      </w:r>
      <w:r>
        <w:tab/>
        <w:t>Oil and Pipelines Agency</w:t>
      </w:r>
    </w:p>
    <w:p w:rsidR="004C2D7C" w:rsidRPr="00882FAA" w:rsidRDefault="004C2D7C" w:rsidP="004C2D7C">
      <w:pPr>
        <w:jc w:val="left"/>
      </w:pPr>
      <w:r>
        <w:tab/>
      </w:r>
      <w:r w:rsidRPr="00882FAA">
        <w:t>Tom</w:t>
      </w:r>
      <w:r w:rsidR="00882FAA" w:rsidRPr="00882FAA">
        <w:t xml:space="preserve"> Leeman </w:t>
      </w:r>
      <w:r w:rsidR="00882FAA" w:rsidRPr="00882FAA">
        <w:tab/>
      </w:r>
      <w:r w:rsidR="00882FAA" w:rsidRPr="00882FAA">
        <w:tab/>
      </w:r>
      <w:r w:rsidRPr="00882FAA">
        <w:t>BP</w:t>
      </w:r>
    </w:p>
    <w:p w:rsidR="004C2D7C" w:rsidRDefault="004C2D7C" w:rsidP="004C2D7C">
      <w:pPr>
        <w:jc w:val="left"/>
      </w:pPr>
      <w:r w:rsidRPr="00882FAA">
        <w:tab/>
      </w:r>
      <w:r w:rsidR="00882FAA" w:rsidRPr="00882FAA">
        <w:t>Paul Godsman</w:t>
      </w:r>
      <w:r w:rsidR="00882FAA" w:rsidRPr="00882FAA">
        <w:tab/>
      </w:r>
      <w:r w:rsidR="00882FAA" w:rsidRPr="00882FAA">
        <w:tab/>
      </w:r>
      <w:r w:rsidRPr="00882FAA">
        <w:t>BP</w:t>
      </w:r>
    </w:p>
    <w:p w:rsidR="004C2D7C" w:rsidRDefault="004C2D7C" w:rsidP="004C2D7C">
      <w:pPr>
        <w:jc w:val="left"/>
      </w:pPr>
    </w:p>
    <w:p w:rsidR="004C2D7C" w:rsidRDefault="004C2D7C" w:rsidP="004C2D7C">
      <w:pPr>
        <w:jc w:val="left"/>
      </w:pPr>
    </w:p>
    <w:p w:rsidR="004C2D7C" w:rsidRPr="004C2D7C" w:rsidRDefault="004C2D7C" w:rsidP="004C2D7C">
      <w:pPr>
        <w:pStyle w:val="BodyText"/>
        <w:rPr>
          <w:bCs/>
          <w:kern w:val="32"/>
        </w:rPr>
      </w:pPr>
      <w:r w:rsidRPr="00006E11">
        <w:t>Update on Actions from the Meeting on the 26th June</w:t>
      </w:r>
    </w:p>
    <w:p w:rsidR="00513EB4" w:rsidRPr="00BF1A69" w:rsidRDefault="00513EB4" w:rsidP="00513EB4">
      <w:pPr>
        <w:pStyle w:val="Heading1"/>
        <w:numPr>
          <w:ilvl w:val="0"/>
          <w:numId w:val="0"/>
        </w:numPr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992"/>
      </w:tblGrid>
      <w:tr w:rsidR="00513EB4" w:rsidTr="0089456C">
        <w:trPr>
          <w:tblHeader/>
        </w:trPr>
        <w:tc>
          <w:tcPr>
            <w:tcW w:w="7933" w:type="dxa"/>
            <w:gridSpan w:val="3"/>
          </w:tcPr>
          <w:p w:rsidR="00513EB4" w:rsidRPr="00BF1A69" w:rsidRDefault="00513EB4" w:rsidP="0089456C">
            <w:pPr>
              <w:jc w:val="center"/>
              <w:rPr>
                <w:b/>
              </w:rPr>
            </w:pPr>
            <w:r w:rsidRPr="00BF1A69">
              <w:rPr>
                <w:b/>
              </w:rPr>
              <w:t>Summary of Actions</w:t>
            </w:r>
          </w:p>
        </w:tc>
      </w:tr>
      <w:tr w:rsidR="00513EB4" w:rsidTr="0089456C">
        <w:trPr>
          <w:tblHeader/>
        </w:trPr>
        <w:tc>
          <w:tcPr>
            <w:tcW w:w="704" w:type="dxa"/>
          </w:tcPr>
          <w:p w:rsidR="00513EB4" w:rsidRPr="00BF1A69" w:rsidRDefault="00513EB4" w:rsidP="0089456C">
            <w:pPr>
              <w:jc w:val="center"/>
              <w:rPr>
                <w:b/>
              </w:rPr>
            </w:pPr>
            <w:r w:rsidRPr="00BF1A69">
              <w:rPr>
                <w:b/>
              </w:rPr>
              <w:t>No</w:t>
            </w:r>
          </w:p>
        </w:tc>
        <w:tc>
          <w:tcPr>
            <w:tcW w:w="6237" w:type="dxa"/>
          </w:tcPr>
          <w:p w:rsidR="00513EB4" w:rsidRPr="00BF1A69" w:rsidRDefault="00513EB4" w:rsidP="0089456C">
            <w:pPr>
              <w:jc w:val="center"/>
              <w:rPr>
                <w:b/>
              </w:rPr>
            </w:pPr>
            <w:r w:rsidRPr="00BF1A69">
              <w:rPr>
                <w:b/>
              </w:rPr>
              <w:t>Action</w:t>
            </w:r>
          </w:p>
        </w:tc>
        <w:tc>
          <w:tcPr>
            <w:tcW w:w="992" w:type="dxa"/>
            <w:vAlign w:val="center"/>
          </w:tcPr>
          <w:p w:rsidR="00513EB4" w:rsidRPr="00BF1A69" w:rsidRDefault="00513EB4" w:rsidP="0089456C">
            <w:pPr>
              <w:jc w:val="center"/>
              <w:rPr>
                <w:b/>
              </w:rPr>
            </w:pPr>
            <w:r w:rsidRPr="00BF1A69">
              <w:rPr>
                <w:b/>
              </w:rPr>
              <w:t>By</w:t>
            </w:r>
          </w:p>
        </w:tc>
      </w:tr>
      <w:tr w:rsidR="00513EB4" w:rsidTr="0089456C">
        <w:tc>
          <w:tcPr>
            <w:tcW w:w="7933" w:type="dxa"/>
            <w:gridSpan w:val="3"/>
          </w:tcPr>
          <w:p w:rsidR="00513EB4" w:rsidRDefault="00513EB4" w:rsidP="0089456C">
            <w:pPr>
              <w:jc w:val="left"/>
            </w:pPr>
            <w:r>
              <w:t>Carried over from previous meeting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513EB4" w:rsidRDefault="00513EB4" w:rsidP="0089456C">
            <w:r>
              <w:t>S</w:t>
            </w:r>
            <w:r w:rsidRPr="00A73F13">
              <w:t xml:space="preserve">end out a questionnaire </w:t>
            </w:r>
            <w:r>
              <w:t xml:space="preserve">related to construction stresses </w:t>
            </w:r>
            <w:r w:rsidRPr="00A73F13">
              <w:t>asking UKOPA members to identify the strain data was currently available and the data that could be made available from the relevant inspection c</w:t>
            </w:r>
            <w:r>
              <w:t xml:space="preserve">ompanies, and at what cost.  </w:t>
            </w:r>
          </w:p>
          <w:p w:rsidR="00513EB4" w:rsidRDefault="00513EB4" w:rsidP="0089456C"/>
          <w:p w:rsidR="00513EB4" w:rsidRDefault="00513EB4" w:rsidP="0089456C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>
            <w:pPr>
              <w:rPr>
                <w:b/>
              </w:rPr>
            </w:pPr>
          </w:p>
          <w:p w:rsidR="00513EB4" w:rsidRDefault="00513EB4" w:rsidP="0089456C">
            <w:r>
              <w:t>JH reported that assessment of construction stresses had been included in a list of topics that had been sent to Newcastle University for potential items for a student project.</w:t>
            </w:r>
          </w:p>
          <w:p w:rsidR="00882FAA" w:rsidRDefault="00882FAA" w:rsidP="0089456C"/>
          <w:p w:rsidR="00513EB4" w:rsidRPr="00513EB4" w:rsidRDefault="00513EB4" w:rsidP="0089456C">
            <w:r>
              <w:t>BD agreed to send JH a copy of th</w:t>
            </w:r>
            <w:r w:rsidR="00847CC8">
              <w:t xml:space="preserve">e PII strain report for the </w:t>
            </w:r>
            <w:proofErr w:type="spellStart"/>
            <w:r w:rsidR="00847CC8">
              <w:t>Edmo</w:t>
            </w:r>
            <w:r>
              <w:t>ndsle</w:t>
            </w:r>
            <w:r w:rsidR="00882FAA">
              <w:t>y</w:t>
            </w:r>
            <w:proofErr w:type="spellEnd"/>
            <w:r w:rsidR="00882FAA">
              <w:t xml:space="preserve"> to Humber</w:t>
            </w:r>
            <w:r>
              <w:t xml:space="preserve"> pipeline.  JH would also ask UKOPA members if they had any similar </w:t>
            </w:r>
            <w:r w:rsidR="00882FAA">
              <w:t xml:space="preserve">pipeline </w:t>
            </w:r>
            <w:r>
              <w:t>reports.</w:t>
            </w:r>
          </w:p>
          <w:p w:rsidR="00513EB4" w:rsidRDefault="00513EB4" w:rsidP="0089456C"/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JH</w:t>
            </w:r>
          </w:p>
        </w:tc>
      </w:tr>
      <w:tr w:rsidR="00513EB4" w:rsidTr="0089456C">
        <w:tc>
          <w:tcPr>
            <w:tcW w:w="7933" w:type="dxa"/>
            <w:gridSpan w:val="3"/>
          </w:tcPr>
          <w:p w:rsidR="00513EB4" w:rsidRPr="00F84080" w:rsidRDefault="00513EB4" w:rsidP="0089456C">
            <w:pPr>
              <w:jc w:val="left"/>
              <w:rPr>
                <w:b/>
              </w:rPr>
            </w:pPr>
            <w:r w:rsidRPr="00F84080">
              <w:rPr>
                <w:b/>
              </w:rPr>
              <w:t>Actions from this meeting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513EB4" w:rsidRDefault="00513EB4" w:rsidP="0089456C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Draft a paper for the Board that discussed the pros and cons of each of the potential options for becoming a member of PRCI.</w:t>
            </w:r>
          </w:p>
          <w:p w:rsidR="00513EB4" w:rsidRDefault="00513EB4" w:rsidP="0089456C">
            <w:pPr>
              <w:rPr>
                <w:rFonts w:ascii="Calibri" w:hAnsi="Calibri"/>
                <w:sz w:val="22"/>
                <w:lang w:val="en-US"/>
              </w:rPr>
            </w:pPr>
          </w:p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>
            <w:pPr>
              <w:rPr>
                <w:rFonts w:ascii="Calibri" w:hAnsi="Calibri"/>
                <w:sz w:val="22"/>
                <w:lang w:val="en-US"/>
              </w:rPr>
            </w:pPr>
          </w:p>
          <w:p w:rsidR="00513EB4" w:rsidRDefault="00513EB4" w:rsidP="0089456C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A paper had been drafted and send to the Board for their consideration.</w:t>
            </w:r>
            <w:r w:rsidR="00882FAA">
              <w:rPr>
                <w:rFonts w:ascii="Calibri" w:hAnsi="Calibri"/>
                <w:sz w:val="22"/>
                <w:lang w:val="en-US"/>
              </w:rPr>
              <w:t xml:space="preserve">  </w:t>
            </w:r>
          </w:p>
          <w:p w:rsidR="00513EB4" w:rsidRPr="00A63301" w:rsidRDefault="00513EB4" w:rsidP="0089456C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513EB4" w:rsidRDefault="00513EB4" w:rsidP="0089456C">
            <w:r>
              <w:t>Arrange a</w:t>
            </w:r>
            <w:r w:rsidRPr="00074E6F">
              <w:t xml:space="preserve"> meeting and to </w:t>
            </w:r>
            <w:r>
              <w:t xml:space="preserve">develop some seismic screening rules and </w:t>
            </w:r>
            <w:r w:rsidRPr="00074E6F">
              <w:t>invite Geoff Leach, David McCollum and JH and any other members of the group that wanted to participate.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/>
          <w:p w:rsidR="00513EB4" w:rsidRDefault="00513EB4" w:rsidP="0089456C">
            <w:r>
              <w:lastRenderedPageBreak/>
              <w:t>This meeting had been deferred pending data being available from Action 5 below.  It was agreed that now that some additional data was available that it would be appropriate to now hold this meeting.</w:t>
            </w:r>
          </w:p>
          <w:p w:rsidR="00513EB4" w:rsidRDefault="00513EB4" w:rsidP="0089456C"/>
          <w:p w:rsidR="00513EB4" w:rsidRDefault="00513EB4" w:rsidP="0089456C">
            <w:r w:rsidRPr="00074E6F">
              <w:t xml:space="preserve">  </w:t>
            </w:r>
          </w:p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lastRenderedPageBreak/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lastRenderedPageBreak/>
              <w:t>4</w:t>
            </w:r>
          </w:p>
        </w:tc>
        <w:tc>
          <w:tcPr>
            <w:tcW w:w="6237" w:type="dxa"/>
          </w:tcPr>
          <w:p w:rsidR="00513EB4" w:rsidRDefault="00513EB4" w:rsidP="0089456C">
            <w:r>
              <w:t>S</w:t>
            </w:r>
            <w:r w:rsidRPr="00074E6F">
              <w:t>ubmit an expenditure request to cover the additional work req</w:t>
            </w:r>
            <w:r>
              <w:t>uired from Geoff to support the</w:t>
            </w:r>
            <w:r w:rsidRPr="00074E6F">
              <w:t xml:space="preserve"> </w:t>
            </w:r>
            <w:r>
              <w:t xml:space="preserve">meeting in 3 above. 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/>
          <w:p w:rsidR="00513EB4" w:rsidRDefault="00513EB4" w:rsidP="0089456C">
            <w:r>
              <w:t>JH agreed that she would submit an expenditure request now that it had been agreed that the meting should go ahead.</w:t>
            </w:r>
          </w:p>
          <w:p w:rsidR="00513EB4" w:rsidRDefault="00513EB4" w:rsidP="0089456C"/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JH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513EB4" w:rsidRDefault="00513EB4" w:rsidP="0089456C">
            <w:r>
              <w:t xml:space="preserve">Geoff Leach </w:t>
            </w:r>
            <w:r w:rsidRPr="004A24B9">
              <w:t xml:space="preserve">to provide a summary of </w:t>
            </w:r>
            <w:r>
              <w:t xml:space="preserve">seismic </w:t>
            </w:r>
            <w:r w:rsidRPr="004A24B9">
              <w:t>questions for EPRG members</w:t>
            </w:r>
            <w:r>
              <w:t xml:space="preserve"> for RO</w:t>
            </w:r>
            <w:r w:rsidRPr="004A24B9">
              <w:t xml:space="preserve"> in order for UKOPA to understand what was currently being done in Northern Europe</w:t>
            </w:r>
            <w:r>
              <w:t xml:space="preserve">. </w:t>
            </w:r>
          </w:p>
          <w:p w:rsidR="00513EB4" w:rsidRDefault="00513EB4" w:rsidP="0089456C"/>
          <w:p w:rsid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513EB4">
            <w:pPr>
              <w:rPr>
                <w:b/>
              </w:rPr>
            </w:pPr>
          </w:p>
          <w:p w:rsidR="00513EB4" w:rsidRPr="00513EB4" w:rsidRDefault="00513EB4" w:rsidP="00513EB4">
            <w:r>
              <w:t>This questionnaire had been produced and circulated.</w:t>
            </w:r>
            <w:r w:rsidR="00882FAA">
              <w:t xml:space="preserve"> </w:t>
            </w:r>
            <w:r w:rsidR="00882FAA" w:rsidRPr="00882FAA">
              <w:rPr>
                <w:b/>
              </w:rPr>
              <w:t>Complete</w:t>
            </w:r>
          </w:p>
          <w:p w:rsidR="00513EB4" w:rsidRDefault="00513EB4" w:rsidP="0089456C"/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GL and RO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513EB4" w:rsidRDefault="00513EB4" w:rsidP="0089456C">
            <w:pPr>
              <w:rPr>
                <w:b/>
              </w:rPr>
            </w:pPr>
            <w:r>
              <w:t xml:space="preserve">Include a review of requirements for developing a ground movement good practice guide as part of the seismic risk meeting (see item 3 above). </w:t>
            </w:r>
          </w:p>
          <w:p w:rsidR="00513EB4" w:rsidRDefault="00513EB4" w:rsidP="0089456C">
            <w:pPr>
              <w:jc w:val="left"/>
            </w:pPr>
          </w:p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>
            <w:pPr>
              <w:jc w:val="left"/>
            </w:pPr>
          </w:p>
          <w:p w:rsidR="00513EB4" w:rsidRDefault="00513EB4" w:rsidP="0089456C">
            <w:pPr>
              <w:jc w:val="left"/>
            </w:pPr>
            <w:r>
              <w:t xml:space="preserve">NJ agreed to include an item on ground movement on the agenda of the </w:t>
            </w:r>
            <w:r w:rsidR="00882FAA">
              <w:t xml:space="preserve">seismic risk </w:t>
            </w:r>
            <w:r>
              <w:t>mee</w:t>
            </w:r>
            <w:r w:rsidR="00882FAA">
              <w:t>ting</w:t>
            </w:r>
            <w:r>
              <w:t xml:space="preserve">.  BD </w:t>
            </w:r>
            <w:r w:rsidR="005D73F6">
              <w:t>supported the progression of this work.</w:t>
            </w:r>
          </w:p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513EB4" w:rsidRDefault="00513EB4" w:rsidP="0089456C">
            <w:pPr>
              <w:rPr>
                <w:b/>
              </w:rPr>
            </w:pPr>
            <w:r>
              <w:t xml:space="preserve">Send NJ a copy of the document that had been developed by Rod McConnell on collecting and reporting fault data for formatting into a good practice guide. </w:t>
            </w:r>
          </w:p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/>
          <w:p w:rsidR="00513EB4" w:rsidRDefault="005D73F6" w:rsidP="0089456C">
            <w:r>
              <w:t xml:space="preserve">JH agreed to send NJ a copy of the FR1 form that had been developed by </w:t>
            </w:r>
            <w:proofErr w:type="spellStart"/>
            <w:r>
              <w:t>RMcC</w:t>
            </w:r>
            <w:proofErr w:type="spellEnd"/>
            <w:r>
              <w:t xml:space="preserve"> for formatting into a good practice document.</w:t>
            </w:r>
          </w:p>
          <w:p w:rsidR="005D73F6" w:rsidRDefault="005D73F6" w:rsidP="0089456C"/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t>JH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513EB4" w:rsidRDefault="00513EB4" w:rsidP="0089456C">
            <w:r>
              <w:t>NJ and GP agreed to meet up to review the PIWG Strategy document and the Operation and Maintenance document and to present a proposal to the group for the September meeting.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/>
          <w:p w:rsidR="005D73F6" w:rsidRDefault="005D73F6" w:rsidP="0089456C">
            <w:r>
              <w:t xml:space="preserve">NJ reported that he had met up with GP and they had agreed to now produce 2 documents, a document that would give an overview of the UKOPA strategy and a separate document that </w:t>
            </w:r>
            <w:r w:rsidR="00882FAA">
              <w:t xml:space="preserve">would </w:t>
            </w:r>
            <w:r>
              <w:t xml:space="preserve">cover integrity management.  NJ said that initial draft documents should be available for comment </w:t>
            </w:r>
            <w:r>
              <w:lastRenderedPageBreak/>
              <w:t xml:space="preserve">in time for the next </w:t>
            </w:r>
            <w:r w:rsidR="00882FAA">
              <w:t xml:space="preserve">PIWG </w:t>
            </w:r>
            <w:r>
              <w:t>meeting which was being planned for November.</w:t>
            </w:r>
          </w:p>
          <w:p w:rsidR="00513EB4" w:rsidRPr="00EB3091" w:rsidRDefault="00513EB4" w:rsidP="0089456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:rsidR="00513EB4" w:rsidRPr="00066A92" w:rsidRDefault="00513EB4" w:rsidP="0089456C">
            <w:pPr>
              <w:jc w:val="center"/>
            </w:pPr>
            <w:r w:rsidRPr="00066A92">
              <w:lastRenderedPageBreak/>
              <w:t>NJ and GP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lastRenderedPageBreak/>
              <w:t>9</w:t>
            </w:r>
          </w:p>
        </w:tc>
        <w:tc>
          <w:tcPr>
            <w:tcW w:w="6237" w:type="dxa"/>
          </w:tcPr>
          <w:p w:rsidR="00513EB4" w:rsidRDefault="00513EB4" w:rsidP="0089456C">
            <w:r>
              <w:t xml:space="preserve">Update the work programme tracking sheet to include the additional items identified by GP to reflect the February UKOPA strategy review.  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Pr="00F84080" w:rsidRDefault="00513EB4" w:rsidP="0089456C">
            <w:pPr>
              <w:rPr>
                <w:b/>
              </w:rPr>
            </w:pPr>
          </w:p>
          <w:p w:rsidR="00513EB4" w:rsidRDefault="005D73F6" w:rsidP="0089456C">
            <w:r>
              <w:t>NJ reported that this would be done for the next meeting and co-ordinated with the above action.</w:t>
            </w:r>
          </w:p>
          <w:p w:rsidR="005D73F6" w:rsidRDefault="005D73F6" w:rsidP="0089456C"/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10</w:t>
            </w:r>
          </w:p>
          <w:p w:rsidR="00513EB4" w:rsidRDefault="00513EB4" w:rsidP="0089456C">
            <w:pPr>
              <w:jc w:val="center"/>
            </w:pPr>
          </w:p>
        </w:tc>
        <w:tc>
          <w:tcPr>
            <w:tcW w:w="6237" w:type="dxa"/>
          </w:tcPr>
          <w:p w:rsidR="00513EB4" w:rsidRDefault="00513EB4" w:rsidP="0089456C">
            <w:r>
              <w:t xml:space="preserve">Provide a copy of the table that had been included in Pipeline International that summarised how to manage </w:t>
            </w:r>
            <w:proofErr w:type="spellStart"/>
            <w:r>
              <w:t>unpigable</w:t>
            </w:r>
            <w:proofErr w:type="spellEnd"/>
            <w:r>
              <w:t xml:space="preserve"> pipelines.</w:t>
            </w:r>
          </w:p>
          <w:p w:rsidR="00513EB4" w:rsidRDefault="00513EB4" w:rsidP="0089456C"/>
          <w:p w:rsid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D73F6" w:rsidRDefault="005D73F6" w:rsidP="00513EB4">
            <w:pPr>
              <w:rPr>
                <w:b/>
              </w:rPr>
            </w:pPr>
          </w:p>
          <w:p w:rsidR="005D73F6" w:rsidRDefault="005D73F6" w:rsidP="00513EB4">
            <w:r>
              <w:t>NL had circulated the Pipelines International document.</w:t>
            </w:r>
          </w:p>
          <w:p w:rsidR="005D73F6" w:rsidRDefault="005D73F6" w:rsidP="00513EB4"/>
          <w:p w:rsidR="005D73F6" w:rsidRPr="005D73F6" w:rsidRDefault="005D73F6" w:rsidP="00513EB4">
            <w:r>
              <w:t xml:space="preserve">It was agreed that it would be useful to have good practice guide covering the management of </w:t>
            </w:r>
            <w:proofErr w:type="spellStart"/>
            <w:r>
              <w:t>unpigable</w:t>
            </w:r>
            <w:proofErr w:type="spellEnd"/>
            <w:r>
              <w:t xml:space="preserve"> pipelines.  NJ agreed to add this to the list of good practice documents being produced by the group and </w:t>
            </w:r>
            <w:r w:rsidR="00882FAA">
              <w:t>to add it to the agenda of the n</w:t>
            </w:r>
            <w:r>
              <w:t>ext meeting.</w:t>
            </w:r>
          </w:p>
          <w:p w:rsidR="00513EB4" w:rsidRDefault="00513EB4" w:rsidP="0089456C">
            <w:pPr>
              <w:rPr>
                <w:b/>
              </w:rPr>
            </w:pPr>
            <w:r>
              <w:t xml:space="preserve">   </w:t>
            </w:r>
          </w:p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NL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11</w:t>
            </w:r>
          </w:p>
        </w:tc>
        <w:tc>
          <w:tcPr>
            <w:tcW w:w="6237" w:type="dxa"/>
          </w:tcPr>
          <w:p w:rsidR="00513EB4" w:rsidRDefault="00513EB4" w:rsidP="0089456C">
            <w:r>
              <w:t>Develop an expenditure request for the initial stage of the John Dyson Solar Farm and Wind Farm work for Board approval.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D73F6" w:rsidP="0089456C">
            <w:r>
              <w:t xml:space="preserve"> </w:t>
            </w:r>
          </w:p>
          <w:p w:rsidR="005D73F6" w:rsidRDefault="00882FAA" w:rsidP="0089456C">
            <w:r>
              <w:t>A</w:t>
            </w:r>
            <w:r w:rsidR="005D73F6">
              <w:t xml:space="preserve">n expenditure request for the initial phase of work had been produced and agreed by the UKOPA Board. </w:t>
            </w:r>
            <w:r>
              <w:t xml:space="preserve"> </w:t>
            </w:r>
            <w:r w:rsidRPr="00882FAA">
              <w:rPr>
                <w:b/>
              </w:rPr>
              <w:t>Complete</w:t>
            </w:r>
            <w:r>
              <w:t xml:space="preserve"> </w:t>
            </w:r>
          </w:p>
          <w:p w:rsidR="005D73F6" w:rsidRDefault="005D73F6" w:rsidP="0089456C"/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12</w:t>
            </w:r>
          </w:p>
        </w:tc>
        <w:tc>
          <w:tcPr>
            <w:tcW w:w="6237" w:type="dxa"/>
          </w:tcPr>
          <w:p w:rsidR="00513EB4" w:rsidRDefault="00513EB4" w:rsidP="0089456C">
            <w:r>
              <w:t xml:space="preserve">Request a copy of Dr P </w:t>
            </w:r>
            <w:proofErr w:type="spellStart"/>
            <w:r>
              <w:t>Lydon’s</w:t>
            </w:r>
            <w:proofErr w:type="spellEnd"/>
            <w:r>
              <w:t xml:space="preserve"> (who had been identified to undertake an independent review of John Dyson’s work) CV.</w:t>
            </w:r>
          </w:p>
          <w:p w:rsidR="00513EB4" w:rsidRDefault="00513EB4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/>
          <w:p w:rsidR="00513EB4" w:rsidRDefault="005D73F6" w:rsidP="0089456C">
            <w:r>
              <w:t xml:space="preserve">A copy of Dr </w:t>
            </w:r>
            <w:proofErr w:type="spellStart"/>
            <w:r>
              <w:t>Lydon’s</w:t>
            </w:r>
            <w:proofErr w:type="spellEnd"/>
            <w:r>
              <w:t xml:space="preserve"> CV had been provided and it had been agreed that he was sufficiently experienced to be able to independently review John Dyson’s work.</w:t>
            </w:r>
            <w:r w:rsidR="00882FAA">
              <w:t xml:space="preserve">  </w:t>
            </w:r>
            <w:r w:rsidR="00882FAA" w:rsidRPr="00882FAA">
              <w:rPr>
                <w:b/>
              </w:rPr>
              <w:t>Complete</w:t>
            </w:r>
          </w:p>
          <w:p w:rsidR="00513EB4" w:rsidRDefault="00513EB4" w:rsidP="0089456C">
            <w:r>
              <w:t xml:space="preserve"> </w:t>
            </w: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NJ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13</w:t>
            </w:r>
          </w:p>
        </w:tc>
        <w:tc>
          <w:tcPr>
            <w:tcW w:w="6237" w:type="dxa"/>
          </w:tcPr>
          <w:p w:rsidR="00513EB4" w:rsidRDefault="00513EB4" w:rsidP="0089456C">
            <w:r>
              <w:t xml:space="preserve">Produce the draft Dent report for review prior to the next meeting in September.  </w:t>
            </w:r>
          </w:p>
          <w:p w:rsidR="005D73F6" w:rsidRDefault="005D73F6" w:rsidP="0089456C"/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>
            <w:pPr>
              <w:jc w:val="left"/>
            </w:pPr>
          </w:p>
          <w:p w:rsidR="00513EB4" w:rsidRDefault="005D73F6" w:rsidP="0089456C">
            <w:pPr>
              <w:jc w:val="left"/>
            </w:pPr>
            <w:r>
              <w:t xml:space="preserve">JH had circulated a copy of the report prior to the meeting.  JH confirmed that version control had been applied to the spreadsheet calculator.  It was agreed that this would be </w:t>
            </w:r>
            <w:r>
              <w:lastRenderedPageBreak/>
              <w:t xml:space="preserve">included on the agenda of the next meeting </w:t>
            </w:r>
            <w:r w:rsidR="00992F2A">
              <w:t>to ensure that the tool had been widely tested and feedback provided from members.</w:t>
            </w:r>
          </w:p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lastRenderedPageBreak/>
              <w:t>JH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lastRenderedPageBreak/>
              <w:t>14</w:t>
            </w:r>
          </w:p>
        </w:tc>
        <w:tc>
          <w:tcPr>
            <w:tcW w:w="6237" w:type="dxa"/>
          </w:tcPr>
          <w:p w:rsidR="00513EB4" w:rsidRDefault="00513EB4" w:rsidP="0089456C">
            <w:pPr>
              <w:jc w:val="left"/>
            </w:pPr>
            <w:r>
              <w:t xml:space="preserve">Resubmit the weld quality proposal to the Board for approval with a clearer explanation of the benefits of the work to UKOPA members.  </w:t>
            </w:r>
          </w:p>
          <w:p w:rsidR="00513EB4" w:rsidRDefault="00513EB4" w:rsidP="0089456C">
            <w:pPr>
              <w:jc w:val="left"/>
            </w:pPr>
          </w:p>
          <w:p w:rsidR="00513EB4" w:rsidRP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513EB4" w:rsidRDefault="00513EB4" w:rsidP="0089456C">
            <w:pPr>
              <w:jc w:val="left"/>
            </w:pPr>
          </w:p>
          <w:p w:rsidR="00992F2A" w:rsidRDefault="00992F2A" w:rsidP="0089456C">
            <w:pPr>
              <w:jc w:val="left"/>
            </w:pPr>
            <w:r>
              <w:t>JH confirmed that the proposal had been updated and the document had been submitted for approval by the Board at their October meeting.</w:t>
            </w:r>
            <w:r w:rsidR="00882FAA">
              <w:t xml:space="preserve">  </w:t>
            </w:r>
            <w:r w:rsidR="00882FAA" w:rsidRPr="00882FAA">
              <w:rPr>
                <w:b/>
              </w:rPr>
              <w:t>Complete</w:t>
            </w:r>
          </w:p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JH and GP</w:t>
            </w:r>
          </w:p>
        </w:tc>
      </w:tr>
      <w:tr w:rsidR="00513EB4" w:rsidTr="0089456C">
        <w:tc>
          <w:tcPr>
            <w:tcW w:w="704" w:type="dxa"/>
          </w:tcPr>
          <w:p w:rsidR="00513EB4" w:rsidRDefault="00513EB4" w:rsidP="0089456C">
            <w:pPr>
              <w:jc w:val="center"/>
            </w:pPr>
            <w:r>
              <w:t>15</w:t>
            </w:r>
          </w:p>
        </w:tc>
        <w:tc>
          <w:tcPr>
            <w:tcW w:w="6237" w:type="dxa"/>
          </w:tcPr>
          <w:p w:rsidR="00513EB4" w:rsidRDefault="00513EB4" w:rsidP="0089456C">
            <w:pPr>
              <w:jc w:val="left"/>
            </w:pPr>
            <w:r>
              <w:t xml:space="preserve">Provide a copy of the DNV GL Valve Life Management proposal for circulation around UKOPA members.  </w:t>
            </w:r>
          </w:p>
          <w:p w:rsidR="00513EB4" w:rsidRDefault="00513EB4" w:rsidP="0089456C">
            <w:pPr>
              <w:jc w:val="left"/>
            </w:pPr>
          </w:p>
          <w:p w:rsidR="00513EB4" w:rsidRDefault="00513EB4" w:rsidP="00513EB4">
            <w:pPr>
              <w:rPr>
                <w:b/>
              </w:rPr>
            </w:pPr>
            <w:r w:rsidRPr="00513EB4">
              <w:rPr>
                <w:b/>
              </w:rPr>
              <w:t xml:space="preserve">Update from </w:t>
            </w:r>
            <w:proofErr w:type="spellStart"/>
            <w:r w:rsidRPr="00513EB4">
              <w:rPr>
                <w:b/>
              </w:rPr>
              <w:t>telcon</w:t>
            </w:r>
            <w:proofErr w:type="spellEnd"/>
            <w:r w:rsidRPr="00513EB4">
              <w:rPr>
                <w:b/>
              </w:rPr>
              <w:t xml:space="preserve"> on the 30-09-15</w:t>
            </w:r>
          </w:p>
          <w:p w:rsidR="00992F2A" w:rsidRDefault="00992F2A" w:rsidP="00513EB4">
            <w:pPr>
              <w:rPr>
                <w:b/>
              </w:rPr>
            </w:pPr>
          </w:p>
          <w:p w:rsidR="00992F2A" w:rsidRPr="00992F2A" w:rsidRDefault="00992F2A" w:rsidP="00513EB4">
            <w:r>
              <w:t>BM had circulated a copy of this document.</w:t>
            </w:r>
            <w:r w:rsidR="00882FAA">
              <w:t xml:space="preserve">  </w:t>
            </w:r>
            <w:r w:rsidR="00882FAA" w:rsidRPr="00882FAA">
              <w:rPr>
                <w:b/>
              </w:rPr>
              <w:t>Complete</w:t>
            </w:r>
          </w:p>
          <w:p w:rsidR="00513EB4" w:rsidRDefault="00513EB4" w:rsidP="0089456C">
            <w:pPr>
              <w:jc w:val="left"/>
            </w:pPr>
          </w:p>
          <w:p w:rsidR="00513EB4" w:rsidRDefault="00513EB4" w:rsidP="0089456C">
            <w:pPr>
              <w:jc w:val="left"/>
            </w:pPr>
          </w:p>
        </w:tc>
        <w:tc>
          <w:tcPr>
            <w:tcW w:w="992" w:type="dxa"/>
            <w:vAlign w:val="center"/>
          </w:tcPr>
          <w:p w:rsidR="00513EB4" w:rsidRDefault="00513EB4" w:rsidP="0089456C">
            <w:pPr>
              <w:jc w:val="center"/>
            </w:pPr>
            <w:r>
              <w:t>BM</w:t>
            </w:r>
          </w:p>
        </w:tc>
      </w:tr>
    </w:tbl>
    <w:p w:rsidR="00095666" w:rsidRDefault="00095666"/>
    <w:p w:rsidR="00882FAA" w:rsidRDefault="00882FAA"/>
    <w:p w:rsidR="00882FAA" w:rsidRDefault="00882FAA">
      <w:r>
        <w:t>N Jackson 30-09-15</w:t>
      </w:r>
    </w:p>
    <w:sectPr w:rsidR="0088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102"/>
    <w:multiLevelType w:val="multilevel"/>
    <w:tmpl w:val="283CEB56"/>
    <w:lvl w:ilvl="0">
      <w:start w:val="1"/>
      <w:numFmt w:val="decimal"/>
      <w:pStyle w:val="Heading1"/>
      <w:lvlText w:val="%1"/>
      <w:lvlJc w:val="left"/>
      <w:pPr>
        <w:ind w:left="426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B4"/>
    <w:rsid w:val="00095666"/>
    <w:rsid w:val="001B2CA8"/>
    <w:rsid w:val="004C2D7C"/>
    <w:rsid w:val="00513EB4"/>
    <w:rsid w:val="005D73F6"/>
    <w:rsid w:val="00847CC8"/>
    <w:rsid w:val="00882FAA"/>
    <w:rsid w:val="009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72933-AFEB-4A00-B1A4-BDDCD8B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EB4"/>
    <w:pPr>
      <w:spacing w:after="0" w:line="240" w:lineRule="auto"/>
      <w:jc w:val="both"/>
    </w:pPr>
    <w:rPr>
      <w:rFonts w:ascii="Verdana" w:eastAsia="Times New Roman" w:hAnsi="Verdana" w:cs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EB4"/>
    <w:pPr>
      <w:keepNext/>
      <w:numPr>
        <w:numId w:val="1"/>
      </w:numPr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13EB4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4C2D7C"/>
    <w:pPr>
      <w:keepNext/>
      <w:numPr>
        <w:ilvl w:val="2"/>
        <w:numId w:val="2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3EB4"/>
    <w:rPr>
      <w:rFonts w:ascii="Verdana" w:eastAsia="Times New Roman" w:hAnsi="Verdana" w:cs="Arial"/>
      <w:b/>
      <w:bCs/>
      <w:kern w:val="3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13EB4"/>
    <w:rPr>
      <w:rFonts w:ascii="Verdana" w:eastAsia="Times New Roman" w:hAnsi="Verdana" w:cs="Arial"/>
      <w:b/>
      <w:bCs/>
      <w:kern w:val="32"/>
      <w:sz w:val="20"/>
      <w:szCs w:val="20"/>
    </w:rPr>
  </w:style>
  <w:style w:type="table" w:styleId="TableGrid">
    <w:name w:val="Table Grid"/>
    <w:basedOn w:val="TableNormal"/>
    <w:uiPriority w:val="59"/>
    <w:rsid w:val="0051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4C2D7C"/>
    <w:rPr>
      <w:rFonts w:ascii="Verdana" w:eastAsia="Times New Roman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4C2D7C"/>
    <w:pPr>
      <w:numPr>
        <w:numId w:val="2"/>
      </w:numPr>
    </w:pPr>
    <w:rPr>
      <w:rFonts w:cs="Times New Roman"/>
      <w:lang w:eastAsia="en-US"/>
    </w:rPr>
  </w:style>
  <w:style w:type="paragraph" w:styleId="BodyText">
    <w:name w:val="Body Text"/>
    <w:basedOn w:val="Normal"/>
    <w:link w:val="BodyTextChar"/>
    <w:qFormat/>
    <w:rsid w:val="004C2D7C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C2D7C"/>
    <w:rPr>
      <w:rFonts w:ascii="Verdana" w:eastAsia="Times New Roman" w:hAnsi="Verdana" w:cs="Ari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3</cp:revision>
  <dcterms:created xsi:type="dcterms:W3CDTF">2015-09-30T09:45:00Z</dcterms:created>
  <dcterms:modified xsi:type="dcterms:W3CDTF">2015-10-16T07:41:00Z</dcterms:modified>
</cp:coreProperties>
</file>