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82" w:rsidRDefault="007B2A82" w:rsidP="007B2A82">
      <w:pPr>
        <w:pStyle w:val="PlainText"/>
      </w:pPr>
      <w:r>
        <w:t>On 30/10/2015 12:01, "Cosham, Andrew" &lt;</w:t>
      </w:r>
      <w:hyperlink r:id="rId4" w:history="1">
        <w:r>
          <w:rPr>
            <w:rStyle w:val="Hyperlink"/>
          </w:rPr>
          <w:t>Andrew.Cosham@atkinsglobal.com</w:t>
        </w:r>
      </w:hyperlink>
      <w:r>
        <w:t>&gt;</w:t>
      </w:r>
    </w:p>
    <w:p w:rsidR="007B2A82" w:rsidRDefault="007B2A82" w:rsidP="007B2A82">
      <w:pPr>
        <w:pStyle w:val="PlainText"/>
      </w:pPr>
      <w:proofErr w:type="gramStart"/>
      <w:r>
        <w:t>wrote</w:t>
      </w:r>
      <w:proofErr w:type="gramEnd"/>
      <w:r>
        <w:t>: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Jane, Gary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WEE/37 Acceptance levels for flaws in welds is about to embark on a five year mission to revise and update BS 7910:2013.  The next meeting is 24 November.  The curren</w:t>
      </w:r>
      <w:r>
        <w:t xml:space="preserve">t version of the standard is BS </w:t>
      </w:r>
      <w:r>
        <w:t>7910:2013+A1:2015 Incorporating Corrigendum No. 1.  The amendment and corrigendum are available for free for those who purchased the original.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In my capacity as the nominated representative of the UK Onshore Pipeline Operators' Association, are there are important issues that I should be aware of?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For information, there are several proposed activities that are directly or indirectly related to pipelines: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1. A new annex on strain-based analysis.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2. Improvements to the solutions in Annexes M and P.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3. Improvements to the guidance on corrosion-fatigue (crack growth rates,</w:t>
      </w:r>
      <w:r w:rsidR="00B23DB2">
        <w:t xml:space="preserve"> </w:t>
      </w:r>
      <w:bookmarkStart w:id="0" w:name="_GoBack"/>
      <w:bookmarkEnd w:id="0"/>
      <w:r>
        <w:t>etc.)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4. Improvements to the guidance in Annex G (Locally Thinned Areas) for the assessment of corrosion subject to significant through-wall bending stresses, e.g. nozzles, tees, etc.</w:t>
      </w:r>
    </w:p>
    <w:p w:rsidR="007B2A82" w:rsidRDefault="007B2A82" w:rsidP="007B2A82">
      <w:pPr>
        <w:pStyle w:val="PlainText"/>
      </w:pPr>
    </w:p>
    <w:p w:rsidR="007B2A82" w:rsidRDefault="007B2A82" w:rsidP="007B2A82">
      <w:pPr>
        <w:pStyle w:val="PlainText"/>
      </w:pPr>
      <w:r>
        <w:t>Andrew</w:t>
      </w:r>
    </w:p>
    <w:p w:rsidR="00095666" w:rsidRDefault="00095666"/>
    <w:sectPr w:rsidR="00095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82"/>
    <w:rsid w:val="00095666"/>
    <w:rsid w:val="007B2A82"/>
    <w:rsid w:val="00B2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63555-DC9A-4F56-A287-27F83C4D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A8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2A82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2A82"/>
    <w:rPr>
      <w:rFonts w:ascii="Calibr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w.Cosham@atkin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2</cp:revision>
  <dcterms:created xsi:type="dcterms:W3CDTF">2015-11-19T07:41:00Z</dcterms:created>
  <dcterms:modified xsi:type="dcterms:W3CDTF">2015-11-19T07:44:00Z</dcterms:modified>
</cp:coreProperties>
</file>