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CD8" w:rsidRDefault="00B24CD8" w:rsidP="00B24CD8">
      <w:pPr>
        <w:rPr>
          <w:rFonts w:ascii="Calibri" w:eastAsia="Times New Roman" w:hAnsi="Calibri"/>
          <w:sz w:val="22"/>
          <w:szCs w:val="22"/>
          <w:lang w:val="en-US"/>
        </w:rPr>
      </w:pPr>
      <w:bookmarkStart w:id="0" w:name="_MailOriginal"/>
      <w:r>
        <w:rPr>
          <w:rFonts w:ascii="Calibri" w:eastAsia="Times New Roman" w:hAnsi="Calibri"/>
          <w:b/>
          <w:bCs/>
          <w:sz w:val="22"/>
          <w:szCs w:val="22"/>
          <w:lang w:val="en-US"/>
        </w:rPr>
        <w:t>From:</w:t>
      </w:r>
      <w:r>
        <w:rPr>
          <w:rFonts w:ascii="Calibri" w:eastAsia="Times New Roman" w:hAnsi="Calibri"/>
          <w:sz w:val="22"/>
          <w:szCs w:val="22"/>
          <w:lang w:val="en-US"/>
        </w:rPr>
        <w:t xml:space="preserve"> Peter Davis [mailto:peterdavis@bpa.co.uk] </w:t>
      </w:r>
      <w:r>
        <w:rPr>
          <w:rFonts w:ascii="Calibri" w:eastAsia="Times New Roman" w:hAnsi="Calibri"/>
          <w:sz w:val="22"/>
          <w:szCs w:val="22"/>
          <w:lang w:val="en-US"/>
        </w:rPr>
        <w:br/>
      </w:r>
      <w:r>
        <w:rPr>
          <w:rFonts w:ascii="Calibri" w:eastAsia="Times New Roman" w:hAnsi="Calibri"/>
          <w:b/>
          <w:bCs/>
          <w:sz w:val="22"/>
          <w:szCs w:val="22"/>
          <w:lang w:val="en-US"/>
        </w:rPr>
        <w:t>Sent:</w:t>
      </w:r>
      <w:r>
        <w:rPr>
          <w:rFonts w:ascii="Calibri" w:eastAsia="Times New Roman" w:hAnsi="Calibri"/>
          <w:sz w:val="22"/>
          <w:szCs w:val="22"/>
          <w:lang w:val="en-US"/>
        </w:rPr>
        <w:t xml:space="preserve"> 30 November 2015 09:48</w:t>
      </w:r>
      <w:r>
        <w:rPr>
          <w:rFonts w:ascii="Calibri" w:eastAsia="Times New Roman" w:hAnsi="Calibri"/>
          <w:sz w:val="22"/>
          <w:szCs w:val="22"/>
          <w:lang w:val="en-US"/>
        </w:rPr>
        <w:br/>
      </w:r>
      <w:r>
        <w:rPr>
          <w:rFonts w:ascii="Calibri" w:eastAsia="Times New Roman" w:hAnsi="Calibri"/>
          <w:b/>
          <w:bCs/>
          <w:sz w:val="22"/>
          <w:szCs w:val="22"/>
          <w:lang w:val="en-US"/>
        </w:rPr>
        <w:t>To:</w:t>
      </w:r>
      <w:r>
        <w:rPr>
          <w:rFonts w:ascii="Calibri" w:eastAsia="Times New Roman" w:hAnsi="Calibri"/>
          <w:sz w:val="22"/>
          <w:szCs w:val="22"/>
          <w:lang w:val="en-US"/>
        </w:rPr>
        <w:t xml:space="preserve"> Pailor, Graeme &lt;Graeme.Pailor@SABIC-Europe.com&gt;; 'Barry Dalus' &lt;bdalus@northerngas.co.uk&gt;; Grant Rogers &lt;Grant.Rogers@wwutilities.co.uk&gt;; Stonehewer, Tony &lt;tony.k.stonehewer@nationalgrid.com&gt;; G. Goodfellow &lt;g.goodfellow@penspen.com&gt;; Badesha, Gurvinder &lt;Gurvinder.Badesha@nationalgrid.com&gt;; '</w:t>
      </w:r>
      <w:proofErr w:type="spellStart"/>
      <w:r>
        <w:rPr>
          <w:rFonts w:ascii="Calibri" w:eastAsia="Times New Roman" w:hAnsi="Calibri"/>
          <w:sz w:val="22"/>
          <w:szCs w:val="22"/>
          <w:lang w:val="en-US"/>
        </w:rPr>
        <w:t>Barry.Mackay</w:t>
      </w:r>
      <w:proofErr w:type="spellEnd"/>
      <w:r>
        <w:rPr>
          <w:rFonts w:ascii="Calibri" w:eastAsia="Times New Roman" w:hAnsi="Calibri"/>
          <w:sz w:val="22"/>
          <w:szCs w:val="22"/>
          <w:lang w:val="en-US"/>
        </w:rPr>
        <w:t>' &lt;Barry.Mackay@sgn.co.uk&gt;</w:t>
      </w:r>
      <w:r>
        <w:rPr>
          <w:rFonts w:ascii="Calibri" w:eastAsia="Times New Roman" w:hAnsi="Calibri"/>
          <w:sz w:val="22"/>
          <w:szCs w:val="22"/>
          <w:lang w:val="en-US"/>
        </w:rPr>
        <w:br/>
      </w:r>
      <w:r>
        <w:rPr>
          <w:rFonts w:ascii="Calibri" w:eastAsia="Times New Roman" w:hAnsi="Calibri"/>
          <w:b/>
          <w:bCs/>
          <w:sz w:val="22"/>
          <w:szCs w:val="22"/>
          <w:lang w:val="en-US"/>
        </w:rPr>
        <w:t>Subject:</w:t>
      </w:r>
      <w:r>
        <w:rPr>
          <w:rFonts w:ascii="Calibri" w:eastAsia="Times New Roman" w:hAnsi="Calibri"/>
          <w:sz w:val="22"/>
          <w:szCs w:val="22"/>
          <w:lang w:val="en-US"/>
        </w:rPr>
        <w:t xml:space="preserve"> RE: HSL Oil and Gas Sector </w:t>
      </w:r>
      <w:proofErr w:type="spellStart"/>
      <w:r>
        <w:rPr>
          <w:rFonts w:ascii="Calibri" w:eastAsia="Times New Roman" w:hAnsi="Calibri"/>
          <w:sz w:val="22"/>
          <w:szCs w:val="22"/>
          <w:lang w:val="en-US"/>
        </w:rPr>
        <w:t>eBulletin</w:t>
      </w:r>
      <w:proofErr w:type="spellEnd"/>
      <w:r>
        <w:rPr>
          <w:rFonts w:ascii="Calibri" w:eastAsia="Times New Roman" w:hAnsi="Calibri"/>
          <w:sz w:val="22"/>
          <w:szCs w:val="22"/>
          <w:lang w:val="en-US"/>
        </w:rPr>
        <w:t xml:space="preserve"> November 2015</w:t>
      </w:r>
    </w:p>
    <w:p w:rsidR="00B24CD8" w:rsidRDefault="00B24CD8" w:rsidP="00B24CD8"/>
    <w:p w:rsidR="00B24CD8" w:rsidRDefault="00B24CD8" w:rsidP="00B24CD8">
      <w:pPr>
        <w:rPr>
          <w:rFonts w:ascii="Calibri" w:hAnsi="Calibri"/>
          <w:sz w:val="22"/>
          <w:szCs w:val="22"/>
          <w:lang w:val="en-US"/>
        </w:rPr>
      </w:pPr>
      <w:r>
        <w:rPr>
          <w:rFonts w:ascii="Arial" w:hAnsi="Arial" w:cs="Arial"/>
          <w:color w:val="000000"/>
          <w:sz w:val="20"/>
          <w:szCs w:val="20"/>
          <w:lang w:eastAsia="en-US"/>
        </w:rPr>
        <w:t>Is this something that UKOPA should get involved in?</w:t>
      </w:r>
    </w:p>
    <w:p w:rsidR="00B24CD8" w:rsidRDefault="00B24CD8" w:rsidP="00B24CD8"/>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B24CD8" w:rsidTr="00B24CD8">
        <w:trPr>
          <w:tblCellSpacing w:w="0" w:type="dxa"/>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B24CD8">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9026"/>
                  </w:tblGrid>
                  <w:tr w:rsidR="00B24CD8">
                    <w:trPr>
                      <w:jc w:val="center"/>
                    </w:trPr>
                    <w:tc>
                      <w:tcPr>
                        <w:tcW w:w="0" w:type="auto"/>
                        <w:vAlign w:val="center"/>
                        <w:hideMark/>
                      </w:tcPr>
                      <w:tbl>
                        <w:tblPr>
                          <w:tblpPr w:leftFromText="45" w:rightFromText="45" w:vertAnchor="text"/>
                          <w:tblW w:w="10500" w:type="dxa"/>
                          <w:tblCellMar>
                            <w:left w:w="0" w:type="dxa"/>
                            <w:right w:w="0" w:type="dxa"/>
                          </w:tblCellMar>
                          <w:tblLook w:val="04A0" w:firstRow="1" w:lastRow="0" w:firstColumn="1" w:lastColumn="0" w:noHBand="0" w:noVBand="1"/>
                        </w:tblPr>
                        <w:tblGrid>
                          <w:gridCol w:w="8976"/>
                          <w:gridCol w:w="50"/>
                        </w:tblGrid>
                        <w:tr w:rsidR="00B24CD8">
                          <w:tc>
                            <w:tcPr>
                              <w:tcW w:w="10500" w:type="dxa"/>
                              <w:tcMar>
                                <w:top w:w="0" w:type="dxa"/>
                                <w:left w:w="0" w:type="dxa"/>
                                <w:bottom w:w="75" w:type="dxa"/>
                                <w:right w:w="0" w:type="dxa"/>
                              </w:tcMar>
                              <w:hideMark/>
                            </w:tcPr>
                            <w:p w:rsidR="00B24CD8" w:rsidRDefault="00B24CD8">
                              <w:pPr>
                                <w:spacing w:line="135" w:lineRule="atLeast"/>
                              </w:pPr>
                              <w:bookmarkStart w:id="1" w:name="gd_top"/>
                              <w:bookmarkEnd w:id="1"/>
                              <w:r>
                                <w:rPr>
                                  <w:noProof/>
                                </w:rPr>
                                <w:drawing>
                                  <wp:inline distT="0" distB="0" distL="0" distR="0" wp14:anchorId="4A339E76" wp14:editId="3952F839">
                                    <wp:extent cx="6667500" cy="971550"/>
                                    <wp:effectExtent l="0" t="0" r="0" b="0"/>
                                    <wp:docPr id="9" name="Picture 9" descr="UK Health &amp; Safety Laboratory bulleti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 Health &amp; Safety Laboratory bulletin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971550"/>
                                            </a:xfrm>
                                            <a:prstGeom prst="rect">
                                              <a:avLst/>
                                            </a:prstGeom>
                                            <a:noFill/>
                                            <a:ln>
                                              <a:noFill/>
                                            </a:ln>
                                          </pic:spPr>
                                        </pic:pic>
                                      </a:graphicData>
                                    </a:graphic>
                                  </wp:inline>
                                </w:drawing>
                              </w:r>
                            </w:p>
                          </w:tc>
                          <w:tc>
                            <w:tcPr>
                              <w:tcW w:w="480" w:type="dxa"/>
                              <w:vAlign w:val="center"/>
                              <w:hideMark/>
                            </w:tcPr>
                            <w:p w:rsidR="00B24CD8" w:rsidRDefault="00B24CD8">
                              <w:r>
                                <w:t> </w:t>
                              </w:r>
                            </w:p>
                          </w:tc>
                        </w:tr>
                        <w:tr w:rsidR="00B24CD8">
                          <w:tc>
                            <w:tcPr>
                              <w:tcW w:w="10500" w:type="dxa"/>
                              <w:shd w:val="clear" w:color="auto" w:fill="008F70"/>
                              <w:hideMark/>
                            </w:tcPr>
                            <w:tbl>
                              <w:tblPr>
                                <w:tblpPr w:leftFromText="45" w:rightFromText="45" w:vertAnchor="text"/>
                                <w:tblW w:w="10500" w:type="dxa"/>
                                <w:tblCellMar>
                                  <w:left w:w="0" w:type="dxa"/>
                                  <w:right w:w="0" w:type="dxa"/>
                                </w:tblCellMar>
                                <w:tblLook w:val="04A0" w:firstRow="1" w:lastRow="0" w:firstColumn="1" w:lastColumn="0" w:noHBand="0" w:noVBand="1"/>
                              </w:tblPr>
                              <w:tblGrid>
                                <w:gridCol w:w="10500"/>
                              </w:tblGrid>
                              <w:tr w:rsidR="00B24CD8">
                                <w:tc>
                                  <w:tcPr>
                                    <w:tcW w:w="5000" w:type="pct"/>
                                    <w:tcMar>
                                      <w:top w:w="150" w:type="dxa"/>
                                      <w:left w:w="450" w:type="dxa"/>
                                      <w:bottom w:w="150" w:type="dxa"/>
                                      <w:right w:w="450" w:type="dxa"/>
                                    </w:tcMar>
                                    <w:vAlign w:val="center"/>
                                    <w:hideMark/>
                                  </w:tcPr>
                                  <w:p w:rsidR="00B24CD8" w:rsidRDefault="00B24CD8">
                                    <w:pPr>
                                      <w:pStyle w:val="gdp"/>
                                      <w:spacing w:before="0" w:beforeAutospacing="0" w:after="0" w:afterAutospacing="0" w:line="135" w:lineRule="atLeast"/>
                                      <w:jc w:val="right"/>
                                      <w:rPr>
                                        <w:rFonts w:ascii="Arial" w:hAnsi="Arial" w:cs="Arial"/>
                                        <w:color w:val="FFFFFF"/>
                                        <w:sz w:val="36"/>
                                        <w:szCs w:val="36"/>
                                      </w:rPr>
                                    </w:pPr>
                                    <w:r>
                                      <w:rPr>
                                        <w:rFonts w:ascii="Arial" w:hAnsi="Arial" w:cs="Arial"/>
                                        <w:b/>
                                        <w:bCs/>
                                        <w:color w:val="FFFFFF"/>
                                        <w:sz w:val="36"/>
                                        <w:szCs w:val="36"/>
                                      </w:rPr>
                                      <w:t>Oil and Gas Nov 15</w:t>
                                    </w:r>
                                  </w:p>
                                </w:tc>
                              </w:tr>
                            </w:tbl>
                            <w:p w:rsidR="00B24CD8" w:rsidRDefault="00B24CD8">
                              <w:pPr>
                                <w:rPr>
                                  <w:rFonts w:eastAsia="Times New Roman"/>
                                  <w:sz w:val="20"/>
                                  <w:szCs w:val="20"/>
                                </w:rPr>
                              </w:pPr>
                            </w:p>
                          </w:tc>
                          <w:tc>
                            <w:tcPr>
                              <w:tcW w:w="480" w:type="dxa"/>
                              <w:vAlign w:val="center"/>
                              <w:hideMark/>
                            </w:tcPr>
                            <w:p w:rsidR="00B24CD8" w:rsidRDefault="00B24CD8">
                              <w:r>
                                <w:t> </w:t>
                              </w:r>
                            </w:p>
                          </w:tc>
                        </w:tr>
                        <w:tr w:rsidR="00B24CD8">
                          <w:tc>
                            <w:tcPr>
                              <w:tcW w:w="10500" w:type="dxa"/>
                              <w:gridSpan w:val="2"/>
                              <w:hideMark/>
                            </w:tcPr>
                            <w:p w:rsidR="00B24CD8" w:rsidRDefault="00B24CD8">
                              <w:r>
                                <w:rPr>
                                  <w:noProof/>
                                </w:rPr>
                                <w:drawing>
                                  <wp:inline distT="0" distB="0" distL="0" distR="0" wp14:anchorId="3F097700" wp14:editId="69272219">
                                    <wp:extent cx="6667500" cy="266700"/>
                                    <wp:effectExtent l="0" t="0" r="0" b="0"/>
                                    <wp:docPr id="8" name="Picture 8" descr="https://content.govdelivery.com/attachments/fancy_images/UKHSL/2015/04/498215/banner-bottom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ntent.govdelivery.com/attachments/fancy_images/UKHSL/2015/04/498215/banner-bottom_orig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266700"/>
                                            </a:xfrm>
                                            <a:prstGeom prst="rect">
                                              <a:avLst/>
                                            </a:prstGeom>
                                            <a:noFill/>
                                            <a:ln>
                                              <a:noFill/>
                                            </a:ln>
                                          </pic:spPr>
                                        </pic:pic>
                                      </a:graphicData>
                                    </a:graphic>
                                  </wp:inline>
                                </w:drawing>
                              </w:r>
                            </w:p>
                          </w:tc>
                        </w:tr>
                      </w:tbl>
                      <w:p w:rsidR="00B24CD8" w:rsidRDefault="00B24CD8">
                        <w:pPr>
                          <w:rPr>
                            <w:rFonts w:eastAsia="Times New Roman"/>
                            <w:sz w:val="20"/>
                            <w:szCs w:val="20"/>
                          </w:rPr>
                        </w:pPr>
                      </w:p>
                    </w:tc>
                  </w:tr>
                  <w:tr w:rsidR="00B24CD8">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B24CD8">
                          <w:trPr>
                            <w:jc w:val="center"/>
                          </w:trPr>
                          <w:tc>
                            <w:tcPr>
                              <w:tcW w:w="5000" w:type="pct"/>
                              <w:shd w:val="clear" w:color="auto" w:fill="DDDDDD"/>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900"/>
                              </w:tblGrid>
                              <w:tr w:rsidR="00B24CD8">
                                <w:tc>
                                  <w:tcPr>
                                    <w:tcW w:w="0" w:type="auto"/>
                                    <w:tcMar>
                                      <w:top w:w="15" w:type="dxa"/>
                                      <w:left w:w="15" w:type="dxa"/>
                                      <w:bottom w:w="15" w:type="dxa"/>
                                      <w:right w:w="15" w:type="dxa"/>
                                    </w:tcMar>
                                    <w:vAlign w:val="center"/>
                                    <w:hideMark/>
                                  </w:tcPr>
                                  <w:p w:rsidR="00B24CD8" w:rsidRDefault="00B24CD8">
                                    <w:pPr>
                                      <w:pStyle w:val="Heading1"/>
                                      <w:spacing w:before="0" w:beforeAutospacing="0" w:after="0" w:afterAutospacing="0"/>
                                      <w:rPr>
                                        <w:rFonts w:ascii="Arial" w:eastAsia="Times New Roman" w:hAnsi="Arial" w:cs="Arial"/>
                                        <w:color w:val="000000"/>
                                        <w:sz w:val="36"/>
                                        <w:szCs w:val="36"/>
                                      </w:rPr>
                                    </w:pPr>
                                    <w:r>
                                      <w:rPr>
                                        <w:noProof/>
                                      </w:rPr>
                                      <w:drawing>
                                        <wp:anchor distT="0" distB="0" distL="66675" distR="66675" simplePos="0" relativeHeight="251658240" behindDoc="0" locked="0" layoutInCell="1" allowOverlap="0" wp14:anchorId="1D5416E4" wp14:editId="3DFEDB55">
                                          <wp:simplePos x="0" y="0"/>
                                          <wp:positionH relativeFrom="column">
                                            <wp:align>right</wp:align>
                                          </wp:positionH>
                                          <wp:positionV relativeFrom="line">
                                            <wp:posOffset>0</wp:posOffset>
                                          </wp:positionV>
                                          <wp:extent cx="2009775" cy="2305050"/>
                                          <wp:effectExtent l="0" t="0" r="9525" b="0"/>
                                          <wp:wrapSquare wrapText="bothSides"/>
                                          <wp:docPr id="10" name="Picture 10" descr="Oil 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 Ri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9775" cy="2305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36"/>
                                        <w:szCs w:val="36"/>
                                      </w:rPr>
                                      <w:t xml:space="preserve">Get involved: Engineered Composite </w:t>
                                    </w:r>
                                    <w:bookmarkStart w:id="2" w:name="_GoBack"/>
                                    <w:bookmarkEnd w:id="2"/>
                                    <w:r>
                                      <w:rPr>
                                        <w:rFonts w:ascii="Arial" w:eastAsia="Times New Roman" w:hAnsi="Arial" w:cs="Arial"/>
                                        <w:color w:val="000000"/>
                                        <w:sz w:val="36"/>
                                        <w:szCs w:val="36"/>
                                      </w:rPr>
                                      <w:t>Repairs</w:t>
                                    </w:r>
                                  </w:p>
                                  <w:p w:rsidR="00B24CD8" w:rsidRDefault="00B24CD8">
                                    <w:pPr>
                                      <w:pStyle w:val="gdp"/>
                                      <w:spacing w:before="0" w:beforeAutospacing="0" w:after="0" w:afterAutospacing="0"/>
                                      <w:rPr>
                                        <w:rFonts w:ascii="Arial" w:hAnsi="Arial" w:cs="Arial"/>
                                        <w:color w:val="666666"/>
                                        <w:sz w:val="23"/>
                                        <w:szCs w:val="23"/>
                                      </w:rPr>
                                    </w:pPr>
                                    <w:r>
                                      <w:rPr>
                                        <w:rFonts w:ascii="Arial" w:hAnsi="Arial" w:cs="Arial"/>
                                        <w:color w:val="666666"/>
                                        <w:sz w:val="23"/>
                                        <w:szCs w:val="23"/>
                                      </w:rPr>
                                      <w:t>As a consequence of asset ageing, the extent and use of engineered composite repairs has increased dramatically over recent years.</w:t>
                                    </w:r>
                                  </w:p>
                                  <w:p w:rsidR="00B24CD8" w:rsidRDefault="00B24CD8">
                                    <w:pPr>
                                      <w:pStyle w:val="gdp"/>
                                      <w:spacing w:before="0" w:beforeAutospacing="0" w:after="0" w:afterAutospacing="0"/>
                                      <w:rPr>
                                        <w:rFonts w:ascii="Arial" w:hAnsi="Arial" w:cs="Arial"/>
                                        <w:color w:val="666666"/>
                                        <w:sz w:val="23"/>
                                        <w:szCs w:val="23"/>
                                      </w:rPr>
                                    </w:pPr>
                                    <w:r>
                                      <w:rPr>
                                        <w:rFonts w:ascii="Arial" w:hAnsi="Arial" w:cs="Arial"/>
                                        <w:color w:val="666666"/>
                                        <w:sz w:val="23"/>
                                        <w:szCs w:val="23"/>
                                      </w:rPr>
                                      <w:t> </w:t>
                                    </w:r>
                                  </w:p>
                                  <w:p w:rsidR="00B24CD8" w:rsidRDefault="00B24CD8">
                                    <w:pPr>
                                      <w:pStyle w:val="gdp"/>
                                      <w:spacing w:before="0" w:beforeAutospacing="0" w:after="0" w:afterAutospacing="0"/>
                                      <w:rPr>
                                        <w:rFonts w:ascii="Arial" w:hAnsi="Arial" w:cs="Arial"/>
                                        <w:color w:val="666666"/>
                                        <w:sz w:val="23"/>
                                        <w:szCs w:val="23"/>
                                      </w:rPr>
                                    </w:pPr>
                                    <w:r>
                                      <w:rPr>
                                        <w:rFonts w:ascii="Arial" w:hAnsi="Arial" w:cs="Arial"/>
                                        <w:color w:val="666666"/>
                                        <w:sz w:val="23"/>
                                        <w:szCs w:val="23"/>
                                      </w:rPr>
                                      <w:t>However, it is evident that there continues to be uncertainty relating to their long-term integrity and performance. It is difficult for industry to be consistent in their use of such repair techniques and for the regulator to make an informed judgement on the merits of applying such repairs as part of a duty holder's asset integrity strategy.</w:t>
                                    </w:r>
                                  </w:p>
                                  <w:p w:rsidR="00B24CD8" w:rsidRDefault="00B24CD8">
                                    <w:pPr>
                                      <w:pStyle w:val="gdp"/>
                                      <w:spacing w:before="0" w:beforeAutospacing="0" w:after="0" w:afterAutospacing="0"/>
                                      <w:rPr>
                                        <w:rFonts w:ascii="Arial" w:hAnsi="Arial" w:cs="Arial"/>
                                        <w:color w:val="666666"/>
                                        <w:sz w:val="23"/>
                                        <w:szCs w:val="23"/>
                                      </w:rPr>
                                    </w:pPr>
                                    <w:r>
                                      <w:rPr>
                                        <w:rFonts w:ascii="Arial" w:hAnsi="Arial" w:cs="Arial"/>
                                        <w:color w:val="666666"/>
                                        <w:sz w:val="23"/>
                                        <w:szCs w:val="23"/>
                                      </w:rPr>
                                      <w:t> </w:t>
                                    </w:r>
                                  </w:p>
                                  <w:p w:rsidR="00B24CD8" w:rsidRDefault="00B24CD8">
                                    <w:pPr>
                                      <w:pStyle w:val="gdp"/>
                                      <w:spacing w:before="0" w:beforeAutospacing="0" w:after="0" w:afterAutospacing="0"/>
                                      <w:rPr>
                                        <w:rFonts w:ascii="Arial" w:hAnsi="Arial" w:cs="Arial"/>
                                        <w:color w:val="666666"/>
                                        <w:sz w:val="23"/>
                                        <w:szCs w:val="23"/>
                                      </w:rPr>
                                    </w:pPr>
                                    <w:r>
                                      <w:rPr>
                                        <w:rFonts w:ascii="Arial" w:hAnsi="Arial" w:cs="Arial"/>
                                        <w:color w:val="666666"/>
                                        <w:sz w:val="23"/>
                                        <w:szCs w:val="23"/>
                                      </w:rPr>
                                      <w:t xml:space="preserve">HSE has recently committed to delivering a </w:t>
                                    </w:r>
                                    <w:r>
                                      <w:rPr>
                                        <w:rFonts w:ascii="Arial" w:hAnsi="Arial" w:cs="Arial"/>
                                        <w:b/>
                                        <w:bCs/>
                                        <w:color w:val="666666"/>
                                        <w:sz w:val="23"/>
                                        <w:szCs w:val="23"/>
                                      </w:rPr>
                                      <w:t>Shared Research Programme</w:t>
                                    </w:r>
                                    <w:r>
                                      <w:rPr>
                                        <w:rFonts w:ascii="Arial" w:hAnsi="Arial" w:cs="Arial"/>
                                        <w:color w:val="666666"/>
                                        <w:sz w:val="23"/>
                                        <w:szCs w:val="23"/>
                                      </w:rPr>
                                      <w:t xml:space="preserve"> that provides support funding for projects that address key health and safety related issues as identified by industry.</w:t>
                                    </w:r>
                                  </w:p>
                                  <w:p w:rsidR="00B24CD8" w:rsidRDefault="00B24CD8">
                                    <w:pPr>
                                      <w:pStyle w:val="gdp"/>
                                      <w:spacing w:before="0" w:beforeAutospacing="0" w:after="0" w:afterAutospacing="0"/>
                                      <w:rPr>
                                        <w:rFonts w:ascii="Arial" w:hAnsi="Arial" w:cs="Arial"/>
                                        <w:color w:val="666666"/>
                                        <w:sz w:val="23"/>
                                        <w:szCs w:val="23"/>
                                      </w:rPr>
                                    </w:pPr>
                                    <w:r>
                                      <w:rPr>
                                        <w:rFonts w:ascii="Arial" w:hAnsi="Arial" w:cs="Arial"/>
                                        <w:color w:val="666666"/>
                                        <w:sz w:val="23"/>
                                        <w:szCs w:val="23"/>
                                      </w:rPr>
                                      <w:t> </w:t>
                                    </w:r>
                                  </w:p>
                                  <w:p w:rsidR="00B24CD8" w:rsidRDefault="00B24CD8">
                                    <w:pPr>
                                      <w:pStyle w:val="gdp"/>
                                      <w:spacing w:before="0" w:beforeAutospacing="0" w:after="0" w:afterAutospacing="0"/>
                                      <w:rPr>
                                        <w:rFonts w:ascii="Arial" w:hAnsi="Arial" w:cs="Arial"/>
                                        <w:color w:val="666666"/>
                                        <w:sz w:val="23"/>
                                        <w:szCs w:val="23"/>
                                      </w:rPr>
                                    </w:pPr>
                                    <w:r>
                                      <w:rPr>
                                        <w:rFonts w:ascii="Arial" w:hAnsi="Arial" w:cs="Arial"/>
                                        <w:color w:val="666666"/>
                                        <w:sz w:val="23"/>
                                        <w:szCs w:val="23"/>
                                      </w:rPr>
                                      <w:t>HSL proposes to lead such a programme aimed at improving our knowledge and understanding of the long-term integrity of engineered composite repairs. The programme will be steered via a partnership of oil &amp; gas operators, composite repair companies and HSE, all of whom are key stakeholders in the application of composite repair technologies to ageing assets. </w:t>
                                    </w:r>
                                  </w:p>
                                  <w:p w:rsidR="00B24CD8" w:rsidRDefault="00B24CD8">
                                    <w:pPr>
                                      <w:pStyle w:val="gdp"/>
                                      <w:spacing w:before="0" w:beforeAutospacing="0" w:after="0" w:afterAutospacing="0"/>
                                      <w:rPr>
                                        <w:rFonts w:ascii="Arial" w:hAnsi="Arial" w:cs="Arial"/>
                                        <w:color w:val="666666"/>
                                        <w:sz w:val="23"/>
                                        <w:szCs w:val="23"/>
                                      </w:rPr>
                                    </w:pPr>
                                    <w:r>
                                      <w:rPr>
                                        <w:rFonts w:ascii="Arial" w:hAnsi="Arial" w:cs="Arial"/>
                                        <w:color w:val="666666"/>
                                        <w:sz w:val="23"/>
                                        <w:szCs w:val="23"/>
                                      </w:rPr>
                                      <w:t> </w:t>
                                    </w:r>
                                  </w:p>
                                  <w:p w:rsidR="00B24CD8" w:rsidRDefault="00B24CD8">
                                    <w:pPr>
                                      <w:pStyle w:val="gdp"/>
                                      <w:spacing w:before="0" w:beforeAutospacing="0" w:after="0" w:afterAutospacing="0"/>
                                      <w:rPr>
                                        <w:rFonts w:ascii="Arial" w:hAnsi="Arial" w:cs="Arial"/>
                                        <w:color w:val="666666"/>
                                        <w:sz w:val="23"/>
                                        <w:szCs w:val="23"/>
                                      </w:rPr>
                                    </w:pPr>
                                    <w:r>
                                      <w:rPr>
                                        <w:rFonts w:ascii="Arial" w:hAnsi="Arial" w:cs="Arial"/>
                                        <w:color w:val="666666"/>
                                        <w:sz w:val="23"/>
                                        <w:szCs w:val="23"/>
                                      </w:rPr>
                                      <w:t>The programme of work proposed has been developed after detailed consultation with industry, to identify key questions such as:</w:t>
                                    </w:r>
                                  </w:p>
                                  <w:p w:rsidR="00B24CD8" w:rsidRDefault="00B24CD8" w:rsidP="00582ADE">
                                    <w:pPr>
                                      <w:numPr>
                                        <w:ilvl w:val="0"/>
                                        <w:numId w:val="1"/>
                                      </w:numPr>
                                      <w:rPr>
                                        <w:rFonts w:ascii="Arial" w:eastAsia="Times New Roman" w:hAnsi="Arial" w:cs="Arial"/>
                                        <w:color w:val="666666"/>
                                        <w:sz w:val="23"/>
                                        <w:szCs w:val="23"/>
                                      </w:rPr>
                                    </w:pPr>
                                    <w:r>
                                      <w:rPr>
                                        <w:rFonts w:ascii="Arial" w:eastAsia="Times New Roman" w:hAnsi="Arial" w:cs="Arial"/>
                                        <w:color w:val="666666"/>
                                        <w:sz w:val="23"/>
                                        <w:szCs w:val="23"/>
                                      </w:rPr>
                                      <w:t>How, what, where and when do we inspect to ensure continuing fitness for service?</w:t>
                                    </w:r>
                                  </w:p>
                                  <w:p w:rsidR="00B24CD8" w:rsidRDefault="00B24CD8" w:rsidP="00582ADE">
                                    <w:pPr>
                                      <w:numPr>
                                        <w:ilvl w:val="0"/>
                                        <w:numId w:val="1"/>
                                      </w:numPr>
                                      <w:rPr>
                                        <w:rFonts w:ascii="Arial" w:eastAsia="Times New Roman" w:hAnsi="Arial" w:cs="Arial"/>
                                        <w:color w:val="666666"/>
                                        <w:sz w:val="23"/>
                                        <w:szCs w:val="23"/>
                                      </w:rPr>
                                    </w:pPr>
                                    <w:r>
                                      <w:rPr>
                                        <w:rFonts w:ascii="Arial" w:eastAsia="Times New Roman" w:hAnsi="Arial" w:cs="Arial"/>
                                        <w:color w:val="666666"/>
                                        <w:sz w:val="23"/>
                                        <w:szCs w:val="23"/>
                                      </w:rPr>
                                      <w:t>How do external factors affect fitness for service?</w:t>
                                    </w:r>
                                  </w:p>
                                  <w:p w:rsidR="00B24CD8" w:rsidRDefault="00B24CD8" w:rsidP="00582ADE">
                                    <w:pPr>
                                      <w:numPr>
                                        <w:ilvl w:val="0"/>
                                        <w:numId w:val="1"/>
                                      </w:numPr>
                                      <w:rPr>
                                        <w:rFonts w:ascii="Arial" w:eastAsia="Times New Roman" w:hAnsi="Arial" w:cs="Arial"/>
                                        <w:color w:val="666666"/>
                                        <w:sz w:val="23"/>
                                        <w:szCs w:val="23"/>
                                      </w:rPr>
                                    </w:pPr>
                                    <w:r>
                                      <w:rPr>
                                        <w:rFonts w:ascii="Arial" w:eastAsia="Times New Roman" w:hAnsi="Arial" w:cs="Arial"/>
                                        <w:color w:val="666666"/>
                                        <w:sz w:val="23"/>
                                        <w:szCs w:val="23"/>
                                      </w:rPr>
                                      <w:t>How does performance/integrity vary with the repair design life?</w:t>
                                    </w:r>
                                  </w:p>
                                  <w:p w:rsidR="00B24CD8" w:rsidRDefault="00B24CD8" w:rsidP="00582ADE">
                                    <w:pPr>
                                      <w:numPr>
                                        <w:ilvl w:val="0"/>
                                        <w:numId w:val="1"/>
                                      </w:numPr>
                                      <w:rPr>
                                        <w:rFonts w:ascii="Arial" w:eastAsia="Times New Roman" w:hAnsi="Arial" w:cs="Arial"/>
                                        <w:color w:val="666666"/>
                                        <w:sz w:val="23"/>
                                        <w:szCs w:val="23"/>
                                      </w:rPr>
                                    </w:pPr>
                                    <w:r>
                                      <w:rPr>
                                        <w:rFonts w:ascii="Arial" w:eastAsia="Times New Roman" w:hAnsi="Arial" w:cs="Arial"/>
                                        <w:color w:val="666666"/>
                                        <w:sz w:val="23"/>
                                        <w:szCs w:val="23"/>
                                      </w:rPr>
                                      <w:t>How do we ensure a quality installation and initial integrity?</w:t>
                                    </w:r>
                                  </w:p>
                                  <w:p w:rsidR="00B24CD8" w:rsidRDefault="00B24CD8">
                                    <w:pPr>
                                      <w:pStyle w:val="gdp"/>
                                      <w:spacing w:before="0" w:beforeAutospacing="0" w:after="0" w:afterAutospacing="0"/>
                                      <w:rPr>
                                        <w:rFonts w:ascii="Arial" w:hAnsi="Arial" w:cs="Arial"/>
                                        <w:color w:val="666666"/>
                                        <w:sz w:val="23"/>
                                        <w:szCs w:val="23"/>
                                      </w:rPr>
                                    </w:pPr>
                                    <w:r>
                                      <w:rPr>
                                        <w:rFonts w:ascii="Arial" w:hAnsi="Arial" w:cs="Arial"/>
                                        <w:color w:val="666666"/>
                                        <w:sz w:val="23"/>
                                        <w:szCs w:val="23"/>
                                      </w:rPr>
                                      <w:lastRenderedPageBreak/>
                                      <w:t xml:space="preserve">The programme will deliver a series of five work packages, addressing </w:t>
                                    </w:r>
                                    <w:r>
                                      <w:rPr>
                                        <w:rFonts w:ascii="Arial" w:hAnsi="Arial" w:cs="Arial"/>
                                        <w:b/>
                                        <w:bCs/>
                                        <w:color w:val="666666"/>
                                        <w:sz w:val="23"/>
                                        <w:szCs w:val="23"/>
                                      </w:rPr>
                                      <w:t xml:space="preserve">Quality Assurance &amp; Integrity Management, Inspection &amp; Criticality of Defects, In-Service Performance, Fire Performance </w:t>
                                    </w:r>
                                    <w:r>
                                      <w:rPr>
                                        <w:rFonts w:ascii="Arial" w:hAnsi="Arial" w:cs="Arial"/>
                                        <w:color w:val="666666"/>
                                        <w:sz w:val="23"/>
                                        <w:szCs w:val="23"/>
                                      </w:rPr>
                                      <w:t xml:space="preserve">and </w:t>
                                    </w:r>
                                    <w:r>
                                      <w:rPr>
                                        <w:rFonts w:ascii="Arial" w:hAnsi="Arial" w:cs="Arial"/>
                                        <w:b/>
                                        <w:bCs/>
                                        <w:color w:val="666666"/>
                                        <w:sz w:val="23"/>
                                        <w:szCs w:val="23"/>
                                      </w:rPr>
                                      <w:t>Installer Proficiency</w:t>
                                    </w:r>
                                    <w:r>
                                      <w:rPr>
                                        <w:rFonts w:ascii="Arial" w:hAnsi="Arial" w:cs="Arial"/>
                                        <w:color w:val="666666"/>
                                        <w:sz w:val="23"/>
                                        <w:szCs w:val="23"/>
                                      </w:rPr>
                                      <w:t>. </w:t>
                                    </w:r>
                                  </w:p>
                                  <w:p w:rsidR="00B24CD8" w:rsidRDefault="00B24CD8">
                                    <w:pPr>
                                      <w:pStyle w:val="gdp"/>
                                      <w:spacing w:before="0" w:beforeAutospacing="0" w:after="0" w:afterAutospacing="0"/>
                                      <w:rPr>
                                        <w:rFonts w:ascii="Arial" w:hAnsi="Arial" w:cs="Arial"/>
                                        <w:color w:val="666666"/>
                                        <w:sz w:val="23"/>
                                        <w:szCs w:val="23"/>
                                      </w:rPr>
                                    </w:pPr>
                                    <w:r>
                                      <w:rPr>
                                        <w:rFonts w:ascii="Arial" w:hAnsi="Arial" w:cs="Arial"/>
                                        <w:color w:val="666666"/>
                                        <w:sz w:val="23"/>
                                        <w:szCs w:val="23"/>
                                      </w:rPr>
                                      <w:t> </w:t>
                                    </w:r>
                                  </w:p>
                                  <w:p w:rsidR="00B24CD8" w:rsidRDefault="00B24CD8">
                                    <w:pPr>
                                      <w:pStyle w:val="gdp"/>
                                      <w:spacing w:before="0" w:beforeAutospacing="0" w:after="0" w:afterAutospacing="0"/>
                                      <w:rPr>
                                        <w:rFonts w:ascii="Arial" w:hAnsi="Arial" w:cs="Arial"/>
                                        <w:color w:val="666666"/>
                                        <w:sz w:val="23"/>
                                        <w:szCs w:val="23"/>
                                      </w:rPr>
                                    </w:pPr>
                                    <w:r>
                                      <w:rPr>
                                        <w:rFonts w:ascii="Arial" w:hAnsi="Arial" w:cs="Arial"/>
                                        <w:color w:val="666666"/>
                                        <w:sz w:val="23"/>
                                        <w:szCs w:val="23"/>
                                      </w:rPr>
                                      <w:t xml:space="preserve">For further information on this programme, together with details on how to join the partnership, </w:t>
                                    </w:r>
                                    <w:hyperlink r:id="rId10" w:history="1">
                                      <w:r>
                                        <w:rPr>
                                          <w:rStyle w:val="Hyperlink"/>
                                          <w:rFonts w:ascii="Arial" w:hAnsi="Arial" w:cs="Arial"/>
                                          <w:color w:val="00945F"/>
                                          <w:sz w:val="23"/>
                                          <w:szCs w:val="23"/>
                                        </w:rPr>
                                        <w:t>please click here.</w:t>
                                      </w:r>
                                    </w:hyperlink>
                                  </w:p>
                                </w:tc>
                              </w:tr>
                            </w:tbl>
                            <w:p w:rsidR="00B24CD8" w:rsidRDefault="00B24CD8">
                              <w:pPr>
                                <w:rPr>
                                  <w:rFonts w:eastAsia="Times New Roman"/>
                                  <w:sz w:val="20"/>
                                  <w:szCs w:val="20"/>
                                </w:rPr>
                              </w:pPr>
                            </w:p>
                          </w:tc>
                        </w:tr>
                      </w:tbl>
                      <w:p w:rsidR="00B24CD8" w:rsidRDefault="00B24CD8">
                        <w:pPr>
                          <w:jc w:val="center"/>
                          <w:rPr>
                            <w:rFonts w:eastAsia="Times New Roman"/>
                            <w:sz w:val="20"/>
                            <w:szCs w:val="20"/>
                          </w:rPr>
                        </w:pPr>
                      </w:p>
                    </w:tc>
                  </w:tr>
                  <w:tr w:rsidR="00B24CD8">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B24CD8">
                          <w:trPr>
                            <w:jc w:val="center"/>
                          </w:trPr>
                          <w:tc>
                            <w:tcPr>
                              <w:tcW w:w="5000" w:type="pct"/>
                              <w:tcMar>
                                <w:top w:w="300" w:type="dxa"/>
                                <w:left w:w="0" w:type="dxa"/>
                                <w:bottom w:w="450" w:type="dxa"/>
                                <w:right w:w="0" w:type="dxa"/>
                              </w:tcMar>
                              <w:vAlign w:val="center"/>
                              <w:hideMark/>
                            </w:tcPr>
                            <w:p w:rsidR="00B24CD8" w:rsidRDefault="00B24CD8">
                              <w:pPr>
                                <w:rPr>
                                  <w:rFonts w:eastAsia="Times New Roman"/>
                                  <w:sz w:val="20"/>
                                  <w:szCs w:val="20"/>
                                </w:rPr>
                              </w:pPr>
                            </w:p>
                          </w:tc>
                        </w:tr>
                      </w:tbl>
                      <w:p w:rsidR="00B24CD8" w:rsidRDefault="00B24CD8">
                        <w:pPr>
                          <w:jc w:val="center"/>
                          <w:rPr>
                            <w:rFonts w:eastAsia="Times New Roman"/>
                            <w:sz w:val="20"/>
                            <w:szCs w:val="20"/>
                          </w:rPr>
                        </w:pPr>
                      </w:p>
                    </w:tc>
                  </w:tr>
                  <w:tr w:rsidR="00B24CD8">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B24CD8">
                          <w:trPr>
                            <w:jc w:val="center"/>
                          </w:trPr>
                          <w:tc>
                            <w:tcPr>
                              <w:tcW w:w="10500" w:type="dxa"/>
                              <w:shd w:val="clear" w:color="auto" w:fill="455560"/>
                              <w:vAlign w:val="center"/>
                              <w:hideMark/>
                            </w:tcPr>
                            <w:p w:rsidR="00B24CD8" w:rsidRDefault="00B24CD8">
                              <w:pPr>
                                <w:spacing w:line="135" w:lineRule="atLeast"/>
                                <w:jc w:val="center"/>
                              </w:pPr>
                              <w:r>
                                <w:rPr>
                                  <w:noProof/>
                                  <w:color w:val="1D5782"/>
                                </w:rPr>
                                <w:drawing>
                                  <wp:inline distT="0" distB="0" distL="0" distR="0" wp14:anchorId="75310FB0" wp14:editId="7633BB89">
                                    <wp:extent cx="1276350" cy="571500"/>
                                    <wp:effectExtent l="0" t="0" r="0" b="0"/>
                                    <wp:docPr id="7" name="Picture 7" descr="Twitter Lin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Lin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a:ln>
                                              <a:noFill/>
                                            </a:ln>
                                          </pic:spPr>
                                        </pic:pic>
                                      </a:graphicData>
                                    </a:graphic>
                                  </wp:inline>
                                </w:drawing>
                              </w:r>
                              <w:r>
                                <w:rPr>
                                  <w:noProof/>
                                  <w:color w:val="1D5782"/>
                                </w:rPr>
                                <w:drawing>
                                  <wp:inline distT="0" distB="0" distL="0" distR="0" wp14:anchorId="39AE667D" wp14:editId="729E9CA7">
                                    <wp:extent cx="1314450" cy="571500"/>
                                    <wp:effectExtent l="0" t="0" r="0" b="0"/>
                                    <wp:docPr id="6" name="Picture 6" descr="LinkedIn Lin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edIn Li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r>
                                <w:rPr>
                                  <w:noProof/>
                                  <w:color w:val="1D5782"/>
                                </w:rPr>
                                <w:drawing>
                                  <wp:inline distT="0" distB="0" distL="0" distR="0" wp14:anchorId="49ECAB4D" wp14:editId="177493E6">
                                    <wp:extent cx="1314450" cy="571500"/>
                                    <wp:effectExtent l="0" t="0" r="0" b="0"/>
                                    <wp:docPr id="5" name="Picture 5" descr="YouTube Lin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r>
                                <w:rPr>
                                  <w:noProof/>
                                  <w:color w:val="1D5782"/>
                                </w:rPr>
                                <w:drawing>
                                  <wp:inline distT="0" distB="0" distL="0" distR="0" wp14:anchorId="6E5A99BF" wp14:editId="24C92142">
                                    <wp:extent cx="1095375" cy="571500"/>
                                    <wp:effectExtent l="0" t="0" r="9525" b="0"/>
                                    <wp:docPr id="4" name="Picture 4" descr="Share Lin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re L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571500"/>
                                            </a:xfrm>
                                            <a:prstGeom prst="rect">
                                              <a:avLst/>
                                            </a:prstGeom>
                                            <a:noFill/>
                                            <a:ln>
                                              <a:noFill/>
                                            </a:ln>
                                          </pic:spPr>
                                        </pic:pic>
                                      </a:graphicData>
                                    </a:graphic>
                                  </wp:inline>
                                </w:drawing>
                              </w:r>
                              <w:r>
                                <w:rPr>
                                  <w:noProof/>
                                  <w:color w:val="1D5782"/>
                                </w:rPr>
                                <w:drawing>
                                  <wp:inline distT="0" distB="0" distL="0" distR="0" wp14:anchorId="530DB7F8" wp14:editId="50577A83">
                                    <wp:extent cx="1666875" cy="571500"/>
                                    <wp:effectExtent l="0" t="0" r="9525" b="0"/>
                                    <wp:docPr id="3" name="Picture 3" descr="Sign up to receive more bulleti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n up to receive more bulleti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p>
                          </w:tc>
                        </w:tr>
                      </w:tbl>
                      <w:p w:rsidR="00B24CD8" w:rsidRDefault="00B24CD8">
                        <w:pPr>
                          <w:jc w:val="center"/>
                          <w:rPr>
                            <w:rFonts w:eastAsia="Times New Roman"/>
                            <w:sz w:val="20"/>
                            <w:szCs w:val="20"/>
                          </w:rPr>
                        </w:pPr>
                      </w:p>
                    </w:tc>
                  </w:tr>
                </w:tbl>
                <w:p w:rsidR="00B24CD8" w:rsidRDefault="00B24CD8">
                  <w:pPr>
                    <w:jc w:val="center"/>
                    <w:rPr>
                      <w:rFonts w:eastAsia="Times New Roman"/>
                      <w:sz w:val="20"/>
                      <w:szCs w:val="20"/>
                    </w:rPr>
                  </w:pPr>
                </w:p>
              </w:tc>
            </w:tr>
          </w:tbl>
          <w:p w:rsidR="00B24CD8" w:rsidRDefault="00B24CD8">
            <w:pPr>
              <w:jc w:val="center"/>
              <w:rPr>
                <w:rFonts w:eastAsia="Times New Roman"/>
                <w:sz w:val="20"/>
                <w:szCs w:val="20"/>
              </w:rPr>
            </w:pPr>
          </w:p>
        </w:tc>
      </w:tr>
    </w:tbl>
    <w:p w:rsidR="00B24CD8" w:rsidRDefault="00B24CD8" w:rsidP="00B24CD8">
      <w:pPr>
        <w:rPr>
          <w:lang w:val="en"/>
        </w:rPr>
      </w:pPr>
    </w:p>
    <w:tbl>
      <w:tblPr>
        <w:tblW w:w="5000" w:type="pct"/>
        <w:jc w:val="center"/>
        <w:tblCellMar>
          <w:left w:w="0" w:type="dxa"/>
          <w:right w:w="0" w:type="dxa"/>
        </w:tblCellMar>
        <w:tblLook w:val="04A0" w:firstRow="1" w:lastRow="0" w:firstColumn="1" w:lastColumn="0" w:noHBand="0" w:noVBand="1"/>
      </w:tblPr>
      <w:tblGrid>
        <w:gridCol w:w="9026"/>
      </w:tblGrid>
      <w:tr w:rsidR="00B24CD8" w:rsidTr="00B24CD8">
        <w:trPr>
          <w:jc w:val="center"/>
        </w:trPr>
        <w:tc>
          <w:tcPr>
            <w:tcW w:w="0" w:type="auto"/>
            <w:vAlign w:val="center"/>
            <w:hideMark/>
          </w:tcPr>
          <w:tbl>
            <w:tblPr>
              <w:tblW w:w="10500" w:type="dxa"/>
              <w:jc w:val="center"/>
              <w:shd w:val="clear" w:color="auto" w:fill="008F70"/>
              <w:tblCellMar>
                <w:left w:w="0" w:type="dxa"/>
                <w:right w:w="0" w:type="dxa"/>
              </w:tblCellMar>
              <w:tblLook w:val="04A0" w:firstRow="1" w:lastRow="0" w:firstColumn="1" w:lastColumn="0" w:noHBand="0" w:noVBand="1"/>
            </w:tblPr>
            <w:tblGrid>
              <w:gridCol w:w="10500"/>
            </w:tblGrid>
            <w:tr w:rsidR="00B24CD8">
              <w:trPr>
                <w:jc w:val="center"/>
              </w:trPr>
              <w:tc>
                <w:tcPr>
                  <w:tcW w:w="0" w:type="auto"/>
                  <w:shd w:val="clear" w:color="auto" w:fill="008F70"/>
                  <w:tcMar>
                    <w:top w:w="300" w:type="dxa"/>
                    <w:left w:w="300" w:type="dxa"/>
                    <w:bottom w:w="30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6930"/>
                    <w:gridCol w:w="2970"/>
                  </w:tblGrid>
                  <w:tr w:rsidR="00B24CD8">
                    <w:trPr>
                      <w:tblCellSpacing w:w="0" w:type="dxa"/>
                      <w:jc w:val="center"/>
                    </w:trPr>
                    <w:tc>
                      <w:tcPr>
                        <w:tcW w:w="3500" w:type="pct"/>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6930"/>
                        </w:tblGrid>
                        <w:tr w:rsidR="00B24CD8">
                          <w:trPr>
                            <w:tblCellSpacing w:w="0" w:type="dxa"/>
                          </w:trPr>
                          <w:tc>
                            <w:tcPr>
                              <w:tcW w:w="5000" w:type="pct"/>
                              <w:hideMark/>
                            </w:tcPr>
                            <w:p w:rsidR="00B24CD8" w:rsidRDefault="00B24CD8">
                              <w:pPr>
                                <w:pStyle w:val="gdp"/>
                                <w:spacing w:before="0" w:beforeAutospacing="0" w:after="0" w:afterAutospacing="0"/>
                                <w:rPr>
                                  <w:rFonts w:ascii="Arial" w:hAnsi="Arial" w:cs="Arial"/>
                                  <w:color w:val="FFFFFF"/>
                                </w:rPr>
                              </w:pPr>
                              <w:r>
                                <w:rPr>
                                  <w:rStyle w:val="Strong"/>
                                  <w:rFonts w:ascii="Arial" w:hAnsi="Arial" w:cs="Arial"/>
                                  <w:color w:val="FFFFFF"/>
                                </w:rPr>
                                <w:t>Enabling a better working world</w:t>
                              </w:r>
                            </w:p>
                          </w:tc>
                        </w:tr>
                        <w:tr w:rsidR="00B24CD8">
                          <w:trPr>
                            <w:tblCellSpacing w:w="0" w:type="dxa"/>
                          </w:trPr>
                          <w:tc>
                            <w:tcPr>
                              <w:tcW w:w="5000" w:type="pct"/>
                              <w:tcMar>
                                <w:top w:w="150" w:type="dxa"/>
                                <w:left w:w="0" w:type="dxa"/>
                                <w:bottom w:w="0" w:type="dxa"/>
                                <w:right w:w="300" w:type="dxa"/>
                              </w:tcMar>
                              <w:hideMark/>
                            </w:tcPr>
                            <w:p w:rsidR="00B24CD8" w:rsidRDefault="00B24CD8">
                              <w:pPr>
                                <w:pStyle w:val="gdp"/>
                                <w:spacing w:before="0" w:beforeAutospacing="0" w:after="0" w:afterAutospacing="0"/>
                                <w:rPr>
                                  <w:rFonts w:ascii="Arial" w:hAnsi="Arial" w:cs="Arial"/>
                                  <w:color w:val="FFFFFF"/>
                                  <w:sz w:val="20"/>
                                  <w:szCs w:val="20"/>
                                </w:rPr>
                              </w:pPr>
                              <w:r>
                                <w:rPr>
                                  <w:rFonts w:ascii="Arial" w:hAnsi="Arial" w:cs="Arial"/>
                                  <w:color w:val="FFFFFF"/>
                                  <w:sz w:val="20"/>
                                  <w:szCs w:val="20"/>
                                </w:rPr>
                                <w:t>Having trouble viewing this email? </w:t>
                              </w:r>
                              <w:hyperlink r:id="rId21" w:tgtFrame="_blank" w:history="1">
                                <w:r>
                                  <w:rPr>
                                    <w:rStyle w:val="Hyperlink"/>
                                    <w:rFonts w:ascii="Arial" w:hAnsi="Arial" w:cs="Arial"/>
                                    <w:color w:val="FFFFFF"/>
                                    <w:sz w:val="20"/>
                                    <w:szCs w:val="20"/>
                                  </w:rPr>
                                  <w:t>Click here to view it as a Web page</w:t>
                                </w:r>
                              </w:hyperlink>
                            </w:p>
                          </w:tc>
                        </w:tr>
                        <w:tr w:rsidR="00B24CD8">
                          <w:trPr>
                            <w:tblCellSpacing w:w="0" w:type="dxa"/>
                          </w:trPr>
                          <w:tc>
                            <w:tcPr>
                              <w:tcW w:w="5000" w:type="pct"/>
                              <w:tcMar>
                                <w:top w:w="150" w:type="dxa"/>
                                <w:left w:w="0" w:type="dxa"/>
                                <w:bottom w:w="0" w:type="dxa"/>
                                <w:right w:w="300" w:type="dxa"/>
                              </w:tcMar>
                              <w:hideMark/>
                            </w:tcPr>
                            <w:p w:rsidR="00B24CD8" w:rsidRDefault="005E682A">
                              <w:pPr>
                                <w:pStyle w:val="NormalWeb"/>
                                <w:spacing w:before="0" w:beforeAutospacing="0" w:after="0" w:afterAutospacing="0"/>
                                <w:rPr>
                                  <w:rFonts w:ascii="Arial" w:hAnsi="Arial" w:cs="Arial"/>
                                  <w:color w:val="FFFFFF"/>
                                  <w:sz w:val="20"/>
                                  <w:szCs w:val="20"/>
                                </w:rPr>
                              </w:pPr>
                              <w:hyperlink r:id="rId22" w:anchor="tab1" w:history="1">
                                <w:r w:rsidR="00B24CD8">
                                  <w:rPr>
                                    <w:rStyle w:val="Hyperlink"/>
                                    <w:rFonts w:ascii="Arial" w:hAnsi="Arial" w:cs="Arial"/>
                                    <w:color w:val="FFFFFF"/>
                                    <w:sz w:val="20"/>
                                    <w:szCs w:val="20"/>
                                  </w:rPr>
                                  <w:t xml:space="preserve">Manage Subscriber Options </w:t>
                                </w:r>
                              </w:hyperlink>
                              <w:r w:rsidR="00B24CD8">
                                <w:rPr>
                                  <w:rFonts w:ascii="Arial" w:hAnsi="Arial" w:cs="Arial"/>
                                  <w:color w:val="FFFFFF"/>
                                  <w:sz w:val="20"/>
                                  <w:szCs w:val="20"/>
                                </w:rPr>
                                <w:t xml:space="preserve">| </w:t>
                              </w:r>
                              <w:hyperlink r:id="rId23" w:history="1">
                                <w:r w:rsidR="00B24CD8">
                                  <w:rPr>
                                    <w:rStyle w:val="Hyperlink"/>
                                    <w:rFonts w:ascii="Arial" w:hAnsi="Arial" w:cs="Arial"/>
                                    <w:color w:val="FFFFFF"/>
                                    <w:sz w:val="20"/>
                                    <w:szCs w:val="20"/>
                                  </w:rPr>
                                  <w:t>Contact Us</w:t>
                                </w:r>
                              </w:hyperlink>
                              <w:r w:rsidR="00B24CD8">
                                <w:rPr>
                                  <w:rFonts w:ascii="Arial" w:hAnsi="Arial" w:cs="Arial"/>
                                  <w:color w:val="FFFFFF"/>
                                  <w:sz w:val="20"/>
                                  <w:szCs w:val="20"/>
                                </w:rPr>
                                <w:t xml:space="preserve"> | </w:t>
                              </w:r>
                              <w:hyperlink r:id="rId24" w:history="1">
                                <w:r w:rsidR="00B24CD8">
                                  <w:rPr>
                                    <w:rStyle w:val="Hyperlink"/>
                                    <w:rFonts w:ascii="Arial" w:hAnsi="Arial" w:cs="Arial"/>
                                    <w:color w:val="FFFFFF"/>
                                    <w:sz w:val="20"/>
                                    <w:szCs w:val="20"/>
                                  </w:rPr>
                                  <w:t>Help</w:t>
                                </w:r>
                              </w:hyperlink>
                              <w:r w:rsidR="00B24CD8">
                                <w:rPr>
                                  <w:rFonts w:ascii="Arial" w:hAnsi="Arial" w:cs="Arial"/>
                                  <w:color w:val="FFFFFF"/>
                                  <w:sz w:val="20"/>
                                  <w:szCs w:val="20"/>
                                </w:rPr>
                                <w:t xml:space="preserve"> | </w:t>
                              </w:r>
                              <w:hyperlink r:id="rId25" w:history="1">
                                <w:r w:rsidR="00B24CD8">
                                  <w:rPr>
                                    <w:rStyle w:val="Hyperlink"/>
                                    <w:rFonts w:ascii="Arial" w:hAnsi="Arial" w:cs="Arial"/>
                                    <w:color w:val="FFFFFF"/>
                                    <w:sz w:val="20"/>
                                    <w:szCs w:val="20"/>
                                  </w:rPr>
                                  <w:t>Unsubscribe</w:t>
                                </w:r>
                              </w:hyperlink>
                            </w:p>
                          </w:tc>
                        </w:tr>
                        <w:tr w:rsidR="00B24CD8">
                          <w:trPr>
                            <w:tblCellSpacing w:w="0" w:type="dxa"/>
                          </w:trPr>
                          <w:tc>
                            <w:tcPr>
                              <w:tcW w:w="5000" w:type="pct"/>
                              <w:tcMar>
                                <w:top w:w="150" w:type="dxa"/>
                                <w:left w:w="0" w:type="dxa"/>
                                <w:bottom w:w="0" w:type="dxa"/>
                                <w:right w:w="300" w:type="dxa"/>
                              </w:tcMar>
                              <w:hideMark/>
                            </w:tcPr>
                            <w:p w:rsidR="00B24CD8" w:rsidRDefault="00B24CD8">
                              <w:pPr>
                                <w:pStyle w:val="gdp"/>
                                <w:spacing w:before="0" w:beforeAutospacing="0" w:after="0" w:afterAutospacing="0"/>
                                <w:rPr>
                                  <w:rFonts w:ascii="Arial" w:hAnsi="Arial" w:cs="Arial"/>
                                  <w:color w:val="FFFFFF"/>
                                  <w:sz w:val="20"/>
                                  <w:szCs w:val="20"/>
                                </w:rPr>
                              </w:pPr>
                              <w:r>
                                <w:rPr>
                                  <w:rFonts w:ascii="Arial" w:hAnsi="Arial" w:cs="Arial"/>
                                  <w:color w:val="FFFFFF"/>
                                  <w:sz w:val="20"/>
                                  <w:szCs w:val="20"/>
                                </w:rPr>
                                <w:t xml:space="preserve">For more information on the work of the Health &amp; Safety Laboratory please visit </w:t>
                              </w:r>
                              <w:hyperlink r:id="rId26" w:history="1">
                                <w:r>
                                  <w:rPr>
                                    <w:rStyle w:val="Hyperlink"/>
                                    <w:rFonts w:ascii="Arial" w:hAnsi="Arial" w:cs="Arial"/>
                                    <w:color w:val="FFFFFF"/>
                                    <w:sz w:val="20"/>
                                    <w:szCs w:val="20"/>
                                  </w:rPr>
                                  <w:t>www.hsl.gov.uk</w:t>
                                </w:r>
                              </w:hyperlink>
                            </w:p>
                          </w:tc>
                        </w:tr>
                        <w:tr w:rsidR="00B24CD8">
                          <w:trPr>
                            <w:tblCellSpacing w:w="0" w:type="dxa"/>
                          </w:trPr>
                          <w:tc>
                            <w:tcPr>
                              <w:tcW w:w="5000" w:type="pct"/>
                              <w:tcMar>
                                <w:top w:w="150" w:type="dxa"/>
                                <w:left w:w="0" w:type="dxa"/>
                                <w:bottom w:w="0" w:type="dxa"/>
                                <w:right w:w="300" w:type="dxa"/>
                              </w:tcMar>
                              <w:hideMark/>
                            </w:tcPr>
                            <w:p w:rsidR="00B24CD8" w:rsidRDefault="00B24CD8">
                              <w:pPr>
                                <w:pStyle w:val="gdp"/>
                                <w:spacing w:before="0" w:beforeAutospacing="0" w:after="0" w:afterAutospacing="0"/>
                                <w:rPr>
                                  <w:rFonts w:ascii="Arial" w:hAnsi="Arial" w:cs="Arial"/>
                                  <w:color w:val="FFFFFF"/>
                                  <w:sz w:val="20"/>
                                  <w:szCs w:val="20"/>
                                </w:rPr>
                              </w:pPr>
                              <w:r>
                                <w:rPr>
                                  <w:rFonts w:ascii="Arial" w:hAnsi="Arial" w:cs="Arial"/>
                                  <w:color w:val="FFFFFF"/>
                                  <w:sz w:val="20"/>
                                  <w:szCs w:val="20"/>
                                </w:rPr>
                                <w:t xml:space="preserve">Please feel free to use this information and pass it on. </w:t>
                              </w:r>
                              <w:r>
                                <w:rPr>
                                  <w:rFonts w:ascii="Arial" w:hAnsi="Arial" w:cs="Arial"/>
                                  <w:noProof/>
                                  <w:color w:val="0000FF"/>
                                  <w:sz w:val="20"/>
                                  <w:szCs w:val="20"/>
                                </w:rPr>
                                <w:drawing>
                                  <wp:inline distT="0" distB="0" distL="0" distR="0" wp14:anchorId="4703D020" wp14:editId="785441F9">
                                    <wp:extent cx="790575" cy="152400"/>
                                    <wp:effectExtent l="0" t="0" r="9525" b="0"/>
                                    <wp:docPr id="2" name="Picture 2" descr="Bookmark and Share">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okmark and Sha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0575" cy="152400"/>
                                            </a:xfrm>
                                            <a:prstGeom prst="rect">
                                              <a:avLst/>
                                            </a:prstGeom>
                                            <a:noFill/>
                                            <a:ln>
                                              <a:noFill/>
                                            </a:ln>
                                          </pic:spPr>
                                        </pic:pic>
                                      </a:graphicData>
                                    </a:graphic>
                                  </wp:inline>
                                </w:drawing>
                              </w:r>
                            </w:p>
                          </w:tc>
                        </w:tr>
                      </w:tbl>
                      <w:p w:rsidR="00B24CD8" w:rsidRDefault="00B24CD8">
                        <w:pPr>
                          <w:rPr>
                            <w:rFonts w:eastAsia="Times New Roman"/>
                            <w:sz w:val="20"/>
                            <w:szCs w:val="20"/>
                          </w:rPr>
                        </w:pPr>
                      </w:p>
                    </w:tc>
                    <w:tc>
                      <w:tcPr>
                        <w:tcW w:w="1500" w:type="pct"/>
                        <w:tcBorders>
                          <w:top w:val="nil"/>
                          <w:left w:val="single" w:sz="8" w:space="0" w:color="CCCCCC"/>
                          <w:bottom w:val="nil"/>
                          <w:right w:val="nil"/>
                        </w:tcBorders>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2950"/>
                        </w:tblGrid>
                        <w:tr w:rsidR="00B24CD8">
                          <w:trPr>
                            <w:tblCellSpacing w:w="0" w:type="dxa"/>
                          </w:trPr>
                          <w:tc>
                            <w:tcPr>
                              <w:tcW w:w="5000" w:type="pct"/>
                              <w:tcMar>
                                <w:top w:w="0" w:type="dxa"/>
                                <w:left w:w="300" w:type="dxa"/>
                                <w:bottom w:w="0" w:type="dxa"/>
                                <w:right w:w="0" w:type="dxa"/>
                              </w:tcMar>
                              <w:hideMark/>
                            </w:tcPr>
                            <w:p w:rsidR="00B24CD8" w:rsidRDefault="00B24CD8">
                              <w:pPr>
                                <w:pStyle w:val="gdp"/>
                                <w:spacing w:before="0" w:beforeAutospacing="0" w:after="0" w:afterAutospacing="0"/>
                                <w:rPr>
                                  <w:rFonts w:ascii="Arial" w:hAnsi="Arial" w:cs="Arial"/>
                                  <w:color w:val="FFFFFF"/>
                                </w:rPr>
                              </w:pPr>
                              <w:r>
                                <w:rPr>
                                  <w:rStyle w:val="Strong"/>
                                  <w:rFonts w:ascii="Arial" w:hAnsi="Arial" w:cs="Arial"/>
                                  <w:color w:val="FFFFFF"/>
                                </w:rPr>
                                <w:t>Feedback</w:t>
                              </w:r>
                            </w:p>
                          </w:tc>
                        </w:tr>
                        <w:tr w:rsidR="00B24CD8">
                          <w:trPr>
                            <w:tblCellSpacing w:w="0" w:type="dxa"/>
                          </w:trPr>
                          <w:tc>
                            <w:tcPr>
                              <w:tcW w:w="5000" w:type="pct"/>
                              <w:tcMar>
                                <w:top w:w="150" w:type="dxa"/>
                                <w:left w:w="300" w:type="dxa"/>
                                <w:bottom w:w="0" w:type="dxa"/>
                                <w:right w:w="0" w:type="dxa"/>
                              </w:tcMar>
                              <w:hideMark/>
                            </w:tcPr>
                            <w:p w:rsidR="00B24CD8" w:rsidRDefault="00B24CD8">
                              <w:pPr>
                                <w:pStyle w:val="gdp"/>
                                <w:spacing w:before="0" w:beforeAutospacing="0" w:after="0" w:afterAutospacing="0"/>
                                <w:rPr>
                                  <w:rFonts w:ascii="Arial" w:hAnsi="Arial" w:cs="Arial"/>
                                  <w:color w:val="FFFFFF"/>
                                  <w:sz w:val="20"/>
                                  <w:szCs w:val="20"/>
                                </w:rPr>
                              </w:pPr>
                              <w:r>
                                <w:rPr>
                                  <w:rFonts w:ascii="Arial" w:hAnsi="Arial" w:cs="Arial"/>
                                  <w:color w:val="FFFFFF"/>
                                  <w:sz w:val="20"/>
                                  <w:szCs w:val="20"/>
                                </w:rPr>
                                <w:t xml:space="preserve">Any ideas for improving the </w:t>
                              </w:r>
                              <w:proofErr w:type="spellStart"/>
                              <w:r>
                                <w:rPr>
                                  <w:rFonts w:ascii="Arial" w:hAnsi="Arial" w:cs="Arial"/>
                                  <w:color w:val="FFFFFF"/>
                                  <w:sz w:val="20"/>
                                  <w:szCs w:val="20"/>
                                </w:rPr>
                                <w:t>eBulletin</w:t>
                              </w:r>
                              <w:proofErr w:type="spellEnd"/>
                              <w:r>
                                <w:rPr>
                                  <w:rFonts w:ascii="Arial" w:hAnsi="Arial" w:cs="Arial"/>
                                  <w:color w:val="FFFFFF"/>
                                  <w:sz w:val="20"/>
                                  <w:szCs w:val="20"/>
                                </w:rPr>
                                <w:t>, please get in touch:</w:t>
                              </w:r>
                            </w:p>
                          </w:tc>
                        </w:tr>
                        <w:tr w:rsidR="00B24CD8">
                          <w:trPr>
                            <w:tblCellSpacing w:w="0" w:type="dxa"/>
                          </w:trPr>
                          <w:tc>
                            <w:tcPr>
                              <w:tcW w:w="5000" w:type="pct"/>
                              <w:tcMar>
                                <w:top w:w="150" w:type="dxa"/>
                                <w:left w:w="300" w:type="dxa"/>
                                <w:bottom w:w="0" w:type="dxa"/>
                                <w:right w:w="0" w:type="dxa"/>
                              </w:tcMar>
                              <w:hideMark/>
                            </w:tcPr>
                            <w:p w:rsidR="00B24CD8" w:rsidRDefault="005E682A">
                              <w:pPr>
                                <w:pStyle w:val="gdp"/>
                                <w:spacing w:before="0" w:beforeAutospacing="0" w:after="0" w:afterAutospacing="0"/>
                                <w:rPr>
                                  <w:rFonts w:ascii="Arial" w:hAnsi="Arial" w:cs="Arial"/>
                                  <w:color w:val="FFFFFF"/>
                                  <w:sz w:val="20"/>
                                  <w:szCs w:val="20"/>
                                </w:rPr>
                              </w:pPr>
                              <w:hyperlink r:id="rId29" w:history="1">
                                <w:r w:rsidR="00B24CD8">
                                  <w:rPr>
                                    <w:rStyle w:val="Hyperlink"/>
                                    <w:rFonts w:ascii="Arial" w:hAnsi="Arial" w:cs="Arial"/>
                                    <w:color w:val="FFFFFF"/>
                                    <w:sz w:val="20"/>
                                    <w:szCs w:val="20"/>
                                  </w:rPr>
                                  <w:t>hslinfo@hsl.gsi.gov.uk</w:t>
                                </w:r>
                              </w:hyperlink>
                            </w:p>
                          </w:tc>
                        </w:tr>
                      </w:tbl>
                      <w:p w:rsidR="00B24CD8" w:rsidRDefault="00B24CD8">
                        <w:pPr>
                          <w:rPr>
                            <w:rFonts w:eastAsia="Times New Roman"/>
                            <w:sz w:val="20"/>
                            <w:szCs w:val="20"/>
                          </w:rPr>
                        </w:pPr>
                      </w:p>
                    </w:tc>
                  </w:tr>
                </w:tbl>
                <w:p w:rsidR="00B24CD8" w:rsidRDefault="00B24CD8">
                  <w:pPr>
                    <w:jc w:val="center"/>
                    <w:rPr>
                      <w:rFonts w:eastAsia="Times New Roman"/>
                      <w:sz w:val="20"/>
                      <w:szCs w:val="20"/>
                    </w:rPr>
                  </w:pPr>
                </w:p>
              </w:tc>
            </w:tr>
          </w:tbl>
          <w:p w:rsidR="00B24CD8" w:rsidRDefault="00B24CD8">
            <w:pPr>
              <w:jc w:val="center"/>
              <w:rPr>
                <w:rFonts w:eastAsia="Times New Roman"/>
                <w:sz w:val="20"/>
                <w:szCs w:val="20"/>
              </w:rPr>
            </w:pPr>
          </w:p>
        </w:tc>
      </w:tr>
    </w:tbl>
    <w:p w:rsidR="00B24CD8" w:rsidRDefault="005E682A" w:rsidP="00B24CD8">
      <w:pPr>
        <w:jc w:val="center"/>
        <w:rPr>
          <w:rFonts w:eastAsia="Times New Roman"/>
          <w:lang w:val="en"/>
        </w:rPr>
      </w:pPr>
      <w:r>
        <w:rPr>
          <w:rFonts w:eastAsia="Times New Roman"/>
          <w:lang w:val="en"/>
        </w:rPr>
        <w:pict>
          <v:rect id="_x0000_i1025"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7286"/>
        <w:gridCol w:w="1740"/>
      </w:tblGrid>
      <w:tr w:rsidR="00B24CD8" w:rsidTr="00B24CD8">
        <w:trPr>
          <w:tblCellSpacing w:w="0" w:type="dxa"/>
        </w:trPr>
        <w:tc>
          <w:tcPr>
            <w:tcW w:w="4450" w:type="pct"/>
            <w:vAlign w:val="center"/>
            <w:hideMark/>
          </w:tcPr>
          <w:p w:rsidR="00B24CD8" w:rsidRDefault="00B24CD8">
            <w:pPr>
              <w:rPr>
                <w:rFonts w:ascii="Arial" w:hAnsi="Arial" w:cs="Arial"/>
                <w:color w:val="757575"/>
                <w:sz w:val="15"/>
                <w:szCs w:val="15"/>
              </w:rPr>
            </w:pPr>
            <w:r>
              <w:rPr>
                <w:rFonts w:ascii="Arial" w:hAnsi="Arial" w:cs="Arial"/>
                <w:color w:val="757575"/>
                <w:sz w:val="15"/>
                <w:szCs w:val="15"/>
              </w:rPr>
              <w:t xml:space="preserve">This email was sent to </w:t>
            </w:r>
            <w:hyperlink r:id="rId30" w:history="1">
              <w:r>
                <w:rPr>
                  <w:rStyle w:val="Hyperlink"/>
                  <w:rFonts w:ascii="Arial" w:hAnsi="Arial" w:cs="Arial"/>
                  <w:sz w:val="15"/>
                  <w:szCs w:val="15"/>
                </w:rPr>
                <w:t>johnharris@bpa.co.uk</w:t>
              </w:r>
            </w:hyperlink>
            <w:r>
              <w:rPr>
                <w:rFonts w:ascii="Arial" w:hAnsi="Arial" w:cs="Arial"/>
                <w:color w:val="757575"/>
                <w:sz w:val="15"/>
                <w:szCs w:val="15"/>
              </w:rPr>
              <w:t xml:space="preserve"> using GovDelivery, on behalf of: Health &amp; Safety Laboratory · </w:t>
            </w:r>
            <w:proofErr w:type="spellStart"/>
            <w:r>
              <w:rPr>
                <w:rFonts w:ascii="Arial" w:hAnsi="Arial" w:cs="Arial"/>
                <w:color w:val="757575"/>
                <w:sz w:val="15"/>
                <w:szCs w:val="15"/>
              </w:rPr>
              <w:t>Harpur</w:t>
            </w:r>
            <w:proofErr w:type="spellEnd"/>
            <w:r>
              <w:rPr>
                <w:rFonts w:ascii="Arial" w:hAnsi="Arial" w:cs="Arial"/>
                <w:color w:val="757575"/>
                <w:sz w:val="15"/>
                <w:szCs w:val="15"/>
              </w:rPr>
              <w:t xml:space="preserve"> Hill · Buxton · Derbyshire · SK17 9JN · UK</w:t>
            </w:r>
          </w:p>
        </w:tc>
        <w:tc>
          <w:tcPr>
            <w:tcW w:w="550" w:type="pct"/>
            <w:vAlign w:val="center"/>
            <w:hideMark/>
          </w:tcPr>
          <w:p w:rsidR="00B24CD8" w:rsidRDefault="00B24CD8">
            <w:pPr>
              <w:jc w:val="right"/>
            </w:pPr>
            <w:r>
              <w:rPr>
                <w:noProof/>
                <w:color w:val="0000FF"/>
              </w:rPr>
              <w:drawing>
                <wp:inline distT="0" distB="0" distL="0" distR="0" wp14:anchorId="5373F24E" wp14:editId="22237620">
                  <wp:extent cx="1095375" cy="333375"/>
                  <wp:effectExtent l="0" t="0" r="9525" b="9525"/>
                  <wp:docPr id="1" name="Picture 1" descr="Powered by GovDelivery">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ed by GovDeliver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p>
        </w:tc>
      </w:tr>
      <w:bookmarkEnd w:id="0"/>
    </w:tbl>
    <w:p w:rsidR="00B24CD8" w:rsidRDefault="00B24CD8" w:rsidP="00B24CD8">
      <w:pPr>
        <w:rPr>
          <w:lang w:val="en"/>
        </w:rPr>
      </w:pPr>
    </w:p>
    <w:p w:rsidR="00095666" w:rsidRPr="00B24CD8" w:rsidRDefault="00095666" w:rsidP="00B24CD8"/>
    <w:sectPr w:rsidR="00095666" w:rsidRPr="00B24CD8">
      <w:head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82A" w:rsidRDefault="005E682A" w:rsidP="00984B4F">
      <w:r>
        <w:separator/>
      </w:r>
    </w:p>
  </w:endnote>
  <w:endnote w:type="continuationSeparator" w:id="0">
    <w:p w:rsidR="005E682A" w:rsidRDefault="005E682A" w:rsidP="0098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82A" w:rsidRDefault="005E682A" w:rsidP="00984B4F">
      <w:r>
        <w:separator/>
      </w:r>
    </w:p>
  </w:footnote>
  <w:footnote w:type="continuationSeparator" w:id="0">
    <w:p w:rsidR="005E682A" w:rsidRDefault="005E682A" w:rsidP="00984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4F" w:rsidRPr="00984B4F" w:rsidRDefault="0067352B" w:rsidP="00984B4F">
    <w:pPr>
      <w:pStyle w:val="Header"/>
      <w:jc w:val="right"/>
      <w:rPr>
        <w:b/>
      </w:rPr>
    </w:pPr>
    <w:r>
      <w:rPr>
        <w:b/>
      </w:rPr>
      <w:t>PIWG 16 017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237D5"/>
    <w:multiLevelType w:val="multilevel"/>
    <w:tmpl w:val="64988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D8"/>
    <w:rsid w:val="00095666"/>
    <w:rsid w:val="005E682A"/>
    <w:rsid w:val="0067352B"/>
    <w:rsid w:val="00930DB3"/>
    <w:rsid w:val="00984B4F"/>
    <w:rsid w:val="00B24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A7588D-DFF0-45A6-B2C6-09CA93EE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CD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24CD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CD8"/>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24CD8"/>
    <w:rPr>
      <w:color w:val="0000FF"/>
      <w:u w:val="single"/>
    </w:rPr>
  </w:style>
  <w:style w:type="paragraph" w:styleId="NormalWeb">
    <w:name w:val="Normal (Web)"/>
    <w:basedOn w:val="Normal"/>
    <w:uiPriority w:val="99"/>
    <w:semiHidden/>
    <w:unhideWhenUsed/>
    <w:rsid w:val="00B24CD8"/>
    <w:pPr>
      <w:spacing w:before="100" w:beforeAutospacing="1" w:after="100" w:afterAutospacing="1"/>
    </w:pPr>
  </w:style>
  <w:style w:type="paragraph" w:customStyle="1" w:styleId="gdp">
    <w:name w:val="gd_p"/>
    <w:basedOn w:val="Normal"/>
    <w:uiPriority w:val="99"/>
    <w:semiHidden/>
    <w:rsid w:val="00B24CD8"/>
    <w:pPr>
      <w:spacing w:before="100" w:beforeAutospacing="1" w:after="100" w:afterAutospacing="1"/>
    </w:pPr>
  </w:style>
  <w:style w:type="character" w:styleId="Strong">
    <w:name w:val="Strong"/>
    <w:basedOn w:val="DefaultParagraphFont"/>
    <w:uiPriority w:val="22"/>
    <w:qFormat/>
    <w:rsid w:val="00B24CD8"/>
    <w:rPr>
      <w:b/>
      <w:bCs/>
    </w:rPr>
  </w:style>
  <w:style w:type="paragraph" w:styleId="Header">
    <w:name w:val="header"/>
    <w:basedOn w:val="Normal"/>
    <w:link w:val="HeaderChar"/>
    <w:uiPriority w:val="99"/>
    <w:unhideWhenUsed/>
    <w:rsid w:val="00984B4F"/>
    <w:pPr>
      <w:tabs>
        <w:tab w:val="center" w:pos="4513"/>
        <w:tab w:val="right" w:pos="9026"/>
      </w:tabs>
    </w:pPr>
  </w:style>
  <w:style w:type="character" w:customStyle="1" w:styleId="HeaderChar">
    <w:name w:val="Header Char"/>
    <w:basedOn w:val="DefaultParagraphFont"/>
    <w:link w:val="Header"/>
    <w:uiPriority w:val="99"/>
    <w:rsid w:val="00984B4F"/>
    <w:rPr>
      <w:rFonts w:ascii="Times New Roman" w:hAnsi="Times New Roman" w:cs="Times New Roman"/>
      <w:sz w:val="24"/>
      <w:szCs w:val="24"/>
    </w:rPr>
  </w:style>
  <w:style w:type="paragraph" w:styleId="Footer">
    <w:name w:val="footer"/>
    <w:basedOn w:val="Normal"/>
    <w:link w:val="FooterChar"/>
    <w:uiPriority w:val="99"/>
    <w:unhideWhenUsed/>
    <w:rsid w:val="00984B4F"/>
    <w:pPr>
      <w:tabs>
        <w:tab w:val="center" w:pos="4513"/>
        <w:tab w:val="right" w:pos="9026"/>
      </w:tabs>
    </w:pPr>
  </w:style>
  <w:style w:type="character" w:customStyle="1" w:styleId="FooterChar">
    <w:name w:val="Footer Char"/>
    <w:basedOn w:val="DefaultParagraphFont"/>
    <w:link w:val="Footer"/>
    <w:uiPriority w:val="99"/>
    <w:rsid w:val="00984B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22435">
      <w:bodyDiv w:val="1"/>
      <w:marLeft w:val="0"/>
      <w:marRight w:val="0"/>
      <w:marTop w:val="0"/>
      <w:marBottom w:val="0"/>
      <w:divBdr>
        <w:top w:val="none" w:sz="0" w:space="0" w:color="auto"/>
        <w:left w:val="none" w:sz="0" w:space="0" w:color="auto"/>
        <w:bottom w:val="none" w:sz="0" w:space="0" w:color="auto"/>
        <w:right w:val="none" w:sz="0" w:space="0" w:color="auto"/>
      </w:divBdr>
    </w:div>
    <w:div w:id="947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links.govdelivery.com/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02&amp;&amp;&amp;http://www.linkedin.com/company/74487?trk=tyah&amp;trkInfo=tas:Health%20and%20safety%20,idx:1-3-3" TargetMode="External"/><Relationship Id="rId18" Type="http://schemas.openxmlformats.org/officeDocument/2006/relationships/image" Target="media/image6.png"/><Relationship Id="rId26" Type="http://schemas.openxmlformats.org/officeDocument/2006/relationships/hyperlink" Target="http://links.govdelivery.com:80/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11&amp;&amp;&amp;http://www.hsl.gov.uk/" TargetMode="External"/><Relationship Id="rId3" Type="http://schemas.openxmlformats.org/officeDocument/2006/relationships/settings" Target="settings.xml"/><Relationship Id="rId21" Type="http://schemas.openxmlformats.org/officeDocument/2006/relationships/hyperlink" Target="http://links.govdelivery.com:80/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06&amp;&amp;&amp;http://content.govdelivery.com/accounts/UKHSL/bulletins/125e1b8"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links.govdelivery.com/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04&amp;&amp;&amp;http://content.govdelivery.com/accounts/UKHSL/bulletins/125e1b8" TargetMode="External"/><Relationship Id="rId25" Type="http://schemas.openxmlformats.org/officeDocument/2006/relationships/hyperlink" Target="http://links.govdelivery.com:80/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10&amp;&amp;&amp;https://public.govdelivery.com/accounts/UKHSL/subscriber/one_click_unsubscribe?verification=5.6e40cd7c6ba5c617bd5175f6b6ccdcc1&amp;destination=johnharris@bpa.co.uk"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mailto:hslinfo@hsl.gs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govdelivery.com/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01&amp;&amp;&amp;https://twitter.com/HSL_Solutions" TargetMode="External"/><Relationship Id="rId24" Type="http://schemas.openxmlformats.org/officeDocument/2006/relationships/hyperlink" Target="http://links.govdelivery.com:80/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09&amp;&amp;&amp;https://subscriberhelp.govdelivery.com/" TargetMode="External"/><Relationship Id="rId32" Type="http://schemas.openxmlformats.org/officeDocument/2006/relationships/image" Target="media/image9.gif"/><Relationship Id="rId5" Type="http://schemas.openxmlformats.org/officeDocument/2006/relationships/footnotes" Target="footnotes.xml"/><Relationship Id="rId15" Type="http://schemas.openxmlformats.org/officeDocument/2006/relationships/hyperlink" Target="http://links.govdelivery.com/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03&amp;&amp;&amp;http://www.youtube.com/user/hslbuxton1" TargetMode="External"/><Relationship Id="rId23" Type="http://schemas.openxmlformats.org/officeDocument/2006/relationships/hyperlink" Target="http://links.govdelivery.com:80/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08&amp;&amp;&amp;http://www.hsl.gov.uk/contact-us" TargetMode="External"/><Relationship Id="rId28" Type="http://schemas.openxmlformats.org/officeDocument/2006/relationships/image" Target="media/image8.gif"/><Relationship Id="rId10" Type="http://schemas.openxmlformats.org/officeDocument/2006/relationships/hyperlink" Target="http://links.govdelivery.com:80/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00&amp;&amp;&amp;http://www.hsl.gov.uk/what-we-do/ale/engineered-composite-repairs?utm_source=Oil%20%26%20Gas%20e-Bulletin%20November&amp;utm_medium=e-Bulletin&amp;utm_campaign=Engineered%20Composite%20Repairs" TargetMode="External"/><Relationship Id="rId19" Type="http://schemas.openxmlformats.org/officeDocument/2006/relationships/hyperlink" Target="http://links.govdelivery.com/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05&amp;&amp;&amp;https://public.govdelivery.com/accounts/UKHSL/subscriber/new" TargetMode="External"/><Relationship Id="rId31" Type="http://schemas.openxmlformats.org/officeDocument/2006/relationships/hyperlink" Target="http://links.govdelivery.com/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13&amp;&amp;&amp;http://www.govdelivery.com/portals/powered-by" TargetMode="External"/><Relationship Id="rId4" Type="http://schemas.openxmlformats.org/officeDocument/2006/relationships/webSettings" Target="webSettings.xml"/><Relationship Id="rId9" Type="http://schemas.openxmlformats.org/officeDocument/2006/relationships/image" Target="http://content.govdelivery.com/attachments/fancy_images/UKHSL/2015/11/673393/725039/drilling-platform_crop.png" TargetMode="External"/><Relationship Id="rId14" Type="http://schemas.openxmlformats.org/officeDocument/2006/relationships/image" Target="media/image4.png"/><Relationship Id="rId22" Type="http://schemas.openxmlformats.org/officeDocument/2006/relationships/hyperlink" Target="http://links.govdelivery.com:80/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07&amp;&amp;&amp;https://public.govdelivery.com/accounts/UKHSL/subscriber/edit?preferences=true" TargetMode="External"/><Relationship Id="rId27" Type="http://schemas.openxmlformats.org/officeDocument/2006/relationships/hyperlink" Target="http://links.govdelivery.com/track?type=click&amp;enid=ZWFzPTEmbWFpbGluZ2lkPTIwMTUxMTE4LjUxNTkzNjIxJm1lc3NhZ2VpZD1NREItUFJELUJVTC0yMDE1MTExOC41MTU5MzYyMSZkYXRhYmFzZWlkPTEwMDEmc2VyaWFsPTE2OTQyNjEzJmVtYWlsaWQ9am9obmhhcnJpc0BicGEuY28udWsmdXNlcmlkPWpvaG5oYXJyaXNAYnBhLmNvLnVrJmZsPSZleHRyYT1NdWx0aXZhcmlhdGVJZD0mJiY=&amp;&amp;&amp;112&amp;&amp;&amp;http://content.govdelivery.com/accounts/UKHSL/bulletins/125e1b8?reqfrom=share" TargetMode="External"/><Relationship Id="rId30" Type="http://schemas.openxmlformats.org/officeDocument/2006/relationships/hyperlink" Target="mailto:johnharris@bpa.co.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Jackson</dc:creator>
  <cp:keywords/>
  <dc:description/>
  <cp:lastModifiedBy>Neil Jackson</cp:lastModifiedBy>
  <cp:revision>3</cp:revision>
  <dcterms:created xsi:type="dcterms:W3CDTF">2016-05-05T09:32:00Z</dcterms:created>
  <dcterms:modified xsi:type="dcterms:W3CDTF">2016-05-06T08:37:00Z</dcterms:modified>
</cp:coreProperties>
</file>