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A9C0F" w14:textId="77777777" w:rsidR="005968BD" w:rsidRDefault="00F368C2" w:rsidP="005715C4">
      <w:pPr>
        <w:pStyle w:val="FrontPenspen"/>
        <w:pBdr>
          <w:top w:val="none" w:sz="0" w:space="0" w:color="auto"/>
        </w:pBdr>
        <w:spacing w:after="0"/>
      </w:pPr>
      <w:r>
        <w:br w:type="textWrapping" w:clear="all"/>
      </w:r>
    </w:p>
    <w:p w14:paraId="02A1CE22" w14:textId="77777777" w:rsidR="00CE1BFF" w:rsidRDefault="00CE1BFF" w:rsidP="00F368C2">
      <w:pPr>
        <w:pStyle w:val="FrontPenspen"/>
        <w:pBdr>
          <w:top w:val="none" w:sz="0" w:space="0" w:color="auto"/>
        </w:pBdr>
        <w:spacing w:after="2520"/>
      </w:pPr>
    </w:p>
    <w:p w14:paraId="146DAA4C" w14:textId="77777777" w:rsidR="00012F42" w:rsidRPr="00BF7AD5" w:rsidRDefault="00377F06"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F24377AF33344563935CECDCF6CFD6E2"/>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4E2AE513" w14:textId="32895D6C" w:rsidR="003F7240" w:rsidRPr="00BF7AD5" w:rsidRDefault="00377F06"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5921B16FCC5E4651BDC4791134648A3F"/>
          </w:placeholder>
          <w:dataBinding w:prefixMappings="xmlns:ns0='http://purl.org/dc/elements/1.1/' xmlns:ns1='http://schemas.openxmlformats.org/package/2006/metadata/core-properties' " w:xpath="/ns1:coreProperties[1]/ns0:subject[1]" w:storeItemID="{6C3C8BC8-F283-45AE-878A-BAB7291924A1}"/>
          <w:text/>
        </w:sdtPr>
        <w:sdtEndPr/>
        <w:sdtContent>
          <w:r w:rsidR="003174A2">
            <w:rPr>
              <w:color w:val="003656" w:themeColor="accent4" w:themeTint="E6"/>
            </w:rPr>
            <w:t>Lower bound for required fatigue assessment of pipeline dents</w:t>
          </w:r>
        </w:sdtContent>
      </w:sdt>
    </w:p>
    <w:sdt>
      <w:sdtPr>
        <w:rPr>
          <w:color w:val="003656" w:themeColor="accent4" w:themeTint="E6"/>
          <w:sz w:val="32"/>
          <w:szCs w:val="32"/>
        </w:rPr>
        <w:alias w:val="Comments"/>
        <w:tag w:val=""/>
        <w:id w:val="1506479213"/>
        <w:placeholder>
          <w:docPart w:val="69765DCB9B20410BBE3A6DF075CCA382"/>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EA2F4F9" w14:textId="3BD927EF" w:rsidR="003F7240" w:rsidRPr="00BF7AD5" w:rsidRDefault="00C27876"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w:t>
          </w:r>
          <w:r w:rsidR="006F5ECE">
            <w:rPr>
              <w:color w:val="003656" w:themeColor="accent4" w:themeTint="E6"/>
              <w:sz w:val="32"/>
              <w:szCs w:val="32"/>
            </w:rPr>
            <w:t>TBN</w:t>
          </w:r>
          <w:r>
            <w:rPr>
              <w:color w:val="003656" w:themeColor="accent4" w:themeTint="E6"/>
              <w:sz w:val="32"/>
              <w:szCs w:val="32"/>
            </w:rPr>
            <w:t>/</w:t>
          </w:r>
          <w:r w:rsidR="003174A2">
            <w:rPr>
              <w:color w:val="003656" w:themeColor="accent4" w:themeTint="E6"/>
              <w:sz w:val="32"/>
              <w:szCs w:val="32"/>
            </w:rPr>
            <w:t>010</w:t>
          </w:r>
          <w:r>
            <w:rPr>
              <w:color w:val="003656" w:themeColor="accent4" w:themeTint="E6"/>
              <w:sz w:val="32"/>
              <w:szCs w:val="32"/>
            </w:rPr>
            <w:t xml:space="preserve"> Edition </w:t>
          </w:r>
          <w:r w:rsidR="007176D3">
            <w:rPr>
              <w:color w:val="003656" w:themeColor="accent4" w:themeTint="E6"/>
              <w:sz w:val="32"/>
              <w:szCs w:val="32"/>
            </w:rPr>
            <w:t>1</w:t>
          </w:r>
        </w:p>
      </w:sdtContent>
    </w:sdt>
    <w:p w14:paraId="2C9CE3F4" w14:textId="1B0DD75F" w:rsidR="00997863" w:rsidRPr="00BF7AD5" w:rsidRDefault="00377F06"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74B2EDEE96E94EB7977943F205FCE34A"/>
          </w:placeholder>
          <w:date w:fullDate="2019-10-09T00:00:00Z">
            <w:dateFormat w:val="MMMM yyyy"/>
            <w:lid w:val="en-GB"/>
            <w:storeMappedDataAs w:val="dateTime"/>
            <w:calendar w:val="gregorian"/>
          </w:date>
        </w:sdtPr>
        <w:sdtEndPr/>
        <w:sdtContent>
          <w:r w:rsidR="003174A2">
            <w:rPr>
              <w:color w:val="003656" w:themeColor="accent4" w:themeTint="E6"/>
              <w:sz w:val="32"/>
              <w:szCs w:val="32"/>
            </w:rPr>
            <w:t>October 2019</w:t>
          </w:r>
        </w:sdtContent>
      </w:sdt>
    </w:p>
    <w:p w14:paraId="19E1C5E9" w14:textId="77777777" w:rsidR="00997863" w:rsidRDefault="00997863" w:rsidP="00997863">
      <w:pPr>
        <w:rPr>
          <w:rFonts w:ascii="Calibri" w:eastAsiaTheme="majorEastAsia" w:hAnsi="Calibri" w:cstheme="majorBidi"/>
          <w:noProof/>
          <w:sz w:val="36"/>
          <w:szCs w:val="36"/>
        </w:rPr>
      </w:pPr>
    </w:p>
    <w:p w14:paraId="05722CF4" w14:textId="77777777" w:rsidR="006F5ECE" w:rsidRPr="00997863" w:rsidRDefault="006F5ECE" w:rsidP="006F5ECE">
      <w:pPr>
        <w:jc w:val="center"/>
      </w:pPr>
    </w:p>
    <w:p w14:paraId="08332DB0" w14:textId="77777777" w:rsidR="00997863" w:rsidRPr="00997863" w:rsidRDefault="00997863" w:rsidP="00FA683B">
      <w:pPr>
        <w:jc w:val="center"/>
      </w:pPr>
    </w:p>
    <w:p w14:paraId="2E6C7063" w14:textId="77777777" w:rsidR="00997863" w:rsidRDefault="00997863" w:rsidP="00997863"/>
    <w:p w14:paraId="11204954" w14:textId="77777777" w:rsidR="002B6494" w:rsidRDefault="002B6494" w:rsidP="00997863"/>
    <w:p w14:paraId="1EA9DA4F" w14:textId="77777777" w:rsidR="002B6494" w:rsidRDefault="002B6494" w:rsidP="00997863"/>
    <w:p w14:paraId="7528C46A" w14:textId="77777777" w:rsidR="002B6494" w:rsidRDefault="002B6494" w:rsidP="00997863"/>
    <w:p w14:paraId="38040DCB" w14:textId="77777777" w:rsidR="002B6494" w:rsidRDefault="002B6494" w:rsidP="00997863"/>
    <w:p w14:paraId="0E92052F" w14:textId="77777777" w:rsidR="002B6494" w:rsidRDefault="002B6494" w:rsidP="00997863"/>
    <w:p w14:paraId="12DD86C9" w14:textId="77777777" w:rsidR="002B6494" w:rsidRPr="00997863" w:rsidRDefault="002B6494" w:rsidP="00997863"/>
    <w:p w14:paraId="57889506" w14:textId="77777777" w:rsidR="00997863" w:rsidRPr="00997863" w:rsidRDefault="00997863" w:rsidP="00997863"/>
    <w:p w14:paraId="2DC9F660" w14:textId="77777777" w:rsidR="005968BD" w:rsidRPr="00997863" w:rsidRDefault="005968BD" w:rsidP="002B6494">
      <w:pPr>
        <w:jc w:val="right"/>
        <w:sectPr w:rsidR="005968BD" w:rsidRPr="00997863" w:rsidSect="00C67A85">
          <w:headerReference w:type="default" r:id="rId8"/>
          <w:footerReference w:type="even" r:id="rId9"/>
          <w:footerReference w:type="default" r:id="rId10"/>
          <w:headerReference w:type="first" r:id="rId11"/>
          <w:endnotePr>
            <w:numFmt w:val="decimal"/>
          </w:endnotePr>
          <w:type w:val="continuous"/>
          <w:pgSz w:w="11909" w:h="16834" w:code="9"/>
          <w:pgMar w:top="1385" w:right="720" w:bottom="720" w:left="720" w:header="454" w:footer="958" w:gutter="0"/>
          <w:cols w:space="720"/>
          <w:docGrid w:linePitch="272"/>
        </w:sectPr>
      </w:pPr>
    </w:p>
    <w:p w14:paraId="37FD89A2" w14:textId="77777777" w:rsidR="00175244" w:rsidRPr="00175244" w:rsidRDefault="00D83662" w:rsidP="00175244">
      <w:pPr>
        <w:pStyle w:val="BodyText"/>
        <w:ind w:left="284"/>
        <w:rPr>
          <w:rFonts w:cs="Arial"/>
          <w:b/>
          <w:color w:val="003656" w:themeColor="accent4" w:themeTint="E6"/>
        </w:rPr>
      </w:pPr>
      <w:r>
        <w:rPr>
          <w:rFonts w:cs="Arial"/>
          <w:b/>
          <w:color w:val="003656" w:themeColor="accent4" w:themeTint="E6"/>
        </w:rPr>
        <w:lastRenderedPageBreak/>
        <w:t xml:space="preserve">TECHNICAL BRIEFING NOTE </w:t>
      </w:r>
      <w:r w:rsidR="00175244" w:rsidRPr="00175244">
        <w:rPr>
          <w:rFonts w:cs="Arial"/>
          <w:b/>
          <w:color w:val="003656" w:themeColor="accent4" w:themeTint="E6"/>
        </w:rPr>
        <w:t>GUIDANCE ISSUED BY UKOPA:</w:t>
      </w:r>
    </w:p>
    <w:p w14:paraId="1495CDA4" w14:textId="77777777" w:rsidR="00175244" w:rsidRPr="007A09E5" w:rsidRDefault="00796ADA" w:rsidP="003C1027">
      <w:pPr>
        <w:pStyle w:val="BodyText"/>
        <w:ind w:left="284"/>
        <w:rPr>
          <w:rFonts w:cs="Arial"/>
        </w:rPr>
      </w:pPr>
      <w:r w:rsidRPr="007A09E5">
        <w:rPr>
          <w:rFonts w:cs="Arial"/>
        </w:rPr>
        <w:t>This Technical Briefing Note (TBN)</w:t>
      </w:r>
      <w:r w:rsidR="007A09E5">
        <w:rPr>
          <w:rFonts w:cs="Arial"/>
        </w:rPr>
        <w:t xml:space="preserve"> identifies</w:t>
      </w:r>
      <w:r w:rsidR="00175244" w:rsidRPr="007A09E5">
        <w:rPr>
          <w:rFonts w:cs="Arial"/>
        </w:rPr>
        <w:t xml:space="preserve"> what is considered by UKOPA to represent current UK pipeline industry good practice within the defined scope of the </w:t>
      </w:r>
      <w:r w:rsidR="003C1027" w:rsidRPr="007A09E5">
        <w:rPr>
          <w:rFonts w:cs="Arial"/>
        </w:rPr>
        <w:t xml:space="preserve">document.  All information is </w:t>
      </w:r>
      <w:r w:rsidR="00175244" w:rsidRPr="007A09E5">
        <w:rPr>
          <w:rFonts w:cs="Arial"/>
        </w:rPr>
        <w:t>guidance and should not be considered obligato</w:t>
      </w:r>
      <w:r w:rsidR="003C1027" w:rsidRPr="007A09E5">
        <w:rPr>
          <w:rFonts w:cs="Arial"/>
        </w:rPr>
        <w:t xml:space="preserve">ry against the judgement of the </w:t>
      </w:r>
      <w:r w:rsidR="00175244" w:rsidRPr="007A09E5">
        <w:rPr>
          <w:rFonts w:cs="Arial"/>
        </w:rPr>
        <w:t xml:space="preserve">Pipeline Owner/Operator.  Where new and better techniques are </w:t>
      </w:r>
      <w:r w:rsidR="007A09E5">
        <w:rPr>
          <w:rFonts w:cs="Arial"/>
        </w:rPr>
        <w:t>developed</w:t>
      </w:r>
      <w:r w:rsidR="00175244" w:rsidRPr="007A09E5">
        <w:rPr>
          <w:rFonts w:cs="Arial"/>
        </w:rPr>
        <w:t xml:space="preserve"> and proved, they should be adopted without waiting for modifications to this</w:t>
      </w:r>
      <w:r w:rsidR="003C1027" w:rsidRPr="007A09E5">
        <w:rPr>
          <w:rFonts w:cs="Arial"/>
        </w:rPr>
        <w:t xml:space="preserve"> TBN.</w:t>
      </w:r>
    </w:p>
    <w:p w14:paraId="51FED27C" w14:textId="77777777" w:rsidR="00175244" w:rsidRDefault="00175244" w:rsidP="00175244">
      <w:pPr>
        <w:pStyle w:val="BodyText"/>
        <w:ind w:left="284"/>
        <w:rPr>
          <w:rFonts w:cs="Arial"/>
        </w:rPr>
      </w:pPr>
    </w:p>
    <w:p w14:paraId="37DDCAF2" w14:textId="77777777" w:rsidR="00175244" w:rsidRDefault="00175244" w:rsidP="00175244">
      <w:pPr>
        <w:pStyle w:val="BodyText"/>
        <w:ind w:left="284"/>
        <w:rPr>
          <w:rFonts w:cs="Arial"/>
        </w:rPr>
      </w:pPr>
    </w:p>
    <w:p w14:paraId="52BF6EF8" w14:textId="77777777" w:rsidR="00175244" w:rsidRDefault="00175244" w:rsidP="00175244">
      <w:pPr>
        <w:pStyle w:val="BodyText"/>
        <w:ind w:left="284"/>
        <w:rPr>
          <w:rFonts w:cs="Arial"/>
        </w:rPr>
      </w:pPr>
    </w:p>
    <w:p w14:paraId="1510FDC2"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47E3B0E6"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050654F4"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5EF5CF9C" w14:textId="77777777" w:rsidR="00916BD5" w:rsidRPr="00BF7AD5" w:rsidRDefault="00916BD5" w:rsidP="00BF7AD5">
      <w:pPr>
        <w:pStyle w:val="BodyText"/>
        <w:spacing w:before="0" w:after="0"/>
        <w:ind w:left="1440"/>
        <w:rPr>
          <w:rFonts w:cs="Arial"/>
        </w:rPr>
      </w:pPr>
      <w:r w:rsidRPr="00BF7AD5">
        <w:rPr>
          <w:rFonts w:cs="Arial"/>
        </w:rPr>
        <w:t>Ripley Road</w:t>
      </w:r>
    </w:p>
    <w:p w14:paraId="172A6BA4" w14:textId="77777777" w:rsidR="00916BD5" w:rsidRPr="00BF7AD5" w:rsidRDefault="00916BD5" w:rsidP="00BF7AD5">
      <w:pPr>
        <w:pStyle w:val="BodyText"/>
        <w:spacing w:before="0" w:after="0"/>
        <w:ind w:left="1440"/>
        <w:rPr>
          <w:rFonts w:cs="Arial"/>
        </w:rPr>
      </w:pPr>
      <w:proofErr w:type="spellStart"/>
      <w:r w:rsidRPr="00BF7AD5">
        <w:rPr>
          <w:rFonts w:cs="Arial"/>
        </w:rPr>
        <w:t>Ambergate</w:t>
      </w:r>
      <w:proofErr w:type="spellEnd"/>
      <w:r w:rsidRPr="00BF7AD5">
        <w:rPr>
          <w:rFonts w:cs="Arial"/>
        </w:rPr>
        <w:tab/>
      </w:r>
    </w:p>
    <w:p w14:paraId="51702F7E" w14:textId="77777777" w:rsidR="00BF7AD5" w:rsidRPr="00BF7AD5" w:rsidRDefault="00916BD5" w:rsidP="00BF7AD5">
      <w:pPr>
        <w:pStyle w:val="BodyText"/>
        <w:spacing w:before="0" w:after="0"/>
        <w:ind w:left="1440"/>
        <w:rPr>
          <w:rFonts w:cs="Arial"/>
        </w:rPr>
      </w:pPr>
      <w:r w:rsidRPr="00BF7AD5">
        <w:rPr>
          <w:rFonts w:cs="Arial"/>
        </w:rPr>
        <w:t>Derbyshire</w:t>
      </w:r>
    </w:p>
    <w:p w14:paraId="57DAE876" w14:textId="77777777" w:rsidR="00916BD5" w:rsidRPr="00BF7AD5" w:rsidRDefault="00916BD5" w:rsidP="00BF7AD5">
      <w:pPr>
        <w:pStyle w:val="BodyText"/>
        <w:spacing w:before="0" w:after="0"/>
        <w:ind w:left="1440"/>
        <w:rPr>
          <w:rFonts w:cs="Arial"/>
        </w:rPr>
      </w:pPr>
      <w:r w:rsidRPr="00BF7AD5">
        <w:rPr>
          <w:rFonts w:cs="Arial"/>
        </w:rPr>
        <w:t>DE56 2FZ</w:t>
      </w:r>
    </w:p>
    <w:p w14:paraId="0414E218"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2" w:history="1">
        <w:r w:rsidR="00916BD5" w:rsidRPr="00BF7AD5">
          <w:rPr>
            <w:rStyle w:val="Hyperlink"/>
            <w:rFonts w:cs="Arial"/>
            <w:b/>
          </w:rPr>
          <w:t>enquiries@ukopa.co.uk</w:t>
        </w:r>
      </w:hyperlink>
    </w:p>
    <w:p w14:paraId="3032636C"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3" w:history="1">
        <w:r w:rsidRPr="0072154B">
          <w:rPr>
            <w:rStyle w:val="Hyperlink"/>
            <w:rFonts w:cs="Arial"/>
            <w:b/>
          </w:rPr>
          <w:t>www.UKOPA.co.uk</w:t>
        </w:r>
      </w:hyperlink>
    </w:p>
    <w:p w14:paraId="181D02A0" w14:textId="77777777" w:rsidR="00BF7AD5" w:rsidRDefault="00BF7AD5" w:rsidP="00916BD5">
      <w:pPr>
        <w:pStyle w:val="BodyText"/>
        <w:ind w:left="284"/>
        <w:rPr>
          <w:rFonts w:cs="Arial"/>
          <w:b/>
          <w:sz w:val="16"/>
          <w:szCs w:val="16"/>
        </w:rPr>
      </w:pPr>
    </w:p>
    <w:p w14:paraId="2BFA662E"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402EB313"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5A98BADD" w14:textId="0B95D0E7" w:rsidR="009F334C" w:rsidRPr="009F334C" w:rsidRDefault="009F334C" w:rsidP="009F334C">
      <w:pPr>
        <w:pStyle w:val="BodyText"/>
        <w:ind w:left="284"/>
        <w:rPr>
          <w:rFonts w:cs="Arial"/>
          <w:sz w:val="16"/>
          <w:szCs w:val="16"/>
        </w:rPr>
      </w:pPr>
      <w:r w:rsidRPr="009F334C">
        <w:rPr>
          <w:rFonts w:cs="Arial"/>
          <w:sz w:val="16"/>
          <w:szCs w:val="16"/>
        </w:rPr>
        <w:t>Copyright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7A2A80">
        <w:rPr>
          <w:rFonts w:cs="Arial"/>
          <w:noProof/>
          <w:sz w:val="16"/>
          <w:szCs w:val="16"/>
        </w:rPr>
        <w:t>2019</w:t>
      </w:r>
      <w:r w:rsidR="00916BD5">
        <w:rPr>
          <w:rFonts w:cs="Arial"/>
          <w:sz w:val="16"/>
          <w:szCs w:val="16"/>
        </w:rPr>
        <w:fldChar w:fldCharType="end"/>
      </w:r>
      <w:r w:rsidRPr="009F334C">
        <w:rPr>
          <w:rFonts w:cs="Arial"/>
          <w:sz w:val="16"/>
          <w:szCs w:val="16"/>
        </w:rPr>
        <w:t>, UKOPA.  All rights reserved</w:t>
      </w:r>
    </w:p>
    <w:p w14:paraId="30459DC2"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79C1DD69" w14:textId="77777777"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p>
    <w:tbl>
      <w:tblPr>
        <w:tblStyle w:val="TableGrid"/>
        <w:tblW w:w="0" w:type="auto"/>
        <w:tblLook w:val="04A0" w:firstRow="1" w:lastRow="0" w:firstColumn="1" w:lastColumn="0" w:noHBand="0" w:noVBand="1"/>
      </w:tblPr>
      <w:tblGrid>
        <w:gridCol w:w="1417"/>
        <w:gridCol w:w="1701"/>
        <w:gridCol w:w="1843"/>
        <w:gridCol w:w="3990"/>
      </w:tblGrid>
      <w:tr w:rsidR="00F12BCC" w14:paraId="20007E0B"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1D57FF5B"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53EC036D"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204C3D5F"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27DB3802"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F12BCC" w14:paraId="2E20B3C2" w14:textId="77777777" w:rsidTr="0011093D">
        <w:trPr>
          <w:trHeight w:val="340"/>
        </w:trPr>
        <w:tc>
          <w:tcPr>
            <w:tcW w:w="1417" w:type="dxa"/>
          </w:tcPr>
          <w:p w14:paraId="5BEB83A4" w14:textId="45DBDF66" w:rsidR="00F12BCC" w:rsidRDefault="00533EE5" w:rsidP="002F1438">
            <w:pPr>
              <w:jc w:val="center"/>
              <w:cnfStyle w:val="001000000000" w:firstRow="0" w:lastRow="0" w:firstColumn="1" w:lastColumn="0" w:oddVBand="0" w:evenVBand="0" w:oddHBand="0" w:evenHBand="0" w:firstRowFirstColumn="0" w:firstRowLastColumn="0" w:lastRowFirstColumn="0" w:lastRowLastColumn="0"/>
              <w:rPr>
                <w:b/>
                <w:szCs w:val="18"/>
              </w:rPr>
            </w:pPr>
            <w:r>
              <w:rPr>
                <w:b/>
                <w:szCs w:val="18"/>
              </w:rPr>
              <w:t>1</w:t>
            </w:r>
            <w:r w:rsidR="006C1DBA">
              <w:rPr>
                <w:b/>
                <w:szCs w:val="18"/>
              </w:rPr>
              <w:t>.0</w:t>
            </w:r>
          </w:p>
        </w:tc>
        <w:tc>
          <w:tcPr>
            <w:tcW w:w="1701" w:type="dxa"/>
          </w:tcPr>
          <w:p w14:paraId="752619EB" w14:textId="7042489E" w:rsidR="00F12BCC" w:rsidRPr="0018347E" w:rsidRDefault="007176D3" w:rsidP="002F1438">
            <w:pPr>
              <w:rPr>
                <w:szCs w:val="18"/>
              </w:rPr>
            </w:pPr>
            <w:r>
              <w:rPr>
                <w:szCs w:val="18"/>
              </w:rPr>
              <w:t>9/10/19</w:t>
            </w:r>
          </w:p>
        </w:tc>
        <w:tc>
          <w:tcPr>
            <w:tcW w:w="1843" w:type="dxa"/>
          </w:tcPr>
          <w:p w14:paraId="51BD496D" w14:textId="11FF3695" w:rsidR="00F12BCC" w:rsidRPr="0018347E" w:rsidRDefault="000455A3" w:rsidP="002F1438">
            <w:pPr>
              <w:rPr>
                <w:szCs w:val="18"/>
              </w:rPr>
            </w:pPr>
            <w:r>
              <w:rPr>
                <w:szCs w:val="18"/>
              </w:rPr>
              <w:t>21</w:t>
            </w:r>
          </w:p>
        </w:tc>
        <w:tc>
          <w:tcPr>
            <w:tcW w:w="3990" w:type="dxa"/>
          </w:tcPr>
          <w:p w14:paraId="65B6BA94" w14:textId="243DE448" w:rsidR="00F12BCC" w:rsidRPr="0018347E" w:rsidRDefault="000455A3" w:rsidP="00B773CE">
            <w:pPr>
              <w:jc w:val="left"/>
              <w:rPr>
                <w:szCs w:val="18"/>
              </w:rPr>
            </w:pPr>
            <w:r>
              <w:rPr>
                <w:szCs w:val="18"/>
              </w:rPr>
              <w:t xml:space="preserve">TBN produced to support PIWG </w:t>
            </w:r>
            <w:r w:rsidR="00377F06">
              <w:rPr>
                <w:szCs w:val="18"/>
              </w:rPr>
              <w:t>dent project</w:t>
            </w:r>
            <w:bookmarkStart w:id="0" w:name="_GoBack"/>
            <w:bookmarkEnd w:id="0"/>
          </w:p>
        </w:tc>
      </w:tr>
    </w:tbl>
    <w:p w14:paraId="379CD3D9" w14:textId="77777777" w:rsidR="00675D04" w:rsidRDefault="00675D04" w:rsidP="0053157C">
      <w:pPr>
        <w:pStyle w:val="RevisionBoxHeading"/>
      </w:pPr>
    </w:p>
    <w:p w14:paraId="1677F26B" w14:textId="77777777" w:rsidR="00675D04" w:rsidRDefault="00675D04" w:rsidP="00675D04">
      <w:pPr>
        <w:sectPr w:rsidR="00675D04" w:rsidSect="007D70C0">
          <w:headerReference w:type="default" r:id="rId14"/>
          <w:footerReference w:type="default" r:id="rId15"/>
          <w:headerReference w:type="first" r:id="rId16"/>
          <w:endnotePr>
            <w:numFmt w:val="decimal"/>
          </w:endnotePr>
          <w:pgSz w:w="11909" w:h="16834" w:code="9"/>
          <w:pgMar w:top="1418" w:right="1418" w:bottom="709" w:left="1418" w:header="709" w:footer="709" w:gutter="0"/>
          <w:cols w:space="720"/>
          <w:formProt w:val="0"/>
          <w:vAlign w:val="bottom"/>
          <w:titlePg/>
          <w:docGrid w:linePitch="272"/>
        </w:sectPr>
      </w:pPr>
    </w:p>
    <w:p w14:paraId="129BAA65" w14:textId="77777777" w:rsidR="0072154B" w:rsidRDefault="0072154B" w:rsidP="00F97F6F">
      <w:pPr>
        <w:pStyle w:val="HeadingContents"/>
      </w:pPr>
    </w:p>
    <w:p w14:paraId="78E4AF04"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440983E0" w14:textId="6EB15B77" w:rsidR="00FB3C46"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457912" w:history="1">
        <w:r w:rsidR="00FB3C46" w:rsidRPr="00D7164C">
          <w:rPr>
            <w:rStyle w:val="Hyperlink"/>
          </w:rPr>
          <w:t>1.</w:t>
        </w:r>
        <w:r w:rsidR="00FB3C46">
          <w:rPr>
            <w:rFonts w:eastAsiaTheme="minorEastAsia" w:cstheme="minorBidi"/>
            <w:b w:val="0"/>
            <w:sz w:val="22"/>
            <w:szCs w:val="22"/>
            <w:lang w:eastAsia="en-GB"/>
          </w:rPr>
          <w:tab/>
        </w:r>
        <w:r w:rsidR="00FB3C46" w:rsidRPr="00D7164C">
          <w:rPr>
            <w:rStyle w:val="Hyperlink"/>
          </w:rPr>
          <w:t>Introduction</w:t>
        </w:r>
        <w:r w:rsidR="00FB3C46">
          <w:rPr>
            <w:webHidden/>
          </w:rPr>
          <w:tab/>
        </w:r>
        <w:r w:rsidR="00FB3C46">
          <w:rPr>
            <w:webHidden/>
          </w:rPr>
          <w:fldChar w:fldCharType="begin"/>
        </w:r>
        <w:r w:rsidR="00FB3C46">
          <w:rPr>
            <w:webHidden/>
          </w:rPr>
          <w:instrText xml:space="preserve"> PAGEREF _Toc457912 \h </w:instrText>
        </w:r>
        <w:r w:rsidR="00FB3C46">
          <w:rPr>
            <w:webHidden/>
          </w:rPr>
        </w:r>
        <w:r w:rsidR="00FB3C46">
          <w:rPr>
            <w:webHidden/>
          </w:rPr>
          <w:fldChar w:fldCharType="separate"/>
        </w:r>
        <w:r w:rsidR="00FB3C46">
          <w:rPr>
            <w:webHidden/>
          </w:rPr>
          <w:t>1</w:t>
        </w:r>
        <w:r w:rsidR="00FB3C46">
          <w:rPr>
            <w:webHidden/>
          </w:rPr>
          <w:fldChar w:fldCharType="end"/>
        </w:r>
      </w:hyperlink>
    </w:p>
    <w:p w14:paraId="3C1506D3" w14:textId="6781397E" w:rsidR="00FB3C46" w:rsidRDefault="00377F06">
      <w:pPr>
        <w:pStyle w:val="TOC1"/>
        <w:rPr>
          <w:rFonts w:eastAsiaTheme="minorEastAsia" w:cstheme="minorBidi"/>
          <w:b w:val="0"/>
          <w:sz w:val="22"/>
          <w:szCs w:val="22"/>
          <w:lang w:eastAsia="en-GB"/>
        </w:rPr>
      </w:pPr>
      <w:hyperlink w:anchor="_Toc457913" w:history="1">
        <w:r w:rsidR="00FB3C46" w:rsidRPr="00D7164C">
          <w:rPr>
            <w:rStyle w:val="Hyperlink"/>
          </w:rPr>
          <w:t>2.</w:t>
        </w:r>
        <w:r w:rsidR="00FB3C46">
          <w:rPr>
            <w:rFonts w:eastAsiaTheme="minorEastAsia" w:cstheme="minorBidi"/>
            <w:b w:val="0"/>
            <w:sz w:val="22"/>
            <w:szCs w:val="22"/>
            <w:lang w:eastAsia="en-GB"/>
          </w:rPr>
          <w:tab/>
        </w:r>
        <w:r w:rsidR="00FB3C46" w:rsidRPr="00D7164C">
          <w:rPr>
            <w:rStyle w:val="Hyperlink"/>
          </w:rPr>
          <w:t>Fatigue damage</w:t>
        </w:r>
        <w:r w:rsidR="00FB3C46">
          <w:rPr>
            <w:webHidden/>
          </w:rPr>
          <w:tab/>
        </w:r>
        <w:r w:rsidR="00FB3C46">
          <w:rPr>
            <w:webHidden/>
          </w:rPr>
          <w:fldChar w:fldCharType="begin"/>
        </w:r>
        <w:r w:rsidR="00FB3C46">
          <w:rPr>
            <w:webHidden/>
          </w:rPr>
          <w:instrText xml:space="preserve"> PAGEREF _Toc457913 \h </w:instrText>
        </w:r>
        <w:r w:rsidR="00FB3C46">
          <w:rPr>
            <w:webHidden/>
          </w:rPr>
        </w:r>
        <w:r w:rsidR="00FB3C46">
          <w:rPr>
            <w:webHidden/>
          </w:rPr>
          <w:fldChar w:fldCharType="separate"/>
        </w:r>
        <w:r w:rsidR="00FB3C46">
          <w:rPr>
            <w:webHidden/>
          </w:rPr>
          <w:t>2</w:t>
        </w:r>
        <w:r w:rsidR="00FB3C46">
          <w:rPr>
            <w:webHidden/>
          </w:rPr>
          <w:fldChar w:fldCharType="end"/>
        </w:r>
      </w:hyperlink>
    </w:p>
    <w:p w14:paraId="0DB391BD" w14:textId="18602291" w:rsidR="00FB3C46" w:rsidRDefault="00377F06">
      <w:pPr>
        <w:pStyle w:val="TOC1"/>
        <w:rPr>
          <w:rFonts w:eastAsiaTheme="minorEastAsia" w:cstheme="minorBidi"/>
          <w:b w:val="0"/>
          <w:sz w:val="22"/>
          <w:szCs w:val="22"/>
          <w:lang w:eastAsia="en-GB"/>
        </w:rPr>
      </w:pPr>
      <w:hyperlink w:anchor="_Toc457914" w:history="1">
        <w:r w:rsidR="00FB3C46" w:rsidRPr="00D7164C">
          <w:rPr>
            <w:rStyle w:val="Hyperlink"/>
          </w:rPr>
          <w:t>3.</w:t>
        </w:r>
        <w:r w:rsidR="00FB3C46">
          <w:rPr>
            <w:rFonts w:eastAsiaTheme="minorEastAsia" w:cstheme="minorBidi"/>
            <w:b w:val="0"/>
            <w:sz w:val="22"/>
            <w:szCs w:val="22"/>
            <w:lang w:eastAsia="en-GB"/>
          </w:rPr>
          <w:tab/>
        </w:r>
        <w:r w:rsidR="00FB3C46" w:rsidRPr="00D7164C">
          <w:rPr>
            <w:rStyle w:val="Hyperlink"/>
          </w:rPr>
          <w:t>Dent fatigue</w:t>
        </w:r>
        <w:r w:rsidR="00FB3C46">
          <w:rPr>
            <w:webHidden/>
          </w:rPr>
          <w:tab/>
        </w:r>
        <w:r w:rsidR="00FB3C46">
          <w:rPr>
            <w:webHidden/>
          </w:rPr>
          <w:fldChar w:fldCharType="begin"/>
        </w:r>
        <w:r w:rsidR="00FB3C46">
          <w:rPr>
            <w:webHidden/>
          </w:rPr>
          <w:instrText xml:space="preserve"> PAGEREF _Toc457914 \h </w:instrText>
        </w:r>
        <w:r w:rsidR="00FB3C46">
          <w:rPr>
            <w:webHidden/>
          </w:rPr>
        </w:r>
        <w:r w:rsidR="00FB3C46">
          <w:rPr>
            <w:webHidden/>
          </w:rPr>
          <w:fldChar w:fldCharType="separate"/>
        </w:r>
        <w:r w:rsidR="00FB3C46">
          <w:rPr>
            <w:webHidden/>
          </w:rPr>
          <w:t>3</w:t>
        </w:r>
        <w:r w:rsidR="00FB3C46">
          <w:rPr>
            <w:webHidden/>
          </w:rPr>
          <w:fldChar w:fldCharType="end"/>
        </w:r>
      </w:hyperlink>
    </w:p>
    <w:p w14:paraId="3CEAC545" w14:textId="016E57E8" w:rsidR="00FB3C46" w:rsidRDefault="00377F06">
      <w:pPr>
        <w:pStyle w:val="TOC1"/>
        <w:rPr>
          <w:rFonts w:eastAsiaTheme="minorEastAsia" w:cstheme="minorBidi"/>
          <w:b w:val="0"/>
          <w:sz w:val="22"/>
          <w:szCs w:val="22"/>
          <w:lang w:eastAsia="en-GB"/>
        </w:rPr>
      </w:pPr>
      <w:hyperlink w:anchor="_Toc457915" w:history="1">
        <w:r w:rsidR="00FB3C46" w:rsidRPr="00D7164C">
          <w:rPr>
            <w:rStyle w:val="Hyperlink"/>
          </w:rPr>
          <w:t>4.</w:t>
        </w:r>
        <w:r w:rsidR="00FB3C46">
          <w:rPr>
            <w:rFonts w:eastAsiaTheme="minorEastAsia" w:cstheme="minorBidi"/>
            <w:b w:val="0"/>
            <w:sz w:val="22"/>
            <w:szCs w:val="22"/>
            <w:lang w:eastAsia="en-GB"/>
          </w:rPr>
          <w:tab/>
        </w:r>
        <w:r w:rsidR="00FB3C46" w:rsidRPr="00D7164C">
          <w:rPr>
            <w:rStyle w:val="Hyperlink"/>
          </w:rPr>
          <w:t>Endurance limit</w:t>
        </w:r>
        <w:r w:rsidR="00FB3C46">
          <w:rPr>
            <w:webHidden/>
          </w:rPr>
          <w:tab/>
        </w:r>
        <w:r w:rsidR="00FB3C46">
          <w:rPr>
            <w:webHidden/>
          </w:rPr>
          <w:fldChar w:fldCharType="begin"/>
        </w:r>
        <w:r w:rsidR="00FB3C46">
          <w:rPr>
            <w:webHidden/>
          </w:rPr>
          <w:instrText xml:space="preserve"> PAGEREF _Toc457915 \h </w:instrText>
        </w:r>
        <w:r w:rsidR="00FB3C46">
          <w:rPr>
            <w:webHidden/>
          </w:rPr>
        </w:r>
        <w:r w:rsidR="00FB3C46">
          <w:rPr>
            <w:webHidden/>
          </w:rPr>
          <w:fldChar w:fldCharType="separate"/>
        </w:r>
        <w:r w:rsidR="00FB3C46">
          <w:rPr>
            <w:webHidden/>
          </w:rPr>
          <w:t>4</w:t>
        </w:r>
        <w:r w:rsidR="00FB3C46">
          <w:rPr>
            <w:webHidden/>
          </w:rPr>
          <w:fldChar w:fldCharType="end"/>
        </w:r>
      </w:hyperlink>
    </w:p>
    <w:p w14:paraId="159EB818" w14:textId="1F952C7B" w:rsidR="00FB3C46" w:rsidRDefault="00377F06">
      <w:pPr>
        <w:pStyle w:val="TOC1"/>
        <w:rPr>
          <w:rFonts w:eastAsiaTheme="minorEastAsia" w:cstheme="minorBidi"/>
          <w:b w:val="0"/>
          <w:sz w:val="22"/>
          <w:szCs w:val="22"/>
          <w:lang w:eastAsia="en-GB"/>
        </w:rPr>
      </w:pPr>
      <w:hyperlink w:anchor="_Toc457916" w:history="1">
        <w:r w:rsidR="00FB3C46" w:rsidRPr="00D7164C">
          <w:rPr>
            <w:rStyle w:val="Hyperlink"/>
          </w:rPr>
          <w:t>5.</w:t>
        </w:r>
        <w:r w:rsidR="00FB3C46">
          <w:rPr>
            <w:rFonts w:eastAsiaTheme="minorEastAsia" w:cstheme="minorBidi"/>
            <w:b w:val="0"/>
            <w:sz w:val="22"/>
            <w:szCs w:val="22"/>
            <w:lang w:eastAsia="en-GB"/>
          </w:rPr>
          <w:tab/>
        </w:r>
        <w:r w:rsidR="00FB3C46" w:rsidRPr="00D7164C">
          <w:rPr>
            <w:rStyle w:val="Hyperlink"/>
          </w:rPr>
          <w:t>Endurance limits for pipeline dents - stress cycle</w:t>
        </w:r>
        <w:r w:rsidR="00FB3C46">
          <w:rPr>
            <w:webHidden/>
          </w:rPr>
          <w:tab/>
        </w:r>
        <w:r w:rsidR="00FB3C46">
          <w:rPr>
            <w:webHidden/>
          </w:rPr>
          <w:fldChar w:fldCharType="begin"/>
        </w:r>
        <w:r w:rsidR="00FB3C46">
          <w:rPr>
            <w:webHidden/>
          </w:rPr>
          <w:instrText xml:space="preserve"> PAGEREF _Toc457916 \h </w:instrText>
        </w:r>
        <w:r w:rsidR="00FB3C46">
          <w:rPr>
            <w:webHidden/>
          </w:rPr>
        </w:r>
        <w:r w:rsidR="00FB3C46">
          <w:rPr>
            <w:webHidden/>
          </w:rPr>
          <w:fldChar w:fldCharType="separate"/>
        </w:r>
        <w:r w:rsidR="00FB3C46">
          <w:rPr>
            <w:webHidden/>
          </w:rPr>
          <w:t>6</w:t>
        </w:r>
        <w:r w:rsidR="00FB3C46">
          <w:rPr>
            <w:webHidden/>
          </w:rPr>
          <w:fldChar w:fldCharType="end"/>
        </w:r>
      </w:hyperlink>
    </w:p>
    <w:p w14:paraId="050923E6" w14:textId="02A258FB" w:rsidR="00FB3C46" w:rsidRDefault="00377F06">
      <w:pPr>
        <w:pStyle w:val="TOC1"/>
        <w:rPr>
          <w:rFonts w:eastAsiaTheme="minorEastAsia" w:cstheme="minorBidi"/>
          <w:b w:val="0"/>
          <w:sz w:val="22"/>
          <w:szCs w:val="22"/>
          <w:lang w:eastAsia="en-GB"/>
        </w:rPr>
      </w:pPr>
      <w:hyperlink w:anchor="_Toc457917" w:history="1">
        <w:r w:rsidR="00FB3C46" w:rsidRPr="00D7164C">
          <w:rPr>
            <w:rStyle w:val="Hyperlink"/>
          </w:rPr>
          <w:t>6.</w:t>
        </w:r>
        <w:r w:rsidR="00FB3C46">
          <w:rPr>
            <w:rFonts w:eastAsiaTheme="minorEastAsia" w:cstheme="minorBidi"/>
            <w:b w:val="0"/>
            <w:sz w:val="22"/>
            <w:szCs w:val="22"/>
            <w:lang w:eastAsia="en-GB"/>
          </w:rPr>
          <w:tab/>
        </w:r>
        <w:r w:rsidR="00FB3C46" w:rsidRPr="00D7164C">
          <w:rPr>
            <w:rStyle w:val="Hyperlink"/>
          </w:rPr>
          <w:t>Endurance limits for pipeline dents - pressure cycles</w:t>
        </w:r>
        <w:r w:rsidR="00FB3C46">
          <w:rPr>
            <w:webHidden/>
          </w:rPr>
          <w:tab/>
        </w:r>
        <w:r w:rsidR="00FB3C46">
          <w:rPr>
            <w:webHidden/>
          </w:rPr>
          <w:fldChar w:fldCharType="begin"/>
        </w:r>
        <w:r w:rsidR="00FB3C46">
          <w:rPr>
            <w:webHidden/>
          </w:rPr>
          <w:instrText xml:space="preserve"> PAGEREF _Toc457917 \h </w:instrText>
        </w:r>
        <w:r w:rsidR="00FB3C46">
          <w:rPr>
            <w:webHidden/>
          </w:rPr>
        </w:r>
        <w:r w:rsidR="00FB3C46">
          <w:rPr>
            <w:webHidden/>
          </w:rPr>
          <w:fldChar w:fldCharType="separate"/>
        </w:r>
        <w:r w:rsidR="00FB3C46">
          <w:rPr>
            <w:webHidden/>
          </w:rPr>
          <w:t>12</w:t>
        </w:r>
        <w:r w:rsidR="00FB3C46">
          <w:rPr>
            <w:webHidden/>
          </w:rPr>
          <w:fldChar w:fldCharType="end"/>
        </w:r>
      </w:hyperlink>
    </w:p>
    <w:p w14:paraId="4AB2E45A" w14:textId="0D9BC9B7" w:rsidR="00FB3C46" w:rsidRDefault="00377F06">
      <w:pPr>
        <w:pStyle w:val="TOC1"/>
        <w:rPr>
          <w:rFonts w:eastAsiaTheme="minorEastAsia" w:cstheme="minorBidi"/>
          <w:b w:val="0"/>
          <w:sz w:val="22"/>
          <w:szCs w:val="22"/>
          <w:lang w:eastAsia="en-GB"/>
        </w:rPr>
      </w:pPr>
      <w:hyperlink w:anchor="_Toc457918" w:history="1">
        <w:r w:rsidR="00FB3C46" w:rsidRPr="00D7164C">
          <w:rPr>
            <w:rStyle w:val="Hyperlink"/>
          </w:rPr>
          <w:t>7.</w:t>
        </w:r>
        <w:r w:rsidR="00FB3C46">
          <w:rPr>
            <w:rFonts w:eastAsiaTheme="minorEastAsia" w:cstheme="minorBidi"/>
            <w:b w:val="0"/>
            <w:sz w:val="22"/>
            <w:szCs w:val="22"/>
            <w:lang w:eastAsia="en-GB"/>
          </w:rPr>
          <w:tab/>
        </w:r>
        <w:r w:rsidR="00FB3C46" w:rsidRPr="00D7164C">
          <w:rPr>
            <w:rStyle w:val="Hyperlink"/>
          </w:rPr>
          <w:t>Pipeline dents and the IGEM/TD/1 endurance limit</w:t>
        </w:r>
        <w:r w:rsidR="00FB3C46">
          <w:rPr>
            <w:webHidden/>
          </w:rPr>
          <w:tab/>
        </w:r>
        <w:r w:rsidR="00FB3C46">
          <w:rPr>
            <w:webHidden/>
          </w:rPr>
          <w:fldChar w:fldCharType="begin"/>
        </w:r>
        <w:r w:rsidR="00FB3C46">
          <w:rPr>
            <w:webHidden/>
          </w:rPr>
          <w:instrText xml:space="preserve"> PAGEREF _Toc457918 \h </w:instrText>
        </w:r>
        <w:r w:rsidR="00FB3C46">
          <w:rPr>
            <w:webHidden/>
          </w:rPr>
        </w:r>
        <w:r w:rsidR="00FB3C46">
          <w:rPr>
            <w:webHidden/>
          </w:rPr>
          <w:fldChar w:fldCharType="separate"/>
        </w:r>
        <w:r w:rsidR="00FB3C46">
          <w:rPr>
            <w:webHidden/>
          </w:rPr>
          <w:t>17</w:t>
        </w:r>
        <w:r w:rsidR="00FB3C46">
          <w:rPr>
            <w:webHidden/>
          </w:rPr>
          <w:fldChar w:fldCharType="end"/>
        </w:r>
      </w:hyperlink>
    </w:p>
    <w:p w14:paraId="4BEF3A92" w14:textId="5DB2D4E2" w:rsidR="00FB3C46" w:rsidRDefault="00377F06">
      <w:pPr>
        <w:pStyle w:val="TOC1"/>
        <w:rPr>
          <w:rFonts w:eastAsiaTheme="minorEastAsia" w:cstheme="minorBidi"/>
          <w:b w:val="0"/>
          <w:sz w:val="22"/>
          <w:szCs w:val="22"/>
          <w:lang w:eastAsia="en-GB"/>
        </w:rPr>
      </w:pPr>
      <w:hyperlink w:anchor="_Toc457919" w:history="1">
        <w:r w:rsidR="00FB3C46" w:rsidRPr="00D7164C">
          <w:rPr>
            <w:rStyle w:val="Hyperlink"/>
          </w:rPr>
          <w:t>8.</w:t>
        </w:r>
        <w:r w:rsidR="00FB3C46">
          <w:rPr>
            <w:rFonts w:eastAsiaTheme="minorEastAsia" w:cstheme="minorBidi"/>
            <w:b w:val="0"/>
            <w:sz w:val="22"/>
            <w:szCs w:val="22"/>
            <w:lang w:eastAsia="en-GB"/>
          </w:rPr>
          <w:tab/>
        </w:r>
        <w:r w:rsidR="00FB3C46" w:rsidRPr="00D7164C">
          <w:rPr>
            <w:rStyle w:val="Hyperlink"/>
          </w:rPr>
          <w:t>Conclusions</w:t>
        </w:r>
        <w:r w:rsidR="00FB3C46">
          <w:rPr>
            <w:webHidden/>
          </w:rPr>
          <w:tab/>
        </w:r>
        <w:r w:rsidR="00FB3C46">
          <w:rPr>
            <w:webHidden/>
          </w:rPr>
          <w:fldChar w:fldCharType="begin"/>
        </w:r>
        <w:r w:rsidR="00FB3C46">
          <w:rPr>
            <w:webHidden/>
          </w:rPr>
          <w:instrText xml:space="preserve"> PAGEREF _Toc457919 \h </w:instrText>
        </w:r>
        <w:r w:rsidR="00FB3C46">
          <w:rPr>
            <w:webHidden/>
          </w:rPr>
        </w:r>
        <w:r w:rsidR="00FB3C46">
          <w:rPr>
            <w:webHidden/>
          </w:rPr>
          <w:fldChar w:fldCharType="separate"/>
        </w:r>
        <w:r w:rsidR="00FB3C46">
          <w:rPr>
            <w:webHidden/>
          </w:rPr>
          <w:t>20</w:t>
        </w:r>
        <w:r w:rsidR="00FB3C46">
          <w:rPr>
            <w:webHidden/>
          </w:rPr>
          <w:fldChar w:fldCharType="end"/>
        </w:r>
      </w:hyperlink>
    </w:p>
    <w:p w14:paraId="33A6BFC4" w14:textId="6AAC06F5" w:rsidR="00FB3C46" w:rsidRDefault="00377F06">
      <w:pPr>
        <w:pStyle w:val="TOC1"/>
        <w:rPr>
          <w:rFonts w:eastAsiaTheme="minorEastAsia" w:cstheme="minorBidi"/>
          <w:b w:val="0"/>
          <w:sz w:val="22"/>
          <w:szCs w:val="22"/>
          <w:lang w:eastAsia="en-GB"/>
        </w:rPr>
      </w:pPr>
      <w:hyperlink w:anchor="_Toc457920" w:history="1">
        <w:r w:rsidR="00FB3C46" w:rsidRPr="00D7164C">
          <w:rPr>
            <w:rStyle w:val="Hyperlink"/>
          </w:rPr>
          <w:t>9.</w:t>
        </w:r>
        <w:r w:rsidR="00FB3C46">
          <w:rPr>
            <w:rFonts w:eastAsiaTheme="minorEastAsia" w:cstheme="minorBidi"/>
            <w:b w:val="0"/>
            <w:sz w:val="22"/>
            <w:szCs w:val="22"/>
            <w:lang w:eastAsia="en-GB"/>
          </w:rPr>
          <w:tab/>
        </w:r>
        <w:r w:rsidR="00FB3C46" w:rsidRPr="00D7164C">
          <w:rPr>
            <w:rStyle w:val="Hyperlink"/>
          </w:rPr>
          <w:t>References</w:t>
        </w:r>
        <w:r w:rsidR="00FB3C46">
          <w:rPr>
            <w:webHidden/>
          </w:rPr>
          <w:tab/>
        </w:r>
        <w:r w:rsidR="00FB3C46">
          <w:rPr>
            <w:webHidden/>
          </w:rPr>
          <w:fldChar w:fldCharType="begin"/>
        </w:r>
        <w:r w:rsidR="00FB3C46">
          <w:rPr>
            <w:webHidden/>
          </w:rPr>
          <w:instrText xml:space="preserve"> PAGEREF _Toc457920 \h </w:instrText>
        </w:r>
        <w:r w:rsidR="00FB3C46">
          <w:rPr>
            <w:webHidden/>
          </w:rPr>
        </w:r>
        <w:r w:rsidR="00FB3C46">
          <w:rPr>
            <w:webHidden/>
          </w:rPr>
          <w:fldChar w:fldCharType="separate"/>
        </w:r>
        <w:r w:rsidR="00FB3C46">
          <w:rPr>
            <w:webHidden/>
          </w:rPr>
          <w:t>21</w:t>
        </w:r>
        <w:r w:rsidR="00FB3C46">
          <w:rPr>
            <w:webHidden/>
          </w:rPr>
          <w:fldChar w:fldCharType="end"/>
        </w:r>
      </w:hyperlink>
    </w:p>
    <w:p w14:paraId="7666269A" w14:textId="0B4A7F7D" w:rsidR="00F97F6F" w:rsidRDefault="0095301A" w:rsidP="00805A9C">
      <w:r>
        <w:rPr>
          <w:noProof/>
        </w:rPr>
        <w:fldChar w:fldCharType="end"/>
      </w:r>
    </w:p>
    <w:p w14:paraId="47E3E392" w14:textId="77777777" w:rsidR="00B16B51" w:rsidRPr="00805A9C" w:rsidRDefault="00B16B51" w:rsidP="00805A9C">
      <w:pPr>
        <w:sectPr w:rsidR="00B16B51" w:rsidRPr="00805A9C" w:rsidSect="007D70C0">
          <w:headerReference w:type="default" r:id="rId17"/>
          <w:footerReference w:type="default" r:id="rId18"/>
          <w:endnotePr>
            <w:numFmt w:val="decimal"/>
          </w:endnotePr>
          <w:pgSz w:w="11909" w:h="16834" w:code="9"/>
          <w:pgMar w:top="1952" w:right="1418" w:bottom="709" w:left="1418" w:header="709" w:footer="706" w:gutter="0"/>
          <w:cols w:space="720"/>
          <w:formProt w:val="0"/>
          <w:docGrid w:linePitch="272"/>
        </w:sectPr>
      </w:pPr>
    </w:p>
    <w:p w14:paraId="67DCF557" w14:textId="4CF162F8" w:rsidR="00BD13D9" w:rsidRPr="00FA5D25" w:rsidRDefault="00BD13D9" w:rsidP="00BD13D9">
      <w:pPr>
        <w:pStyle w:val="Heading1"/>
      </w:pPr>
      <w:bookmarkStart w:id="1" w:name="_Toc457912"/>
      <w:r w:rsidRPr="00FA5D25">
        <w:lastRenderedPageBreak/>
        <w:t>Introduction</w:t>
      </w:r>
      <w:bookmarkEnd w:id="1"/>
    </w:p>
    <w:p w14:paraId="22BCF395" w14:textId="3F814047" w:rsidR="00BD13D9" w:rsidRDefault="00BD13D9" w:rsidP="00BD13D9">
      <w:pPr>
        <w:pStyle w:val="BodyText"/>
      </w:pPr>
      <w:r>
        <w:t xml:space="preserve">Pipelines are thin wall shell structures, and so are susceptible to dents, which are geometric distortions of the pipe wall. The severity of pipeline dents can be assessed by applying the UKOPA </w:t>
      </w:r>
      <w:r w:rsidR="005B2DC4">
        <w:t>dent management strategy</w:t>
      </w:r>
      <w:r>
        <w:t xml:space="preserve">. The UKOPA </w:t>
      </w:r>
      <w:r w:rsidR="005B2DC4">
        <w:t>dent management strategy</w:t>
      </w:r>
      <w:r>
        <w:t xml:space="preserve"> allows the severity of dents to be assessed, both in terms of their ability to withstand static internal pressure loading; and their ability to withstand cyclic internal pressure loading, applied over a prolonged period of time, in other words fatigue loading.</w:t>
      </w:r>
    </w:p>
    <w:p w14:paraId="45D960F6" w14:textId="76EE4D6B" w:rsidR="00BD13D9" w:rsidRDefault="00BD13D9" w:rsidP="00BD13D9">
      <w:pPr>
        <w:pStyle w:val="BodyText"/>
      </w:pPr>
      <w:r>
        <w:t xml:space="preserve">In terms of static internal pressure loading, the UKOPA </w:t>
      </w:r>
      <w:r w:rsidR="005B2DC4">
        <w:t>dent management strategy</w:t>
      </w:r>
      <w:r>
        <w:t xml:space="preserve"> states a series of acceptable dent depth (or strain) limits for plain dents and dents associated with other pipeline defects and features such as corrosion or welds. If the depth or strain associated with a dent lies below the applicable limit, the dent is considered acceptable for pipeline operation with respect to static internal pressure loading.</w:t>
      </w:r>
    </w:p>
    <w:p w14:paraId="3F69A24C" w14:textId="0627AD30" w:rsidR="00BD13D9" w:rsidRDefault="00BD13D9" w:rsidP="00BD13D9">
      <w:pPr>
        <w:pStyle w:val="BodyText"/>
      </w:pPr>
      <w:r>
        <w:t xml:space="preserve">In terms of cyclic pressure loading, the UKOPA </w:t>
      </w:r>
      <w:r w:rsidR="005B2DC4">
        <w:t>dent management strategy</w:t>
      </w:r>
      <w:r>
        <w:t xml:space="preserve"> recommends that, for pipelines which are pressure cycled, a fatigue assessment is performed to assess the remaining operating life of a dent. The fatigue assessment involves calculating an appropriate stress concentration factor (SCF) to account for the presence of the dent and the application of an S-N (Stress-Number of cycles) fatigue curve to determine the number of pressure (stress) cycles to failure. </w:t>
      </w:r>
    </w:p>
    <w:p w14:paraId="52840AC9" w14:textId="199FDA7B" w:rsidR="00BD13D9" w:rsidRDefault="00BD13D9" w:rsidP="00BD13D9">
      <w:pPr>
        <w:pStyle w:val="BodyText"/>
      </w:pPr>
      <w:r>
        <w:t xml:space="preserve">In normal operation, a pipeline will experience static loading, generally corresponding to the nominal operating pressure, and therefore, for any dents in the pipeline, the static pressure loading rules in the UKOPA </w:t>
      </w:r>
      <w:r w:rsidR="005B2DC4">
        <w:t>dent management strategy</w:t>
      </w:r>
      <w:r>
        <w:t xml:space="preserve"> are always applicable. In normal operation, a pipeline will also experience periods of higher and lower pressure, which translate to stress cycles. When assessing the number of stress cycles to failure, the fatigue endurance limit of the pipeline steel identifies the magnitude of cyclic stress below which fatigue damage will not occur. This limit is used to identify stress the level below which a fatigue assessment is not required. The endurance limit is also applicable to dented </w:t>
      </w:r>
      <w:r w:rsidR="002B1228">
        <w:t>pipelines;</w:t>
      </w:r>
      <w:r>
        <w:t xml:space="preserve"> </w:t>
      </w:r>
      <w:r w:rsidR="002B1228">
        <w:t>however,</w:t>
      </w:r>
      <w:r>
        <w:t xml:space="preserve"> its value is affected by the presence of the dent. For certain dented pipelines therefore, depending upon the magnitude of pressure cycling experienced, a fatigue assessment will not be required. </w:t>
      </w:r>
    </w:p>
    <w:p w14:paraId="2E9E9E4F" w14:textId="3C02E41C" w:rsidR="00BD13D9" w:rsidRDefault="00BD13D9" w:rsidP="00BD13D9">
      <w:pPr>
        <w:pStyle w:val="BodyText"/>
      </w:pPr>
      <w:r>
        <w:t xml:space="preserve">The UKOPA </w:t>
      </w:r>
      <w:r w:rsidR="005B2DC4">
        <w:t>dent management strategy</w:t>
      </w:r>
      <w:r w:rsidR="002B1228">
        <w:t>,</w:t>
      </w:r>
      <w:r>
        <w:t xml:space="preserve"> however, does not take into account the endurance limit of pipeline steels. Furthermore, the available data on the endurance limit for dented pipeline steels is sparse</w:t>
      </w:r>
      <w:r w:rsidRPr="008F0164">
        <w:t>. The options available for pipeline operators are therefore to either perform a fatigue assessment for every dent, potentially resulting in unnecessary calculations, or to apply</w:t>
      </w:r>
      <w:r>
        <w:t xml:space="preserve"> the</w:t>
      </w:r>
      <w:r w:rsidRPr="008F0164">
        <w:t xml:space="preserve"> endurance limit</w:t>
      </w:r>
      <w:r>
        <w:t xml:space="preserve"> indicated</w:t>
      </w:r>
      <w:r w:rsidRPr="008F0164">
        <w:t xml:space="preserve"> </w:t>
      </w:r>
      <w:r>
        <w:t xml:space="preserve">by the fatigue design S-N </w:t>
      </w:r>
      <w:r w:rsidR="002B1228">
        <w:t xml:space="preserve">curve </w:t>
      </w:r>
      <w:r w:rsidR="002B1228" w:rsidRPr="008F0164">
        <w:t>included</w:t>
      </w:r>
      <w:r w:rsidRPr="008F0164">
        <w:t xml:space="preserve"> in IGEM/TD/1</w:t>
      </w:r>
      <w:sdt>
        <w:sdtPr>
          <w:id w:val="584421066"/>
          <w:citation/>
        </w:sdtPr>
        <w:sdtEndPr/>
        <w:sdtContent>
          <w:r w:rsidR="00DE0690">
            <w:fldChar w:fldCharType="begin"/>
          </w:r>
          <w:r w:rsidR="00DE0690">
            <w:instrText xml:space="preserve"> CITATION IGE \l 2057 </w:instrText>
          </w:r>
          <w:r w:rsidR="00DE0690">
            <w:fldChar w:fldCharType="separate"/>
          </w:r>
          <w:r w:rsidR="00C6226A">
            <w:rPr>
              <w:noProof/>
            </w:rPr>
            <w:t xml:space="preserve"> [1]</w:t>
          </w:r>
          <w:r w:rsidR="00DE0690">
            <w:fldChar w:fldCharType="end"/>
          </w:r>
        </w:sdtContent>
      </w:sdt>
      <w:r w:rsidRPr="00DA2966">
        <w:t>.</w:t>
      </w:r>
    </w:p>
    <w:p w14:paraId="162BF5A6" w14:textId="607F6131" w:rsidR="00BD13D9" w:rsidRDefault="00BD13D9" w:rsidP="00BD13D9">
      <w:pPr>
        <w:pStyle w:val="BodyText"/>
      </w:pPr>
      <w:r w:rsidRPr="00F91056">
        <w:t xml:space="preserve">The aim of this note is to </w:t>
      </w:r>
      <w:r>
        <w:t>determine</w:t>
      </w:r>
      <w:r w:rsidRPr="00F91056">
        <w:t xml:space="preserve"> a lower bound threshold for which a fatigue assessment is required for pipeline dents in the UKOPA </w:t>
      </w:r>
      <w:r w:rsidR="005B2DC4">
        <w:t>dent management strategy</w:t>
      </w:r>
      <w:r w:rsidRPr="00F91056">
        <w:t>. Limiting values for fatigue damage in dented pipelines are derived and the applicability of</w:t>
      </w:r>
      <w:r>
        <w:t xml:space="preserve"> the IGEM/TD/1</w:t>
      </w:r>
      <w:r w:rsidRPr="00F91056">
        <w:t xml:space="preserve"> fatigue design curve is considered.</w:t>
      </w:r>
    </w:p>
    <w:p w14:paraId="2F7B9694" w14:textId="5D12B491" w:rsidR="00BD13D9" w:rsidRDefault="00BD13D9" w:rsidP="00BD13D9">
      <w:pPr>
        <w:pStyle w:val="Heading1"/>
      </w:pPr>
      <w:bookmarkStart w:id="2" w:name="_Toc457913"/>
      <w:r>
        <w:lastRenderedPageBreak/>
        <w:t xml:space="preserve">Fatigue </w:t>
      </w:r>
      <w:r w:rsidR="00E962DF">
        <w:t>d</w:t>
      </w:r>
      <w:r>
        <w:t>amage</w:t>
      </w:r>
      <w:bookmarkEnd w:id="2"/>
    </w:p>
    <w:p w14:paraId="334C8B3A" w14:textId="77777777" w:rsidR="00BD13D9" w:rsidRDefault="00BD13D9" w:rsidP="00BD13D9">
      <w:pPr>
        <w:pStyle w:val="BodyText"/>
      </w:pPr>
      <w:r>
        <w:t xml:space="preserve">Fatigue damage to a material occurs due to the repeated application of alternating values of high and low stress, known as cyclic stresses. Each single stress value experienced by the material is not large enough to cause the material to fail in isolation; however, the repetitive action of stressing and de-stressing, causes the initiation of small cracks within the material. </w:t>
      </w:r>
      <w:r w:rsidRPr="00B008BD">
        <w:t>Once initiated, fatigue cracks will grow with each successive stress cycle</w:t>
      </w:r>
      <w:r>
        <w:t>, which can</w:t>
      </w:r>
      <w:r w:rsidRPr="00B008BD">
        <w:t xml:space="preserve"> potentially result in failure.</w:t>
      </w:r>
      <w:r>
        <w:t xml:space="preserve"> The susceptibility for the initiation of fatigue cracks is dependent upon a potential source for the defects within the material, and the presence of a stress concentration. Consequently, the fatigue design of welded joints is of particular importance.</w:t>
      </w:r>
    </w:p>
    <w:p w14:paraId="1A85F349" w14:textId="2660E17F" w:rsidR="00BD13D9" w:rsidRDefault="00BD13D9" w:rsidP="00BD13D9">
      <w:pPr>
        <w:pStyle w:val="BodyText"/>
      </w:pPr>
      <w:r w:rsidRPr="00FD362A">
        <w:t>Failure as a result of fatigue damage is dependent upon both the magnitude of the cyclic stresses, the number of cycles experienced by the material</w:t>
      </w:r>
      <w:r>
        <w:t>, and the presence of local geometric discontinuities</w:t>
      </w:r>
      <w:r w:rsidRPr="00FD362A">
        <w:t>. For each stress cycle magnitude, there are a set number of cycles at that stress that a material can experience before a failure occurs. Note that although the number of cycles until failure for any given stress cycle magnitude is a constant, the timescale for fatigue failure will also depend upon the frequency of that the material experiences those cycles</w:t>
      </w:r>
      <w:r>
        <w:t>. The</w:t>
      </w:r>
      <w:r w:rsidRPr="00FD362A">
        <w:t xml:space="preserve"> S-N curve presents the failure locus for a material in terms of the magnitude of the stress cycle, S, and the number of stress cycles.</w:t>
      </w:r>
      <w:r>
        <w:t xml:space="preserve"> S-N curves are plotted on a logarithmic scale and are obtained by testing small scale fatigue samples or coupons, which are subjected to a regular sinusoidal stress in a testing machine until failure. Each test counts the number of cycles to failure and generates a single S-N point. The S-N curve is derived from a linear regression of the results.</w:t>
      </w:r>
      <w:r w:rsidRPr="00FD362A">
        <w:t xml:space="preserve"> </w:t>
      </w:r>
      <w:r>
        <w:t xml:space="preserve">An example of an S-N curve, taken from the gas pipeline code IGEM/TD/1, is shown in </w:t>
      </w:r>
      <w:r w:rsidRPr="00E62EEC">
        <w:fldChar w:fldCharType="begin"/>
      </w:r>
      <w:r w:rsidRPr="00E62EEC">
        <w:instrText xml:space="preserve"> REF _Ref505951039 \h  \* MERGEFORMAT </w:instrText>
      </w:r>
      <w:r w:rsidRPr="00E62EEC">
        <w:fldChar w:fldCharType="separate"/>
      </w:r>
      <w:r w:rsidR="00FB3C46" w:rsidRPr="00E962DF">
        <w:t xml:space="preserve">Figure </w:t>
      </w:r>
      <w:r w:rsidR="00FB3C46">
        <w:rPr>
          <w:noProof/>
        </w:rPr>
        <w:t>1</w:t>
      </w:r>
      <w:r w:rsidRPr="00E62EEC">
        <w:fldChar w:fldCharType="end"/>
      </w:r>
      <w:r>
        <w:t>.</w:t>
      </w:r>
    </w:p>
    <w:p w14:paraId="1FD2E860" w14:textId="77777777" w:rsidR="00BD13D9" w:rsidRDefault="00BD13D9" w:rsidP="00BD13D9">
      <w:pPr>
        <w:jc w:val="center"/>
        <w:rPr>
          <w:rFonts w:ascii="Arial" w:hAnsi="Arial" w:cs="Arial"/>
        </w:rPr>
      </w:pPr>
      <w:r w:rsidRPr="00E62EEC">
        <w:rPr>
          <w:rFonts w:ascii="Arial" w:hAnsi="Arial" w:cs="Arial"/>
          <w:noProof/>
          <w:lang w:val="en-US" w:eastAsia="zh-CN"/>
        </w:rPr>
        <w:drawing>
          <wp:inline distT="0" distB="0" distL="0" distR="0" wp14:anchorId="044777E3" wp14:editId="0DD4468F">
            <wp:extent cx="4127323" cy="21600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27323" cy="2160000"/>
                    </a:xfrm>
                    <a:prstGeom prst="rect">
                      <a:avLst/>
                    </a:prstGeom>
                    <a:noFill/>
                    <a:ln>
                      <a:noFill/>
                    </a:ln>
                  </pic:spPr>
                </pic:pic>
              </a:graphicData>
            </a:graphic>
          </wp:inline>
        </w:drawing>
      </w:r>
    </w:p>
    <w:p w14:paraId="79296ED5" w14:textId="44E21136" w:rsidR="00BD13D9" w:rsidRPr="00E962DF" w:rsidRDefault="00BD13D9" w:rsidP="00E962DF">
      <w:pPr>
        <w:pStyle w:val="Caption"/>
      </w:pPr>
      <w:bookmarkStart w:id="3" w:name="_Ref505951039"/>
      <w:r w:rsidRPr="00E962DF">
        <w:t xml:space="preserve">Figure </w:t>
      </w:r>
      <w:fldSimple w:instr=" SEQ Figure \* ARABIC ">
        <w:r w:rsidR="00FB3C46">
          <w:rPr>
            <w:noProof/>
          </w:rPr>
          <w:t>1</w:t>
        </w:r>
      </w:fldSimple>
      <w:bookmarkEnd w:id="3"/>
      <w:r w:rsidRPr="00E962DF">
        <w:t xml:space="preserve"> – S-N </w:t>
      </w:r>
      <w:r w:rsidR="007F411F">
        <w:t>c</w:t>
      </w:r>
      <w:r w:rsidRPr="00E962DF">
        <w:t>urve from IGEM/TD/1</w:t>
      </w:r>
    </w:p>
    <w:p w14:paraId="458DD7EA" w14:textId="77777777" w:rsidR="00BD13D9" w:rsidRDefault="00BD13D9" w:rsidP="00BD13D9">
      <w:pPr>
        <w:pStyle w:val="BodyText"/>
      </w:pPr>
      <w:r w:rsidRPr="00FF7E78">
        <w:t xml:space="preserve">For pipelines, cyclic stresses </w:t>
      </w:r>
      <w:r>
        <w:t>predominantly occur</w:t>
      </w:r>
      <w:r w:rsidRPr="00FF7E78">
        <w:t xml:space="preserve"> due to variations in the internal pressure during operation. The cyclic stress loading associated with a pipeline can be calculated using records of the internal operating pressure by converting the values to a circumferential hoop stress using Barlow’s formula. Any potential fatigue damage can then be assessed by applying an appropriate S-N curve.</w:t>
      </w:r>
      <w:r>
        <w:t xml:space="preserve"> </w:t>
      </w:r>
    </w:p>
    <w:p w14:paraId="6DA113A2" w14:textId="49405785" w:rsidR="00BD13D9" w:rsidRDefault="00BD13D9" w:rsidP="00BD13D9">
      <w:pPr>
        <w:pStyle w:val="BodyText"/>
      </w:pPr>
      <w:r>
        <w:t>The recognised and accepted S-N curves applied in the UK are published in a number of standards. Generic curves are published in the fatigue design code BS 7608</w:t>
      </w:r>
      <w:sdt>
        <w:sdtPr>
          <w:id w:val="810058968"/>
          <w:citation/>
        </w:sdtPr>
        <w:sdtEndPr/>
        <w:sdtContent>
          <w:r w:rsidR="007A0553">
            <w:fldChar w:fldCharType="begin"/>
          </w:r>
          <w:r w:rsidR="00D56ACC">
            <w:instrText xml:space="preserve">CITATION The14 \l 2057 </w:instrText>
          </w:r>
          <w:r w:rsidR="007A0553">
            <w:fldChar w:fldCharType="separate"/>
          </w:r>
          <w:r w:rsidR="00D56ACC">
            <w:rPr>
              <w:noProof/>
            </w:rPr>
            <w:t xml:space="preserve"> [2]</w:t>
          </w:r>
          <w:r w:rsidR="007A0553">
            <w:fldChar w:fldCharType="end"/>
          </w:r>
        </w:sdtContent>
      </w:sdt>
      <w:r>
        <w:t xml:space="preserve"> and the defect assessment code BS 7910</w:t>
      </w:r>
      <w:sdt>
        <w:sdtPr>
          <w:id w:val="-1225900748"/>
          <w:citation/>
        </w:sdtPr>
        <w:sdtEndPr/>
        <w:sdtContent>
          <w:r w:rsidR="00FB4D05">
            <w:fldChar w:fldCharType="begin"/>
          </w:r>
          <w:r w:rsidR="00D56ACC">
            <w:instrText xml:space="preserve">CITATION The15 \l 2057 </w:instrText>
          </w:r>
          <w:r w:rsidR="00FB4D05">
            <w:fldChar w:fldCharType="separate"/>
          </w:r>
          <w:r w:rsidR="00D56ACC">
            <w:rPr>
              <w:noProof/>
            </w:rPr>
            <w:t xml:space="preserve"> [3]</w:t>
          </w:r>
          <w:r w:rsidR="00FB4D05">
            <w:fldChar w:fldCharType="end"/>
          </w:r>
        </w:sdtContent>
      </w:sdt>
      <w:r w:rsidRPr="00DB62A5">
        <w:t>. The</w:t>
      </w:r>
      <w:r>
        <w:t xml:space="preserve"> generic curves in these standards are separated into</w:t>
      </w:r>
      <w:r w:rsidRPr="00DB62A5">
        <w:t xml:space="preserve"> classes</w:t>
      </w:r>
      <w:r>
        <w:t xml:space="preserve"> which are used to represent plain steel and various steel welded, bolted and rivetted joints in plate and tubular structures. The classes</w:t>
      </w:r>
      <w:r w:rsidRPr="00DB62A5">
        <w:t xml:space="preserve"> of S-N curves in</w:t>
      </w:r>
      <w:r>
        <w:t xml:space="preserve"> each </w:t>
      </w:r>
      <w:r w:rsidRPr="00DB62A5">
        <w:t>standard</w:t>
      </w:r>
      <w:r>
        <w:t xml:space="preserve"> are equivalent. In addition, a pipeline specific S-N curve (</w:t>
      </w:r>
      <w:r w:rsidRPr="00E62EEC">
        <w:fldChar w:fldCharType="begin"/>
      </w:r>
      <w:r w:rsidRPr="00E62EEC">
        <w:instrText xml:space="preserve"> REF _Ref505951039 \h  \* MERGEFORMAT </w:instrText>
      </w:r>
      <w:r w:rsidRPr="00E62EEC">
        <w:fldChar w:fldCharType="separate"/>
      </w:r>
      <w:r w:rsidR="00FB3C46" w:rsidRPr="00E962DF">
        <w:t xml:space="preserve">Figure </w:t>
      </w:r>
      <w:r w:rsidR="00FB3C46">
        <w:rPr>
          <w:noProof/>
        </w:rPr>
        <w:t>1</w:t>
      </w:r>
      <w:r w:rsidRPr="00E62EEC">
        <w:fldChar w:fldCharType="end"/>
      </w:r>
      <w:r>
        <w:t>) is included in IGEM/TD/1</w:t>
      </w:r>
      <w:sdt>
        <w:sdtPr>
          <w:id w:val="255485049"/>
          <w:citation/>
        </w:sdtPr>
        <w:sdtEndPr/>
        <w:sdtContent>
          <w:r w:rsidR="00FB4D05">
            <w:fldChar w:fldCharType="begin"/>
          </w:r>
          <w:r w:rsidR="00FB4D05">
            <w:instrText xml:space="preserve"> CITATION IGE \l 2057 </w:instrText>
          </w:r>
          <w:r w:rsidR="00FB4D05">
            <w:fldChar w:fldCharType="separate"/>
          </w:r>
          <w:r w:rsidR="00FB4D05">
            <w:rPr>
              <w:noProof/>
            </w:rPr>
            <w:t xml:space="preserve"> [1]</w:t>
          </w:r>
          <w:r w:rsidR="00FB4D05">
            <w:fldChar w:fldCharType="end"/>
          </w:r>
        </w:sdtContent>
      </w:sdt>
      <w:r>
        <w:t>.</w:t>
      </w:r>
    </w:p>
    <w:p w14:paraId="27167549" w14:textId="5D227384" w:rsidR="00BD13D9" w:rsidRDefault="00BD13D9" w:rsidP="00BD13D9">
      <w:pPr>
        <w:pStyle w:val="Heading1"/>
      </w:pPr>
      <w:bookmarkStart w:id="4" w:name="_Toc457914"/>
      <w:r>
        <w:lastRenderedPageBreak/>
        <w:t xml:space="preserve">Dent </w:t>
      </w:r>
      <w:r w:rsidR="00E962DF">
        <w:t>f</w:t>
      </w:r>
      <w:r>
        <w:t>atigue</w:t>
      </w:r>
      <w:bookmarkEnd w:id="4"/>
    </w:p>
    <w:p w14:paraId="09EC038A" w14:textId="4EF29306" w:rsidR="00BD13D9" w:rsidRDefault="00BD13D9" w:rsidP="00BD13D9">
      <w:pPr>
        <w:pStyle w:val="BodyText"/>
      </w:pPr>
      <w:r w:rsidRPr="00FF7E78">
        <w:t>Pipeline dents are permanent geometric distortions of the pipe wall caused by an impact between the pipeline and an external object. A pipeline dent represents an area of local stress</w:t>
      </w:r>
      <w:r>
        <w:t xml:space="preserve"> and strain</w:t>
      </w:r>
      <w:r w:rsidRPr="00FF7E78">
        <w:t xml:space="preserve"> concentration</w:t>
      </w:r>
      <w:r>
        <w:t>. Consequently, the stresses experienced within a dent under cyclic pressure loading differ from those experienced by undented pipe. The fatigue life of a dented pipeline has been shown to be lower than that of undented pipe</w:t>
      </w:r>
      <w:sdt>
        <w:sdtPr>
          <w:id w:val="281852245"/>
          <w:citation/>
        </w:sdtPr>
        <w:sdtEndPr/>
        <w:sdtContent>
          <w:r w:rsidR="00582604">
            <w:fldChar w:fldCharType="begin"/>
          </w:r>
          <w:r w:rsidR="00D56ACC">
            <w:instrText xml:space="preserve">CITATION Cos01 \l 2057 </w:instrText>
          </w:r>
          <w:r w:rsidR="00582604">
            <w:fldChar w:fldCharType="separate"/>
          </w:r>
          <w:r w:rsidR="00D56ACC">
            <w:rPr>
              <w:noProof/>
            </w:rPr>
            <w:t xml:space="preserve"> [4]</w:t>
          </w:r>
          <w:r w:rsidR="00582604">
            <w:fldChar w:fldCharType="end"/>
          </w:r>
        </w:sdtContent>
      </w:sdt>
      <w:r w:rsidRPr="00B800C2">
        <w:t>.</w:t>
      </w:r>
    </w:p>
    <w:p w14:paraId="3E507217" w14:textId="77777777" w:rsidR="00BD13D9" w:rsidRDefault="00BD13D9" w:rsidP="00BD13D9">
      <w:pPr>
        <w:pStyle w:val="BodyText"/>
      </w:pPr>
      <w:r>
        <w:t>The circumferential hoop stress in an undented pipe wall under cyclic loading is not representative of the stress within a dent under the same loading, therefore with regards to fatigue analysis, a simple conversion from the internal operating pressure to the stress using Barlow’s formula is no longer appropriate.</w:t>
      </w:r>
    </w:p>
    <w:p w14:paraId="3A846EDF" w14:textId="0713CFF5" w:rsidR="00BD13D9" w:rsidRDefault="00BD13D9" w:rsidP="00BD13D9">
      <w:pPr>
        <w:pStyle w:val="BodyText"/>
      </w:pPr>
      <w:r>
        <w:t>The stress within a dent under cyclic loading must instead be approximated by applying an appropriate SCF to the hoop stress. SCFs are typically a function of the dent depth, dent shape, internal operating pressure, diameter to wall thickness ratio and whether the dent is constrained or unconstrained. Dent SCFs are derived through Finite Element Analysis (FEA)</w:t>
      </w:r>
      <w:sdt>
        <w:sdtPr>
          <w:id w:val="561758341"/>
          <w:citation/>
        </w:sdtPr>
        <w:sdtEndPr/>
        <w:sdtContent>
          <w:r w:rsidR="00A657E9">
            <w:fldChar w:fldCharType="begin"/>
          </w:r>
          <w:r w:rsidR="00D74B63">
            <w:instrText xml:space="preserve">CITATION Liu13 \l 2057 </w:instrText>
          </w:r>
          <w:r w:rsidR="00A657E9">
            <w:fldChar w:fldCharType="separate"/>
          </w:r>
          <w:r w:rsidR="00D74B63">
            <w:rPr>
              <w:noProof/>
            </w:rPr>
            <w:t xml:space="preserve"> [5]</w:t>
          </w:r>
          <w:r w:rsidR="00A657E9">
            <w:fldChar w:fldCharType="end"/>
          </w:r>
        </w:sdtContent>
      </w:sdt>
      <w:r>
        <w:t>.</w:t>
      </w:r>
      <w:r w:rsidR="002B1228">
        <w:t xml:space="preserve"> </w:t>
      </w:r>
      <w:r>
        <w:t xml:space="preserve">The UKOPA </w:t>
      </w:r>
      <w:r w:rsidR="005B2DC4">
        <w:t>dent management strategy</w:t>
      </w:r>
      <w:r>
        <w:t xml:space="preserve"> indicates that the most accurate representation of the fatigue life of a dent is achieved by combining an SCF derived by GL Noble Denton (now DNV-GL) with a Class B, E, or F (depending on dent location) S-N curve from BS 7608 to determine the number of pressure cycles to failure </w:t>
      </w:r>
      <w:sdt>
        <w:sdtPr>
          <w:id w:val="-967277797"/>
          <w:citation/>
        </w:sdtPr>
        <w:sdtEndPr/>
        <w:sdtContent>
          <w:r w:rsidR="001B1FDE">
            <w:fldChar w:fldCharType="begin"/>
          </w:r>
          <w:r w:rsidR="00D74B63">
            <w:instrText xml:space="preserve">CITATION UKO16 \l 2057 </w:instrText>
          </w:r>
          <w:r w:rsidR="001B1FDE">
            <w:fldChar w:fldCharType="separate"/>
          </w:r>
          <w:r w:rsidR="00D74B63">
            <w:rPr>
              <w:noProof/>
            </w:rPr>
            <w:t>[6]</w:t>
          </w:r>
          <w:r w:rsidR="001B1FDE">
            <w:fldChar w:fldCharType="end"/>
          </w:r>
        </w:sdtContent>
      </w:sdt>
      <w:sdt>
        <w:sdtPr>
          <w:id w:val="399876205"/>
          <w:citation/>
        </w:sdtPr>
        <w:sdtEndPr/>
        <w:sdtContent>
          <w:r w:rsidR="00CC731A">
            <w:fldChar w:fldCharType="begin"/>
          </w:r>
          <w:r w:rsidR="00B83529">
            <w:instrText xml:space="preserve">CITATION UKO161 \l 2057 </w:instrText>
          </w:r>
          <w:r w:rsidR="00CC731A">
            <w:fldChar w:fldCharType="separate"/>
          </w:r>
          <w:r w:rsidR="00B83529">
            <w:rPr>
              <w:noProof/>
            </w:rPr>
            <w:t xml:space="preserve"> [7]</w:t>
          </w:r>
          <w:r w:rsidR="00CC731A">
            <w:fldChar w:fldCharType="end"/>
          </w:r>
        </w:sdtContent>
      </w:sdt>
      <w:r w:rsidRPr="002534A8">
        <w:t>.</w:t>
      </w:r>
    </w:p>
    <w:p w14:paraId="059E3503" w14:textId="77777777" w:rsidR="00BD13D9" w:rsidRDefault="00BD13D9" w:rsidP="00BD13D9">
      <w:pPr>
        <w:pStyle w:val="BodyText"/>
      </w:pPr>
      <w:r>
        <w:t>The dent SCF derived by GL Noble Denton is defined as the ratio between the maximum principal stress range in any one pressure cycle (corresponding to the maximum and minimum operating pressure within the cycle) experienced by the dent, to the hoop stress range during the same cycle in the nominal undented section of the pipeline.</w:t>
      </w:r>
    </w:p>
    <w:p w14:paraId="216458F5" w14:textId="77777777" w:rsidR="00BD13D9" w:rsidRDefault="00BD13D9" w:rsidP="00BD13D9">
      <w:pPr>
        <w:pStyle w:val="BodyText"/>
      </w:pPr>
      <w:r>
        <w:t xml:space="preserve">The SCF increases as the dent depth, </w:t>
      </w:r>
      <w:r w:rsidRPr="002534A8">
        <w:rPr>
          <w:rFonts w:ascii="Cambria Math" w:hAnsi="Cambria Math"/>
          <w:i/>
        </w:rPr>
        <w:t>H</w:t>
      </w:r>
      <w:r w:rsidRPr="002534A8">
        <w:rPr>
          <w:rFonts w:ascii="Cambria Math" w:hAnsi="Cambria Math"/>
          <w:i/>
          <w:vertAlign w:val="subscript"/>
        </w:rPr>
        <w:t>r</w:t>
      </w:r>
      <w:r>
        <w:t xml:space="preserve">, increases where </w:t>
      </w:r>
      <w:r w:rsidRPr="002534A8">
        <w:rPr>
          <w:rFonts w:ascii="Cambria Math" w:hAnsi="Cambria Math"/>
          <w:i/>
        </w:rPr>
        <w:t>H</w:t>
      </w:r>
      <w:r w:rsidRPr="002534A8">
        <w:rPr>
          <w:rFonts w:ascii="Cambria Math" w:hAnsi="Cambria Math"/>
          <w:i/>
          <w:vertAlign w:val="subscript"/>
        </w:rPr>
        <w:t>r</w:t>
      </w:r>
      <w:r>
        <w:t xml:space="preserve"> is the dent depth measured at the pipeline operating pressure, after spring back and re-rounding.</w:t>
      </w:r>
    </w:p>
    <w:p w14:paraId="21B57091" w14:textId="77777777" w:rsidR="00BD13D9" w:rsidRDefault="00BD13D9" w:rsidP="00BD13D9">
      <w:pPr>
        <w:pStyle w:val="BodyText"/>
      </w:pPr>
      <w:r>
        <w:t xml:space="preserve">For a dent depth ratio defined by </w:t>
      </w:r>
      <w:r w:rsidRPr="00417F6F">
        <w:rPr>
          <w:rFonts w:ascii="Cambria Math" w:hAnsi="Cambria Math"/>
          <w:i/>
        </w:rPr>
        <w:t>H</w:t>
      </w:r>
      <w:r w:rsidRPr="00417F6F">
        <w:rPr>
          <w:rFonts w:ascii="Cambria Math" w:hAnsi="Cambria Math"/>
          <w:i/>
          <w:vertAlign w:val="subscript"/>
        </w:rPr>
        <w:t>r</w:t>
      </w:r>
      <w:r w:rsidRPr="00417F6F">
        <w:rPr>
          <w:rFonts w:ascii="Cambria Math" w:hAnsi="Cambria Math"/>
          <w:i/>
        </w:rPr>
        <w:t>/D</w:t>
      </w:r>
      <w:r>
        <w:t xml:space="preserve"> the SCF is given by:</w:t>
      </w:r>
    </w:p>
    <w:p w14:paraId="48AC420B" w14:textId="77777777" w:rsidR="00BD13D9" w:rsidRDefault="00BD13D9" w:rsidP="002B1228">
      <w:pPr>
        <w:pStyle w:val="BodyText"/>
        <w:jc w:val="center"/>
        <w:rPr>
          <w:rFonts w:eastAsiaTheme="minorEastAsia"/>
        </w:rPr>
      </w:pPr>
      <m:oMath>
        <m:r>
          <w:rPr>
            <w:rFonts w:ascii="Cambria Math" w:hAnsi="Cambria Math"/>
          </w:rPr>
          <m:t>SCF=</m:t>
        </m:r>
        <m:f>
          <m:fPr>
            <m:ctrlPr>
              <w:rPr>
                <w:rFonts w:ascii="Cambria Math" w:hAnsi="Cambria Math"/>
                <w:i/>
              </w:rPr>
            </m:ctrlPr>
          </m:fPr>
          <m:num>
            <m:r>
              <w:rPr>
                <w:rFonts w:ascii="Cambria Math" w:hAnsi="Cambria Math"/>
              </w:rPr>
              <m:t>∆σ</m:t>
            </m:r>
          </m:num>
          <m:den>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hoop</m:t>
                </m:r>
              </m:sub>
            </m:sSub>
          </m:den>
        </m:f>
        <m:r>
          <w:rPr>
            <w:rFonts w:ascii="Cambria Math" w:hAnsi="Cambria Math"/>
          </w:rPr>
          <m:t>=1.8</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88</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r</m:t>
                        </m:r>
                      </m:sub>
                    </m:sSub>
                  </m:num>
                  <m:den>
                    <m:r>
                      <w:rPr>
                        <w:rFonts w:ascii="Cambria Math" w:hAnsi="Cambria Math"/>
                      </w:rPr>
                      <m:t>D</m:t>
                    </m:r>
                  </m:den>
                </m:f>
                <m:r>
                  <w:rPr>
                    <w:rFonts w:ascii="Cambria Math" w:hAnsi="Cambria Math"/>
                  </w:rPr>
                  <m:t>+1</m:t>
                </m:r>
              </m:e>
            </m:d>
            <m:r>
              <w:rPr>
                <w:rFonts w:ascii="Cambria Math" w:hAnsi="Cambria Math"/>
              </w:rPr>
              <m:t>+1</m:t>
            </m:r>
          </m:e>
        </m:func>
      </m:oMath>
      <w:r>
        <w:rPr>
          <w:rFonts w:eastAsiaTheme="minorEastAsia"/>
        </w:rPr>
        <w:tab/>
      </w:r>
      <w:r>
        <w:rPr>
          <w:rFonts w:eastAsiaTheme="minorEastAsia"/>
        </w:rPr>
        <w:tab/>
        <w:t>(1)</w:t>
      </w:r>
    </w:p>
    <w:p w14:paraId="136E71E5" w14:textId="77777777" w:rsidR="00BD13D9" w:rsidRDefault="00BD13D9" w:rsidP="00BD13D9">
      <w:pPr>
        <w:pStyle w:val="BodyText"/>
      </w:pPr>
      <w:r>
        <w:t>Where:</w:t>
      </w:r>
    </w:p>
    <w:p w14:paraId="0F142620" w14:textId="77777777" w:rsidR="00BD13D9" w:rsidRDefault="00BD13D9" w:rsidP="00BD13D9">
      <w:pPr>
        <w:pStyle w:val="BodyText"/>
      </w:pPr>
      <w:proofErr w:type="spellStart"/>
      <w:r w:rsidRPr="00DE5537">
        <w:rPr>
          <w:rFonts w:ascii="Cambria Math" w:hAnsi="Cambria Math"/>
          <w:i/>
        </w:rPr>
        <w:t>Δσ</w:t>
      </w:r>
      <w:proofErr w:type="spellEnd"/>
      <w:r>
        <w:t xml:space="preserve"> = maximum principal stress range in any one pressure cycle (in N/mm</w:t>
      </w:r>
      <w:r>
        <w:rPr>
          <w:vertAlign w:val="superscript"/>
        </w:rPr>
        <w:t>2</w:t>
      </w:r>
      <w:r>
        <w:t>)</w:t>
      </w:r>
    </w:p>
    <w:p w14:paraId="13075B7D" w14:textId="77777777" w:rsidR="00BD13D9" w:rsidRPr="00DE5537" w:rsidRDefault="00BD13D9" w:rsidP="00BD13D9">
      <w:pPr>
        <w:pStyle w:val="BodyText"/>
      </w:pPr>
      <w:proofErr w:type="spellStart"/>
      <w:r w:rsidRPr="00DE5537">
        <w:rPr>
          <w:rFonts w:ascii="Cambria Math" w:hAnsi="Cambria Math"/>
          <w:i/>
        </w:rPr>
        <w:t>Δσ</w:t>
      </w:r>
      <w:r w:rsidRPr="00DE5537">
        <w:rPr>
          <w:rFonts w:ascii="Cambria Math" w:hAnsi="Cambria Math"/>
          <w:i/>
          <w:vertAlign w:val="subscript"/>
        </w:rPr>
        <w:t>hoop</w:t>
      </w:r>
      <w:proofErr w:type="spellEnd"/>
      <w:r>
        <w:t xml:space="preserve"> = hoop stress range in the same pressure cycle remote from stress concentrations (in N/mm</w:t>
      </w:r>
      <w:r w:rsidRPr="00DE5537">
        <w:rPr>
          <w:vertAlign w:val="superscript"/>
        </w:rPr>
        <w:t>2</w:t>
      </w:r>
      <w:r>
        <w:t>)</w:t>
      </w:r>
    </w:p>
    <w:p w14:paraId="1C4D974A" w14:textId="77777777" w:rsidR="00BD13D9" w:rsidRDefault="00BD13D9" w:rsidP="00BD13D9">
      <w:pPr>
        <w:pStyle w:val="BodyText"/>
      </w:pPr>
      <w:r w:rsidRPr="007811CC">
        <w:rPr>
          <w:rFonts w:ascii="Cambria Math" w:hAnsi="Cambria Math"/>
          <w:i/>
        </w:rPr>
        <w:t>D</w:t>
      </w:r>
      <w:r>
        <w:t xml:space="preserve"> = outside diameter of the pipeline (in mm)</w:t>
      </w:r>
    </w:p>
    <w:p w14:paraId="67B1B34B" w14:textId="77777777" w:rsidR="00BD13D9" w:rsidRDefault="00BD13D9" w:rsidP="00BD13D9">
      <w:pPr>
        <w:pStyle w:val="BodyText"/>
      </w:pPr>
      <w:r>
        <w:t>Equation (1) gives an upper bound SCF for a single smooth dent.</w:t>
      </w:r>
    </w:p>
    <w:p w14:paraId="2738340A" w14:textId="77777777" w:rsidR="00BD13D9" w:rsidRDefault="00BD13D9" w:rsidP="00BD13D9">
      <w:pPr>
        <w:pStyle w:val="BodyText"/>
      </w:pPr>
      <w:r>
        <w:t xml:space="preserve">Having calculated the SCF, the number of cycles to failure for a specific stress range, </w:t>
      </w:r>
      <w:r w:rsidRPr="007811CC">
        <w:rPr>
          <w:rFonts w:ascii="Cambria Math" w:hAnsi="Cambria Math"/>
          <w:i/>
        </w:rPr>
        <w:t>N</w:t>
      </w:r>
      <w:r>
        <w:t>, can be determined from:</w:t>
      </w:r>
    </w:p>
    <w:p w14:paraId="32313DC6" w14:textId="77777777" w:rsidR="00BD13D9" w:rsidRDefault="00BD13D9" w:rsidP="002B1228">
      <w:pPr>
        <w:pStyle w:val="BodyText"/>
        <w:jc w:val="center"/>
        <w:rPr>
          <w:rFonts w:eastAsiaTheme="minorEastAsia"/>
        </w:rPr>
      </w:pPr>
      <m:oMath>
        <m:r>
          <w:rPr>
            <w:rFonts w:ascii="Cambria Math" w:hAnsi="Cambria Math"/>
          </w:rPr>
          <m:t>C=</m:t>
        </m:r>
        <m:sSup>
          <m:sSupPr>
            <m:ctrlPr>
              <w:rPr>
                <w:rFonts w:ascii="Cambria Math" w:hAnsi="Cambria Math"/>
                <w:i/>
              </w:rPr>
            </m:ctrlPr>
          </m:sSupPr>
          <m:e>
            <m:r>
              <w:rPr>
                <w:rFonts w:ascii="Cambria Math" w:hAnsi="Cambria Math"/>
              </w:rPr>
              <m:t>(SCF.∆σ)</m:t>
            </m:r>
          </m:e>
          <m:sup>
            <m:r>
              <w:rPr>
                <w:rFonts w:ascii="Cambria Math" w:hAnsi="Cambria Math"/>
              </w:rPr>
              <m:t>m</m:t>
            </m:r>
          </m:sup>
        </m:sSup>
        <m:r>
          <w:rPr>
            <w:rFonts w:ascii="Cambria Math" w:hAnsi="Cambria Math"/>
          </w:rPr>
          <m:t>.N</m:t>
        </m:r>
      </m:oMath>
      <w:r>
        <w:rPr>
          <w:rFonts w:eastAsiaTheme="minorEastAsia"/>
        </w:rPr>
        <w:tab/>
        <w:t>(2)</w:t>
      </w:r>
    </w:p>
    <w:p w14:paraId="261B9C1D" w14:textId="77777777" w:rsidR="00BD13D9" w:rsidRDefault="00BD13D9" w:rsidP="00BD13D9">
      <w:pPr>
        <w:pStyle w:val="BodyText"/>
      </w:pPr>
      <w:r>
        <w:t xml:space="preserve">Which is the form of the S-N curve with the SCF included. </w:t>
      </w:r>
      <w:r w:rsidRPr="00431EBD">
        <w:rPr>
          <w:rFonts w:ascii="Cambria Math" w:hAnsi="Cambria Math"/>
          <w:i/>
        </w:rPr>
        <w:t>C</w:t>
      </w:r>
      <w:r>
        <w:t xml:space="preserve"> and </w:t>
      </w:r>
      <w:r w:rsidRPr="00431EBD">
        <w:rPr>
          <w:rFonts w:ascii="Cambria Math" w:hAnsi="Cambria Math"/>
          <w:i/>
        </w:rPr>
        <w:t>m</w:t>
      </w:r>
      <w:r>
        <w:t xml:space="preserve"> are constants whose values depend upon the particular S-N curve selected.</w:t>
      </w:r>
    </w:p>
    <w:p w14:paraId="0C40CD72" w14:textId="274B4283" w:rsidR="00BD13D9" w:rsidRDefault="00BD13D9" w:rsidP="00BD13D9">
      <w:pPr>
        <w:pStyle w:val="Heading1"/>
      </w:pPr>
      <w:bookmarkStart w:id="5" w:name="_Toc457915"/>
      <w:r>
        <w:lastRenderedPageBreak/>
        <w:t xml:space="preserve">Endurance </w:t>
      </w:r>
      <w:r w:rsidR="00E962DF">
        <w:t>l</w:t>
      </w:r>
      <w:r>
        <w:t>imit</w:t>
      </w:r>
      <w:bookmarkEnd w:id="5"/>
    </w:p>
    <w:p w14:paraId="2D1637C7" w14:textId="3E440E09" w:rsidR="00BD13D9" w:rsidRDefault="00BD13D9" w:rsidP="00BD13D9">
      <w:pPr>
        <w:pStyle w:val="BodyText"/>
      </w:pPr>
      <w:r>
        <w:t xml:space="preserve">The endurance limit, </w:t>
      </w:r>
      <w:r w:rsidRPr="001B220B">
        <w:rPr>
          <w:rFonts w:ascii="Cambria Math" w:hAnsi="Cambria Math"/>
          <w:i/>
        </w:rPr>
        <w:t>S</w:t>
      </w:r>
      <w:r w:rsidRPr="001B220B">
        <w:rPr>
          <w:rFonts w:ascii="Cambria Math" w:hAnsi="Cambria Math"/>
          <w:i/>
          <w:vertAlign w:val="subscript"/>
        </w:rPr>
        <w:t>e</w:t>
      </w:r>
      <w:r>
        <w:t>, of a material is defined as the magnitude of stress cycle for which the material will not fail by fatigue under circumstances in which it is forced to endure an infinite number of stress cycles. Experimentally, steels have an endurance limit which is approximately half of the ultimate tensile strength, up to a maximum value of 700 N/mm</w:t>
      </w:r>
      <w:r>
        <w:rPr>
          <w:vertAlign w:val="superscript"/>
        </w:rPr>
        <w:t>2</w:t>
      </w:r>
      <w:r>
        <w:t xml:space="preserve"> </w:t>
      </w:r>
      <w:sdt>
        <w:sdtPr>
          <w:id w:val="-1471120978"/>
          <w:citation/>
        </w:sdtPr>
        <w:sdtEndPr/>
        <w:sdtContent>
          <w:r w:rsidR="00DF2D47">
            <w:fldChar w:fldCharType="begin"/>
          </w:r>
          <w:r w:rsidR="003043BB">
            <w:instrText xml:space="preserve">CITATION Shi01 \l 2057 </w:instrText>
          </w:r>
          <w:r w:rsidR="00DF2D47">
            <w:fldChar w:fldCharType="separate"/>
          </w:r>
          <w:r w:rsidR="003043BB">
            <w:rPr>
              <w:noProof/>
            </w:rPr>
            <w:t>[8]</w:t>
          </w:r>
          <w:r w:rsidR="00DF2D47">
            <w:fldChar w:fldCharType="end"/>
          </w:r>
        </w:sdtContent>
      </w:sdt>
      <w:r w:rsidRPr="00FA1A50">
        <w:t>.</w:t>
      </w:r>
      <w:r>
        <w:t xml:space="preserve"> For pipelines, if the cyclic stresses experienced during normal operation are below the endurance limit of the pipe steel, there will be no fatigue damage and a fatigue assessment is not necessary.</w:t>
      </w:r>
    </w:p>
    <w:p w14:paraId="48668AF5" w14:textId="1E774ADC" w:rsidR="00BD13D9" w:rsidRPr="008D6EA2" w:rsidRDefault="00BD13D9" w:rsidP="00BD13D9">
      <w:pPr>
        <w:pStyle w:val="BodyText"/>
      </w:pPr>
      <w:r w:rsidRPr="005F6760">
        <w:t>On an S-N curve, the endurance limit is indicated by the point</w:t>
      </w:r>
      <w:r>
        <w:t xml:space="preserve"> at high N</w:t>
      </w:r>
      <w:r w:rsidRPr="005F6760">
        <w:t xml:space="preserve"> at which the curve becomes </w:t>
      </w:r>
      <w:r>
        <w:t>independent of N</w:t>
      </w:r>
      <w:r w:rsidRPr="005F6760">
        <w:t>.</w:t>
      </w:r>
      <w:r>
        <w:t xml:space="preserve"> The pipeline specific code IGEM/TD/1 </w:t>
      </w:r>
      <w:r w:rsidRPr="00B800C2">
        <w:t>[1]</w:t>
      </w:r>
      <w:r>
        <w:t xml:space="preserve"> defines a value for the endurance limit at 35 Nmm</w:t>
      </w:r>
      <w:r>
        <w:rPr>
          <w:vertAlign w:val="superscript"/>
        </w:rPr>
        <w:t>-2</w:t>
      </w:r>
      <w:r>
        <w:t xml:space="preserve">. This limit is applicable to pipelines at the design stage and is shown on the IGEM/TD/1 S-N curve in </w:t>
      </w:r>
      <w:r w:rsidRPr="00CA4753">
        <w:fldChar w:fldCharType="begin"/>
      </w:r>
      <w:r w:rsidRPr="00CA4753">
        <w:instrText xml:space="preserve"> REF _Ref506886289 \h  \* MERGEFORMAT </w:instrText>
      </w:r>
      <w:r w:rsidRPr="00CA4753">
        <w:fldChar w:fldCharType="separate"/>
      </w:r>
      <w:r w:rsidR="00FB3C46" w:rsidRPr="00F66F56">
        <w:t xml:space="preserve">Figure </w:t>
      </w:r>
      <w:r w:rsidR="00FB3C46">
        <w:rPr>
          <w:noProof/>
        </w:rPr>
        <w:t>2</w:t>
      </w:r>
      <w:r w:rsidRPr="00CA4753">
        <w:fldChar w:fldCharType="end"/>
      </w:r>
      <w:r>
        <w:t xml:space="preserve">. The IGEM/TD/1 S-N curve is based upon Submerged Arc Welded (SAW) pipe samples with poor geometry (roof topping, plate offset and ovality) and longitudinal, surface breaking defects capable of surviving a hydrotest. The curve was developed on this basis due to a series of historical hydrotest failures which had occurred in pipes with these </w:t>
      </w:r>
      <w:r w:rsidR="007F411F">
        <w:t>characteristics and</w:t>
      </w:r>
      <w:r>
        <w:t xml:space="preserve"> includes a safety factor of 10 on the predicted number of cycles to failure. Consequently, the IGEM/TD/1 S-N curve is considered to be a conservative representation of the fatigue behaviour of pipelines at the design stage.</w:t>
      </w:r>
      <w:r w:rsidRPr="008D6EA2">
        <w:rPr>
          <w:noProof/>
        </w:rPr>
        <w:t xml:space="preserve"> </w:t>
      </w:r>
    </w:p>
    <w:p w14:paraId="20EDC5A7" w14:textId="77777777" w:rsidR="00BD13D9" w:rsidRDefault="00BD13D9" w:rsidP="002B1228">
      <w:pPr>
        <w:pStyle w:val="BodyText"/>
        <w:ind w:left="0"/>
        <w:jc w:val="center"/>
      </w:pPr>
      <w:r>
        <w:rPr>
          <w:noProof/>
          <w:lang w:val="en-US" w:eastAsia="zh-CN"/>
        </w:rPr>
        <mc:AlternateContent>
          <mc:Choice Requires="wps">
            <w:drawing>
              <wp:anchor distT="0" distB="0" distL="114300" distR="114300" simplePos="0" relativeHeight="251660288" behindDoc="0" locked="0" layoutInCell="1" allowOverlap="1" wp14:anchorId="53A0E9D5" wp14:editId="727C22AD">
                <wp:simplePos x="0" y="0"/>
                <wp:positionH relativeFrom="column">
                  <wp:posOffset>4492049</wp:posOffset>
                </wp:positionH>
                <wp:positionV relativeFrom="paragraph">
                  <wp:posOffset>1158328</wp:posOffset>
                </wp:positionV>
                <wp:extent cx="666750" cy="403860"/>
                <wp:effectExtent l="0" t="0" r="19050" b="15240"/>
                <wp:wrapNone/>
                <wp:docPr id="7" name="Oval 7"/>
                <wp:cNvGraphicFramePr/>
                <a:graphic xmlns:a="http://schemas.openxmlformats.org/drawingml/2006/main">
                  <a:graphicData uri="http://schemas.microsoft.com/office/word/2010/wordprocessingShape">
                    <wps:wsp>
                      <wps:cNvSpPr/>
                      <wps:spPr>
                        <a:xfrm>
                          <a:off x="0" y="0"/>
                          <a:ext cx="666750" cy="40386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338A5" id="Oval 7" o:spid="_x0000_s1026" style="position:absolute;margin-left:353.7pt;margin-top:91.2pt;width:52.5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" filled="f" strokecolor="red" strokeweight="1.5pt">
                <v:stroke joinstyle="miter"/>
              </v:oval>
            </w:pict>
          </mc:Fallback>
        </mc:AlternateContent>
      </w:r>
      <w:r w:rsidRPr="00E62EEC">
        <w:rPr>
          <w:noProof/>
          <w:lang w:val="en-US" w:eastAsia="zh-CN"/>
        </w:rPr>
        <w:drawing>
          <wp:inline distT="0" distB="0" distL="0" distR="0" wp14:anchorId="6D208A6F" wp14:editId="6C89E860">
            <wp:extent cx="4815864" cy="25200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5864" cy="2520000"/>
                    </a:xfrm>
                    <a:prstGeom prst="rect">
                      <a:avLst/>
                    </a:prstGeom>
                    <a:noFill/>
                    <a:ln>
                      <a:noFill/>
                    </a:ln>
                  </pic:spPr>
                </pic:pic>
              </a:graphicData>
            </a:graphic>
          </wp:inline>
        </w:drawing>
      </w:r>
    </w:p>
    <w:p w14:paraId="5CC459AE" w14:textId="0F84389F" w:rsidR="00BD13D9" w:rsidRDefault="00BD13D9" w:rsidP="00E962DF">
      <w:pPr>
        <w:pStyle w:val="Caption"/>
      </w:pPr>
      <w:bookmarkStart w:id="6" w:name="_Ref506886289"/>
      <w:r w:rsidRPr="00F66F56">
        <w:t xml:space="preserve">Figure </w:t>
      </w:r>
      <w:fldSimple w:instr=" SEQ Figure \* ARABIC ">
        <w:r w:rsidR="00FB3C46">
          <w:rPr>
            <w:noProof/>
          </w:rPr>
          <w:t>2</w:t>
        </w:r>
      </w:fldSimple>
      <w:bookmarkEnd w:id="6"/>
      <w:r w:rsidRPr="00F66F56">
        <w:t xml:space="preserve"> – S-N </w:t>
      </w:r>
      <w:r w:rsidR="007F411F">
        <w:t>c</w:t>
      </w:r>
      <w:r w:rsidRPr="00F66F56">
        <w:t xml:space="preserve">urve from IGEM/TD/1 </w:t>
      </w:r>
      <w:r w:rsidR="007F411F">
        <w:t>s</w:t>
      </w:r>
      <w:r w:rsidRPr="00F66F56">
        <w:t xml:space="preserve">howing </w:t>
      </w:r>
      <w:r w:rsidR="007F411F">
        <w:t>e</w:t>
      </w:r>
      <w:r w:rsidRPr="00F66F56">
        <w:t xml:space="preserve">ndurance </w:t>
      </w:r>
      <w:r w:rsidR="007F411F">
        <w:t>l</w:t>
      </w:r>
      <w:r w:rsidRPr="00F66F56">
        <w:t>imit</w:t>
      </w:r>
    </w:p>
    <w:p w14:paraId="73B14305" w14:textId="6424EF36" w:rsidR="00BD13D9" w:rsidRPr="00F66F56" w:rsidRDefault="00BD13D9" w:rsidP="00BD13D9">
      <w:pPr>
        <w:pStyle w:val="BodyText"/>
        <w:rPr>
          <w:b/>
          <w:i/>
        </w:rPr>
      </w:pPr>
      <w:r>
        <w:t>For the generic S-N curves in the fatigue design code BS 7608, it is assumed that the endurance limit (termed the non-propagating stress range) is the stress range corresponding to 10</w:t>
      </w:r>
      <w:r>
        <w:rPr>
          <w:vertAlign w:val="superscript"/>
        </w:rPr>
        <w:t>7</w:t>
      </w:r>
      <w:r>
        <w:t xml:space="preserve"> stress cycles. Each S-N curve class in BS 7608 has a different value for the endurance limit. The endurance limits in BS 7608 are shown in </w:t>
      </w:r>
      <w:r w:rsidRPr="00FB0A95">
        <w:rPr>
          <w:highlight w:val="yellow"/>
        </w:rPr>
        <w:fldChar w:fldCharType="begin"/>
      </w:r>
      <w:r w:rsidRPr="00FB0A95">
        <w:instrText xml:space="preserve"> REF _Ref506900496 \h </w:instrText>
      </w:r>
      <w:r w:rsidRPr="00FB0A95">
        <w:rPr>
          <w:highlight w:val="yellow"/>
        </w:rPr>
        <w:instrText xml:space="preserve"> \* MERGEFORMAT </w:instrText>
      </w:r>
      <w:r w:rsidRPr="00FB0A95">
        <w:rPr>
          <w:highlight w:val="yellow"/>
        </w:rPr>
      </w:r>
      <w:r w:rsidRPr="00FB0A95">
        <w:rPr>
          <w:highlight w:val="yellow"/>
        </w:rPr>
        <w:fldChar w:fldCharType="separate"/>
      </w:r>
      <w:r w:rsidR="00FB3C46" w:rsidRPr="00E62EEC">
        <w:t xml:space="preserve">Figure </w:t>
      </w:r>
      <w:r w:rsidR="00FB3C46">
        <w:rPr>
          <w:noProof/>
        </w:rPr>
        <w:t>3</w:t>
      </w:r>
      <w:r w:rsidRPr="00FB0A95">
        <w:rPr>
          <w:highlight w:val="yellow"/>
        </w:rPr>
        <w:fldChar w:fldCharType="end"/>
      </w:r>
      <w:r w:rsidRPr="00FB0A95">
        <w:t>.</w:t>
      </w:r>
    </w:p>
    <w:p w14:paraId="72651CB6" w14:textId="77777777" w:rsidR="00BD13D9" w:rsidRDefault="00BD13D9" w:rsidP="005B2DC4">
      <w:pPr>
        <w:pStyle w:val="BodyText"/>
        <w:ind w:left="0"/>
        <w:jc w:val="center"/>
      </w:pPr>
      <w:r>
        <w:rPr>
          <w:noProof/>
          <w:lang w:val="en-US" w:eastAsia="zh-CN"/>
        </w:rPr>
        <w:lastRenderedPageBreak/>
        <mc:AlternateContent>
          <mc:Choice Requires="wps">
            <w:drawing>
              <wp:anchor distT="0" distB="0" distL="114300" distR="114300" simplePos="0" relativeHeight="251659264" behindDoc="0" locked="0" layoutInCell="1" allowOverlap="1" wp14:anchorId="03B2F423" wp14:editId="02470E09">
                <wp:simplePos x="0" y="0"/>
                <wp:positionH relativeFrom="column">
                  <wp:posOffset>4256879</wp:posOffset>
                </wp:positionH>
                <wp:positionV relativeFrom="paragraph">
                  <wp:posOffset>1016635</wp:posOffset>
                </wp:positionV>
                <wp:extent cx="381000" cy="1155700"/>
                <wp:effectExtent l="0" t="0" r="19050" b="25400"/>
                <wp:wrapNone/>
                <wp:docPr id="1" name="Rectangle: Rounded Corners 1"/>
                <wp:cNvGraphicFramePr/>
                <a:graphic xmlns:a="http://schemas.openxmlformats.org/drawingml/2006/main">
                  <a:graphicData uri="http://schemas.microsoft.com/office/word/2010/wordprocessingShape">
                    <wps:wsp>
                      <wps:cNvSpPr/>
                      <wps:spPr>
                        <a:xfrm>
                          <a:off x="0" y="0"/>
                          <a:ext cx="381000" cy="115570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C9114" id="Rectangle: Rounded Corners 1" o:spid="_x0000_s1026" style="position:absolute;margin-left:335.2pt;margin-top:80.05pt;width:30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" filled="f" strokecolor="red" strokeweight="1.5pt">
                <v:stroke joinstyle="miter"/>
              </v:roundrect>
            </w:pict>
          </mc:Fallback>
        </mc:AlternateContent>
      </w:r>
      <w:r>
        <w:rPr>
          <w:noProof/>
          <w:lang w:val="en-US" w:eastAsia="zh-CN"/>
        </w:rPr>
        <w:drawing>
          <wp:inline distT="0" distB="0" distL="0" distR="0" wp14:anchorId="2E38AFCF" wp14:editId="22289A55">
            <wp:extent cx="4535345" cy="288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35345" cy="2880000"/>
                    </a:xfrm>
                    <a:prstGeom prst="rect">
                      <a:avLst/>
                    </a:prstGeom>
                    <a:noFill/>
                  </pic:spPr>
                </pic:pic>
              </a:graphicData>
            </a:graphic>
          </wp:inline>
        </w:drawing>
      </w:r>
    </w:p>
    <w:p w14:paraId="2C0B62BC" w14:textId="529D5ACF" w:rsidR="00BD13D9" w:rsidRPr="00E62EEC" w:rsidRDefault="00BD13D9" w:rsidP="00E962DF">
      <w:pPr>
        <w:pStyle w:val="Caption"/>
        <w:rPr>
          <w:i/>
        </w:rPr>
      </w:pPr>
      <w:bookmarkStart w:id="7" w:name="_Ref506900496"/>
      <w:r w:rsidRPr="00E62EEC">
        <w:t xml:space="preserve">Figure </w:t>
      </w:r>
      <w:fldSimple w:instr=" SEQ Figure \* ARABIC ">
        <w:r w:rsidR="00FB3C46">
          <w:rPr>
            <w:noProof/>
          </w:rPr>
          <w:t>3</w:t>
        </w:r>
      </w:fldSimple>
      <w:bookmarkEnd w:id="7"/>
      <w:r w:rsidRPr="00E62EEC">
        <w:t xml:space="preserve"> – S-N </w:t>
      </w:r>
      <w:r w:rsidR="007F411F">
        <w:t>c</w:t>
      </w:r>
      <w:r w:rsidRPr="00E62EEC">
        <w:t>urve</w:t>
      </w:r>
      <w:r>
        <w:t>s</w:t>
      </w:r>
      <w:r w:rsidRPr="00E62EEC">
        <w:t xml:space="preserve"> from </w:t>
      </w:r>
      <w:r>
        <w:t xml:space="preserve">BS 7608 </w:t>
      </w:r>
      <w:r w:rsidR="007F411F">
        <w:t>s</w:t>
      </w:r>
      <w:r>
        <w:t xml:space="preserve">howing </w:t>
      </w:r>
      <w:r w:rsidR="007F411F">
        <w:t>e</w:t>
      </w:r>
      <w:r>
        <w:t xml:space="preserve">ndurance </w:t>
      </w:r>
      <w:r w:rsidR="007F411F">
        <w:t>l</w:t>
      </w:r>
      <w:r>
        <w:t>imit</w:t>
      </w:r>
    </w:p>
    <w:p w14:paraId="4BD7A06F" w14:textId="4221F614" w:rsidR="00BD13D9" w:rsidRDefault="00BD13D9" w:rsidP="00BD13D9">
      <w:pPr>
        <w:pStyle w:val="BodyText"/>
      </w:pPr>
      <w:r w:rsidRPr="00F66F56">
        <w:t xml:space="preserve">The endurance limit is affected by both the environment (temperature, presence of sea water) </w:t>
      </w:r>
      <w:r>
        <w:t>and the existence of any</w:t>
      </w:r>
      <w:r w:rsidRPr="00F66F56">
        <w:t xml:space="preserve"> defects</w:t>
      </w:r>
      <w:r>
        <w:t xml:space="preserve">. In particular, the endurance limit is extremely sensitive to surface </w:t>
      </w:r>
      <w:r w:rsidR="002B1228">
        <w:t>condition, residual</w:t>
      </w:r>
      <w:r>
        <w:t xml:space="preserve"> stresses in welds, and stress concentrations </w:t>
      </w:r>
      <w:sdt>
        <w:sdtPr>
          <w:id w:val="-867066708"/>
          <w:citation/>
        </w:sdtPr>
        <w:sdtEndPr/>
        <w:sdtContent>
          <w:r w:rsidR="00314C49">
            <w:fldChar w:fldCharType="begin"/>
          </w:r>
          <w:r w:rsidR="00B27C7C">
            <w:instrText xml:space="preserve">CITATION Cam08 \l 2057 </w:instrText>
          </w:r>
          <w:r w:rsidR="00314C49">
            <w:fldChar w:fldCharType="separate"/>
          </w:r>
          <w:r w:rsidR="00B27C7C">
            <w:rPr>
              <w:noProof/>
            </w:rPr>
            <w:t>[9]</w:t>
          </w:r>
          <w:r w:rsidR="00314C49">
            <w:fldChar w:fldCharType="end"/>
          </w:r>
        </w:sdtContent>
      </w:sdt>
      <w:r>
        <w:t xml:space="preserve"> such as dents.</w:t>
      </w:r>
    </w:p>
    <w:p w14:paraId="2A32AFDF" w14:textId="3D450838" w:rsidR="00BD13D9" w:rsidRDefault="00BD13D9" w:rsidP="00E962DF">
      <w:pPr>
        <w:pStyle w:val="Heading1"/>
      </w:pPr>
      <w:bookmarkStart w:id="8" w:name="_Toc457916"/>
      <w:r>
        <w:lastRenderedPageBreak/>
        <w:t xml:space="preserve">Endurance </w:t>
      </w:r>
      <w:r w:rsidR="00E962DF">
        <w:t>l</w:t>
      </w:r>
      <w:r>
        <w:t xml:space="preserve">imits for </w:t>
      </w:r>
      <w:r w:rsidR="00E962DF">
        <w:t>p</w:t>
      </w:r>
      <w:r>
        <w:t xml:space="preserve">ipeline </w:t>
      </w:r>
      <w:r w:rsidR="00E962DF">
        <w:t>d</w:t>
      </w:r>
      <w:r>
        <w:t xml:space="preserve">ents </w:t>
      </w:r>
      <w:r w:rsidR="00E962DF">
        <w:t>-</w:t>
      </w:r>
      <w:r>
        <w:t xml:space="preserve"> </w:t>
      </w:r>
      <w:r w:rsidR="00E962DF">
        <w:t>s</w:t>
      </w:r>
      <w:r>
        <w:t xml:space="preserve">tress </w:t>
      </w:r>
      <w:r w:rsidR="00E962DF">
        <w:t>c</w:t>
      </w:r>
      <w:r>
        <w:t>ycle</w:t>
      </w:r>
      <w:bookmarkEnd w:id="8"/>
    </w:p>
    <w:p w14:paraId="7591C6EA" w14:textId="661E950B" w:rsidR="00BD13D9" w:rsidRDefault="00BD13D9" w:rsidP="00BD13D9">
      <w:pPr>
        <w:pStyle w:val="BodyText"/>
      </w:pPr>
      <w:r>
        <w:t>The fatigue life of pipeline dents has been studied extensively, with numerous models having been developed to provide estimates of the number of allowable stress cycles that can be safely experienced, for example, the European Pipeline Research Group (EPRG) model</w:t>
      </w:r>
      <w:sdt>
        <w:sdtPr>
          <w:id w:val="-1425404359"/>
          <w:citation/>
        </w:sdtPr>
        <w:sdtEndPr/>
        <w:sdtContent>
          <w:r w:rsidR="007F616F">
            <w:fldChar w:fldCharType="begin"/>
          </w:r>
          <w:r w:rsidR="00B27C7C">
            <w:instrText xml:space="preserve">CITATION Cor95 \l 2057 </w:instrText>
          </w:r>
          <w:r w:rsidR="007F616F">
            <w:fldChar w:fldCharType="separate"/>
          </w:r>
          <w:r w:rsidR="00B27C7C">
            <w:rPr>
              <w:noProof/>
            </w:rPr>
            <w:t xml:space="preserve"> [10]</w:t>
          </w:r>
          <w:r w:rsidR="007F616F">
            <w:fldChar w:fldCharType="end"/>
          </w:r>
        </w:sdtContent>
      </w:sdt>
      <w:r>
        <w:t>, PRCI</w:t>
      </w:r>
      <w:sdt>
        <w:sdtPr>
          <w:id w:val="-1904132679"/>
          <w:citation/>
        </w:sdtPr>
        <w:sdtEndPr/>
        <w:sdtContent>
          <w:r w:rsidR="00357FD4">
            <w:fldChar w:fldCharType="begin"/>
          </w:r>
          <w:r w:rsidR="00B27C7C">
            <w:instrText xml:space="preserve">CITATION Fow94 \l 2057 </w:instrText>
          </w:r>
          <w:r w:rsidR="00357FD4">
            <w:fldChar w:fldCharType="separate"/>
          </w:r>
          <w:r w:rsidR="00B27C7C">
            <w:rPr>
              <w:noProof/>
            </w:rPr>
            <w:t xml:space="preserve"> [11]</w:t>
          </w:r>
          <w:r w:rsidR="00357FD4">
            <w:fldChar w:fldCharType="end"/>
          </w:r>
        </w:sdtContent>
      </w:sdt>
      <w:r>
        <w:t>, API 1156</w:t>
      </w:r>
      <w:sdt>
        <w:sdtPr>
          <w:id w:val="381529665"/>
          <w:citation/>
        </w:sdtPr>
        <w:sdtEndPr/>
        <w:sdtContent>
          <w:r w:rsidR="003677E5">
            <w:fldChar w:fldCharType="begin"/>
          </w:r>
          <w:r w:rsidR="00B27C7C">
            <w:instrText xml:space="preserve">CITATION Ale97 \l 2057 </w:instrText>
          </w:r>
          <w:r w:rsidR="003677E5">
            <w:fldChar w:fldCharType="separate"/>
          </w:r>
          <w:r w:rsidR="00B27C7C">
            <w:rPr>
              <w:noProof/>
            </w:rPr>
            <w:t xml:space="preserve"> [12]</w:t>
          </w:r>
          <w:r w:rsidR="003677E5">
            <w:fldChar w:fldCharType="end"/>
          </w:r>
        </w:sdtContent>
      </w:sdt>
      <w:r>
        <w:t xml:space="preserve"> and the BS 7608 and SCF method recommended by the UKOPA </w:t>
      </w:r>
      <w:r w:rsidR="005B2DC4">
        <w:t>dent management strategy</w:t>
      </w:r>
      <w:sdt>
        <w:sdtPr>
          <w:id w:val="1456135618"/>
          <w:citation/>
        </w:sdtPr>
        <w:sdtEndPr/>
        <w:sdtContent>
          <w:r w:rsidR="007B2445">
            <w:fldChar w:fldCharType="begin"/>
          </w:r>
          <w:r w:rsidR="00D74B63">
            <w:instrText xml:space="preserve">CITATION UKO16 \l 2057 </w:instrText>
          </w:r>
          <w:r w:rsidR="007B2445">
            <w:fldChar w:fldCharType="separate"/>
          </w:r>
          <w:r w:rsidR="00D74B63">
            <w:rPr>
              <w:noProof/>
            </w:rPr>
            <w:t xml:space="preserve"> [6]</w:t>
          </w:r>
          <w:r w:rsidR="007B2445">
            <w:fldChar w:fldCharType="end"/>
          </w:r>
        </w:sdtContent>
      </w:sdt>
      <w:r>
        <w:t xml:space="preserve">. Little of this </w:t>
      </w:r>
      <w:r w:rsidR="002B1228">
        <w:t>research,</w:t>
      </w:r>
      <w:r>
        <w:t xml:space="preserve"> however, has directly addressed the endurance limit associated with the dents. In this section endurance limits will be derived for dented pipelines indicating the upper bound values of stress cycle magnitude such that no fatigue damage will occur.</w:t>
      </w:r>
    </w:p>
    <w:p w14:paraId="7488F518" w14:textId="17D7835F" w:rsidR="00BD13D9" w:rsidRDefault="00BD13D9" w:rsidP="00BD13D9">
      <w:pPr>
        <w:pStyle w:val="BodyText"/>
      </w:pPr>
      <w:r>
        <w:t xml:space="preserve">The UKOPA </w:t>
      </w:r>
      <w:r w:rsidR="005B2DC4">
        <w:t>dent management strategy</w:t>
      </w:r>
      <w:r>
        <w:t xml:space="preserve"> recommends that the fatigue life of a pipeline dent is determined</w:t>
      </w:r>
      <w:r w:rsidRPr="00F40B49">
        <w:t xml:space="preserve"> </w:t>
      </w:r>
      <w:r>
        <w:t xml:space="preserve">by calculating an appropriate SCF and applying the design S-N curves from BS 7608. The SCF acts as a multiplicative factor to the normal cyclic stress range experienced by the undented pipeline such that the effect of the stress concentration introduced by the dent is taken into account. The SCF allows the design S-N curves, which would normally be applied to undamaged components, to be used to provide an estimation for the fatigue life of a dent. </w:t>
      </w:r>
    </w:p>
    <w:p w14:paraId="452F7DBF" w14:textId="77777777" w:rsidR="00BD13D9" w:rsidRDefault="00BD13D9" w:rsidP="00BD13D9">
      <w:pPr>
        <w:pStyle w:val="BodyText"/>
      </w:pPr>
      <w:r>
        <w:t>Provided the stress concentration associated with the dent is considered, the design S-N curves from BS 7608 can provide a realistic representation of dent fatigue behaviour. It is sensible to assume therefore that the endurance limits indicated in BS 7608 can be used to give a reasonable estimate of the endurance limits of dented pipelines.</w:t>
      </w:r>
    </w:p>
    <w:p w14:paraId="49F7F51B" w14:textId="7E8A3BA4" w:rsidR="00BD13D9" w:rsidRDefault="00BD13D9" w:rsidP="00BD13D9">
      <w:pPr>
        <w:pStyle w:val="BodyText"/>
      </w:pPr>
      <w:r>
        <w:t>The S-N curves from BS 7608 recommended</w:t>
      </w:r>
      <w:r w:rsidRPr="00D976E7">
        <w:t xml:space="preserve"> </w:t>
      </w:r>
      <w:r>
        <w:t xml:space="preserve">by the UKOPA </w:t>
      </w:r>
      <w:r w:rsidR="005B2DC4">
        <w:t>dent management strategy</w:t>
      </w:r>
      <w:r>
        <w:t xml:space="preserve"> for pipeline dent fatigue assessment are given in </w:t>
      </w:r>
      <w:r w:rsidRPr="00D976E7">
        <w:fldChar w:fldCharType="begin"/>
      </w:r>
      <w:r w:rsidRPr="00D976E7">
        <w:instrText xml:space="preserve"> REF _Ref507509809 \h  \* MERGEFORMAT </w:instrText>
      </w:r>
      <w:r w:rsidRPr="00D976E7">
        <w:fldChar w:fldCharType="separate"/>
      </w:r>
      <w:r w:rsidR="00FB3C46" w:rsidRPr="00D976E7">
        <w:t xml:space="preserve">Table </w:t>
      </w:r>
      <w:r w:rsidR="00FB3C46">
        <w:rPr>
          <w:noProof/>
        </w:rPr>
        <w:t>1</w:t>
      </w:r>
      <w:r w:rsidRPr="00D976E7">
        <w:fldChar w:fldCharType="end"/>
      </w:r>
      <w:r>
        <w:t>. The curves are selected depending on whether the dent is located in plain pipe, the seam weld or the girth weld:</w:t>
      </w:r>
    </w:p>
    <w:tbl>
      <w:tblPr>
        <w:tblStyle w:val="TableGrid1"/>
        <w:tblW w:w="0" w:type="auto"/>
        <w:jc w:val="center"/>
        <w:tblLook w:val="04A0" w:firstRow="1" w:lastRow="0" w:firstColumn="1" w:lastColumn="0" w:noHBand="0" w:noVBand="1"/>
      </w:tblPr>
      <w:tblGrid>
        <w:gridCol w:w="1206"/>
        <w:gridCol w:w="750"/>
        <w:gridCol w:w="495"/>
        <w:gridCol w:w="1339"/>
      </w:tblGrid>
      <w:tr w:rsidR="00BD13D9" w:rsidRPr="00D172A2" w14:paraId="2410D920" w14:textId="77777777" w:rsidTr="00D172A2">
        <w:trPr>
          <w:trHeight w:val="340"/>
          <w:jc w:val="center"/>
        </w:trPr>
        <w:tc>
          <w:tcPr>
            <w:tcW w:w="0" w:type="auto"/>
            <w:shd w:val="clear" w:color="auto" w:fill="E5E0DB" w:themeFill="background1" w:themeFillShade="E6"/>
            <w:vAlign w:val="center"/>
          </w:tcPr>
          <w:p w14:paraId="4882FC27" w14:textId="77777777" w:rsidR="00BD13D9" w:rsidRPr="002B1228" w:rsidRDefault="00BD13D9" w:rsidP="00357561">
            <w:pPr>
              <w:jc w:val="center"/>
              <w:rPr>
                <w:b/>
                <w:sz w:val="20"/>
                <w:szCs w:val="20"/>
              </w:rPr>
            </w:pPr>
            <w:r w:rsidRPr="002B1228">
              <w:rPr>
                <w:b/>
                <w:sz w:val="20"/>
                <w:szCs w:val="20"/>
              </w:rPr>
              <w:t>Location</w:t>
            </w:r>
          </w:p>
        </w:tc>
        <w:tc>
          <w:tcPr>
            <w:tcW w:w="0" w:type="auto"/>
            <w:shd w:val="clear" w:color="auto" w:fill="E5E0DB" w:themeFill="background1" w:themeFillShade="E6"/>
            <w:vAlign w:val="center"/>
          </w:tcPr>
          <w:p w14:paraId="64103ADC" w14:textId="77777777" w:rsidR="00BD13D9" w:rsidRPr="002B1228" w:rsidRDefault="00BD13D9" w:rsidP="00357561">
            <w:pPr>
              <w:jc w:val="center"/>
              <w:rPr>
                <w:b/>
                <w:sz w:val="20"/>
                <w:szCs w:val="20"/>
              </w:rPr>
            </w:pPr>
            <w:r w:rsidRPr="002B1228">
              <w:rPr>
                <w:b/>
                <w:sz w:val="20"/>
                <w:szCs w:val="20"/>
              </w:rPr>
              <w:t>Class</w:t>
            </w:r>
          </w:p>
        </w:tc>
        <w:tc>
          <w:tcPr>
            <w:tcW w:w="0" w:type="auto"/>
            <w:shd w:val="clear" w:color="auto" w:fill="E5E0DB" w:themeFill="background1" w:themeFillShade="E6"/>
            <w:vAlign w:val="center"/>
          </w:tcPr>
          <w:p w14:paraId="5DAEE9D4" w14:textId="77777777" w:rsidR="00BD13D9" w:rsidRPr="002B1228" w:rsidRDefault="00BD13D9" w:rsidP="00357561">
            <w:pPr>
              <w:jc w:val="center"/>
              <w:rPr>
                <w:b/>
                <w:sz w:val="20"/>
                <w:szCs w:val="20"/>
              </w:rPr>
            </w:pPr>
            <w:r w:rsidRPr="002B1228">
              <w:rPr>
                <w:b/>
                <w:sz w:val="20"/>
                <w:szCs w:val="20"/>
              </w:rPr>
              <w:t>m</w:t>
            </w:r>
          </w:p>
        </w:tc>
        <w:tc>
          <w:tcPr>
            <w:tcW w:w="0" w:type="auto"/>
            <w:shd w:val="clear" w:color="auto" w:fill="E5E0DB" w:themeFill="background1" w:themeFillShade="E6"/>
            <w:vAlign w:val="center"/>
          </w:tcPr>
          <w:p w14:paraId="1A4D570A" w14:textId="77777777" w:rsidR="00BD13D9" w:rsidRPr="002B1228" w:rsidRDefault="00BD13D9" w:rsidP="00357561">
            <w:pPr>
              <w:jc w:val="center"/>
              <w:rPr>
                <w:b/>
                <w:sz w:val="20"/>
                <w:szCs w:val="20"/>
              </w:rPr>
            </w:pPr>
            <w:r w:rsidRPr="002B1228">
              <w:rPr>
                <w:b/>
                <w:sz w:val="20"/>
                <w:szCs w:val="20"/>
              </w:rPr>
              <w:t>Constant, C</w:t>
            </w:r>
          </w:p>
        </w:tc>
      </w:tr>
      <w:tr w:rsidR="00BD13D9" w:rsidRPr="00D172A2" w14:paraId="5E07C02C" w14:textId="77777777" w:rsidTr="00D172A2">
        <w:trPr>
          <w:trHeight w:val="340"/>
          <w:jc w:val="center"/>
        </w:trPr>
        <w:tc>
          <w:tcPr>
            <w:tcW w:w="0" w:type="auto"/>
            <w:vAlign w:val="center"/>
          </w:tcPr>
          <w:p w14:paraId="356666D5" w14:textId="77777777" w:rsidR="00BD13D9" w:rsidRPr="00D172A2" w:rsidRDefault="00BD13D9" w:rsidP="00D172A2">
            <w:pPr>
              <w:rPr>
                <w:sz w:val="20"/>
                <w:szCs w:val="20"/>
              </w:rPr>
            </w:pPr>
            <w:r w:rsidRPr="00D172A2">
              <w:rPr>
                <w:sz w:val="20"/>
                <w:szCs w:val="20"/>
              </w:rPr>
              <w:t>Plain pipe</w:t>
            </w:r>
          </w:p>
        </w:tc>
        <w:tc>
          <w:tcPr>
            <w:tcW w:w="0" w:type="auto"/>
            <w:vAlign w:val="center"/>
          </w:tcPr>
          <w:p w14:paraId="3483DAC9" w14:textId="77777777" w:rsidR="00BD13D9" w:rsidRPr="00D172A2" w:rsidRDefault="00BD13D9" w:rsidP="00D172A2">
            <w:pPr>
              <w:jc w:val="center"/>
              <w:rPr>
                <w:sz w:val="20"/>
                <w:szCs w:val="20"/>
              </w:rPr>
            </w:pPr>
            <w:r w:rsidRPr="00D172A2">
              <w:rPr>
                <w:sz w:val="20"/>
                <w:szCs w:val="20"/>
              </w:rPr>
              <w:t>B</w:t>
            </w:r>
          </w:p>
        </w:tc>
        <w:tc>
          <w:tcPr>
            <w:tcW w:w="0" w:type="auto"/>
            <w:vAlign w:val="center"/>
          </w:tcPr>
          <w:p w14:paraId="416D2FF4" w14:textId="77777777" w:rsidR="00BD13D9" w:rsidRPr="00D172A2" w:rsidRDefault="00BD13D9" w:rsidP="00D172A2">
            <w:pPr>
              <w:jc w:val="center"/>
              <w:rPr>
                <w:sz w:val="20"/>
                <w:szCs w:val="20"/>
              </w:rPr>
            </w:pPr>
            <w:r w:rsidRPr="00D172A2">
              <w:rPr>
                <w:sz w:val="20"/>
                <w:szCs w:val="20"/>
              </w:rPr>
              <w:t>4.0</w:t>
            </w:r>
          </w:p>
        </w:tc>
        <w:tc>
          <w:tcPr>
            <w:tcW w:w="0" w:type="auto"/>
            <w:vAlign w:val="center"/>
          </w:tcPr>
          <w:p w14:paraId="14D582CD" w14:textId="77777777" w:rsidR="00BD13D9" w:rsidRPr="00D172A2" w:rsidRDefault="00BD13D9" w:rsidP="00D172A2">
            <w:pPr>
              <w:jc w:val="center"/>
              <w:rPr>
                <w:sz w:val="20"/>
                <w:szCs w:val="20"/>
              </w:rPr>
            </w:pPr>
            <w:r w:rsidRPr="00D172A2">
              <w:rPr>
                <w:sz w:val="20"/>
                <w:szCs w:val="20"/>
              </w:rPr>
              <w:t>1.01x1015</w:t>
            </w:r>
          </w:p>
        </w:tc>
      </w:tr>
      <w:tr w:rsidR="00BD13D9" w:rsidRPr="00D172A2" w14:paraId="0248843A" w14:textId="77777777" w:rsidTr="00D172A2">
        <w:trPr>
          <w:trHeight w:val="340"/>
          <w:jc w:val="center"/>
        </w:trPr>
        <w:tc>
          <w:tcPr>
            <w:tcW w:w="0" w:type="auto"/>
            <w:vAlign w:val="center"/>
          </w:tcPr>
          <w:p w14:paraId="6A643FAF" w14:textId="77777777" w:rsidR="00BD13D9" w:rsidRPr="00D172A2" w:rsidRDefault="00BD13D9" w:rsidP="00D172A2">
            <w:pPr>
              <w:rPr>
                <w:sz w:val="20"/>
                <w:szCs w:val="20"/>
              </w:rPr>
            </w:pPr>
            <w:r w:rsidRPr="00D172A2">
              <w:rPr>
                <w:sz w:val="20"/>
                <w:szCs w:val="20"/>
              </w:rPr>
              <w:t>Seam weld</w:t>
            </w:r>
          </w:p>
        </w:tc>
        <w:tc>
          <w:tcPr>
            <w:tcW w:w="0" w:type="auto"/>
            <w:vAlign w:val="center"/>
          </w:tcPr>
          <w:p w14:paraId="22EC0567" w14:textId="77777777" w:rsidR="00BD13D9" w:rsidRPr="00D172A2" w:rsidRDefault="00BD13D9" w:rsidP="00D172A2">
            <w:pPr>
              <w:jc w:val="center"/>
              <w:rPr>
                <w:sz w:val="20"/>
                <w:szCs w:val="20"/>
              </w:rPr>
            </w:pPr>
            <w:r w:rsidRPr="00D172A2">
              <w:rPr>
                <w:sz w:val="20"/>
                <w:szCs w:val="20"/>
              </w:rPr>
              <w:t>E</w:t>
            </w:r>
          </w:p>
        </w:tc>
        <w:tc>
          <w:tcPr>
            <w:tcW w:w="0" w:type="auto"/>
            <w:vAlign w:val="center"/>
          </w:tcPr>
          <w:p w14:paraId="5397F850" w14:textId="77777777" w:rsidR="00BD13D9" w:rsidRPr="00D172A2" w:rsidRDefault="00BD13D9" w:rsidP="00D172A2">
            <w:pPr>
              <w:jc w:val="center"/>
              <w:rPr>
                <w:sz w:val="20"/>
                <w:szCs w:val="20"/>
              </w:rPr>
            </w:pPr>
            <w:r w:rsidRPr="00D172A2">
              <w:rPr>
                <w:sz w:val="20"/>
                <w:szCs w:val="20"/>
              </w:rPr>
              <w:t>3.0</w:t>
            </w:r>
          </w:p>
        </w:tc>
        <w:tc>
          <w:tcPr>
            <w:tcW w:w="0" w:type="auto"/>
            <w:vAlign w:val="center"/>
          </w:tcPr>
          <w:p w14:paraId="081E023D" w14:textId="77777777" w:rsidR="00BD13D9" w:rsidRPr="00D172A2" w:rsidRDefault="00BD13D9" w:rsidP="00D172A2">
            <w:pPr>
              <w:jc w:val="center"/>
              <w:rPr>
                <w:sz w:val="20"/>
                <w:szCs w:val="20"/>
              </w:rPr>
            </w:pPr>
            <w:r w:rsidRPr="00D172A2">
              <w:rPr>
                <w:sz w:val="20"/>
                <w:szCs w:val="20"/>
              </w:rPr>
              <w:t>1.04 x 1012</w:t>
            </w:r>
          </w:p>
        </w:tc>
      </w:tr>
      <w:tr w:rsidR="00BD13D9" w:rsidRPr="00D172A2" w14:paraId="4438B12A" w14:textId="77777777" w:rsidTr="00D172A2">
        <w:trPr>
          <w:trHeight w:val="340"/>
          <w:jc w:val="center"/>
        </w:trPr>
        <w:tc>
          <w:tcPr>
            <w:tcW w:w="0" w:type="auto"/>
            <w:vAlign w:val="center"/>
          </w:tcPr>
          <w:p w14:paraId="3305630A" w14:textId="77777777" w:rsidR="00BD13D9" w:rsidRPr="00D172A2" w:rsidRDefault="00BD13D9" w:rsidP="00D172A2">
            <w:pPr>
              <w:rPr>
                <w:sz w:val="20"/>
                <w:szCs w:val="20"/>
              </w:rPr>
            </w:pPr>
            <w:r w:rsidRPr="00D172A2">
              <w:rPr>
                <w:sz w:val="20"/>
                <w:szCs w:val="20"/>
              </w:rPr>
              <w:t>Girth weld</w:t>
            </w:r>
          </w:p>
        </w:tc>
        <w:tc>
          <w:tcPr>
            <w:tcW w:w="0" w:type="auto"/>
            <w:vAlign w:val="center"/>
          </w:tcPr>
          <w:p w14:paraId="70B5326D" w14:textId="77777777" w:rsidR="00BD13D9" w:rsidRPr="00D172A2" w:rsidRDefault="00BD13D9" w:rsidP="00D172A2">
            <w:pPr>
              <w:jc w:val="center"/>
              <w:rPr>
                <w:sz w:val="20"/>
                <w:szCs w:val="20"/>
              </w:rPr>
            </w:pPr>
            <w:r w:rsidRPr="00D172A2">
              <w:rPr>
                <w:sz w:val="20"/>
                <w:szCs w:val="20"/>
              </w:rPr>
              <w:t>F</w:t>
            </w:r>
          </w:p>
        </w:tc>
        <w:tc>
          <w:tcPr>
            <w:tcW w:w="0" w:type="auto"/>
            <w:vAlign w:val="center"/>
          </w:tcPr>
          <w:p w14:paraId="725C6E7D" w14:textId="77777777" w:rsidR="00BD13D9" w:rsidRPr="00D172A2" w:rsidRDefault="00BD13D9" w:rsidP="00D172A2">
            <w:pPr>
              <w:jc w:val="center"/>
              <w:rPr>
                <w:sz w:val="20"/>
                <w:szCs w:val="20"/>
              </w:rPr>
            </w:pPr>
            <w:r w:rsidRPr="00D172A2">
              <w:rPr>
                <w:sz w:val="20"/>
                <w:szCs w:val="20"/>
              </w:rPr>
              <w:t>3.0</w:t>
            </w:r>
          </w:p>
        </w:tc>
        <w:tc>
          <w:tcPr>
            <w:tcW w:w="0" w:type="auto"/>
            <w:vAlign w:val="center"/>
          </w:tcPr>
          <w:p w14:paraId="5F07AB04" w14:textId="77777777" w:rsidR="00BD13D9" w:rsidRPr="00D172A2" w:rsidRDefault="00BD13D9" w:rsidP="00D172A2">
            <w:pPr>
              <w:jc w:val="center"/>
              <w:rPr>
                <w:sz w:val="20"/>
                <w:szCs w:val="20"/>
              </w:rPr>
            </w:pPr>
            <w:r w:rsidRPr="00D172A2">
              <w:rPr>
                <w:sz w:val="20"/>
                <w:szCs w:val="20"/>
              </w:rPr>
              <w:t>6.33 x 1011</w:t>
            </w:r>
          </w:p>
        </w:tc>
      </w:tr>
    </w:tbl>
    <w:p w14:paraId="4DF163A3" w14:textId="764FDAD4" w:rsidR="00BD13D9" w:rsidRPr="00D976E7" w:rsidRDefault="00BD13D9" w:rsidP="00E962DF">
      <w:pPr>
        <w:pStyle w:val="Caption"/>
        <w:rPr>
          <w:i/>
        </w:rPr>
      </w:pPr>
      <w:bookmarkStart w:id="9" w:name="_Ref507509809"/>
      <w:r w:rsidRPr="00D976E7">
        <w:t xml:space="preserve">Table </w:t>
      </w:r>
      <w:fldSimple w:instr=" SEQ Table \* ARABIC ">
        <w:r w:rsidR="00FB3C46">
          <w:rPr>
            <w:noProof/>
          </w:rPr>
          <w:t>1</w:t>
        </w:r>
      </w:fldSimple>
      <w:bookmarkEnd w:id="9"/>
      <w:r>
        <w:t xml:space="preserve"> – </w:t>
      </w:r>
      <w:r w:rsidRPr="00D976E7">
        <w:t xml:space="preserve">S-N </w:t>
      </w:r>
      <w:r w:rsidR="007F411F">
        <w:t>c</w:t>
      </w:r>
      <w:r w:rsidRPr="00D976E7">
        <w:t xml:space="preserve">urves for </w:t>
      </w:r>
      <w:r w:rsidR="007F411F">
        <w:t>a</w:t>
      </w:r>
      <w:r w:rsidRPr="00D976E7">
        <w:t xml:space="preserve">pplication to </w:t>
      </w:r>
      <w:r w:rsidR="007F411F">
        <w:t>p</w:t>
      </w:r>
      <w:r w:rsidRPr="00D976E7">
        <w:t xml:space="preserve">ipeline </w:t>
      </w:r>
      <w:r w:rsidR="007F411F">
        <w:t>d</w:t>
      </w:r>
      <w:r w:rsidRPr="00D976E7">
        <w:t>ents</w:t>
      </w:r>
    </w:p>
    <w:p w14:paraId="408833B7" w14:textId="77777777" w:rsidR="00BD13D9" w:rsidRDefault="00BD13D9" w:rsidP="00BD13D9">
      <w:pPr>
        <w:pStyle w:val="BodyText"/>
      </w:pPr>
      <w:r>
        <w:t>BS 7608 defines the endurance limit as the stress range corresponding to 10</w:t>
      </w:r>
      <w:r w:rsidRPr="000C6104">
        <w:rPr>
          <w:vertAlign w:val="superscript"/>
        </w:rPr>
        <w:t>7</w:t>
      </w:r>
      <w:r>
        <w:t xml:space="preserve"> cycles. The form of the S-N curves is:</w:t>
      </w:r>
    </w:p>
    <w:p w14:paraId="4434C29B" w14:textId="77777777" w:rsidR="00BD13D9" w:rsidRPr="000C6104" w:rsidRDefault="00BD13D9" w:rsidP="002B1228">
      <w:pPr>
        <w:pStyle w:val="BodyText"/>
        <w:jc w:val="center"/>
      </w:pPr>
      <m:oMath>
        <m:r>
          <w:rPr>
            <w:rFonts w:ascii="Cambria Math" w:hAnsi="Cambria Math"/>
          </w:rPr>
          <m:t>C=</m:t>
        </m:r>
        <m:sSup>
          <m:sSupPr>
            <m:ctrlPr>
              <w:rPr>
                <w:rFonts w:ascii="Cambria Math" w:hAnsi="Cambria Math"/>
                <w:i/>
              </w:rPr>
            </m:ctrlPr>
          </m:sSupPr>
          <m:e>
            <m:r>
              <w:rPr>
                <w:rFonts w:ascii="Cambria Math" w:hAnsi="Cambria Math"/>
              </w:rPr>
              <m:t>(∆σ)</m:t>
            </m:r>
          </m:e>
          <m:sup>
            <m:r>
              <w:rPr>
                <w:rFonts w:ascii="Cambria Math" w:hAnsi="Cambria Math"/>
              </w:rPr>
              <m:t>m</m:t>
            </m:r>
          </m:sup>
        </m:sSup>
        <m:r>
          <w:rPr>
            <w:rFonts w:ascii="Cambria Math" w:hAnsi="Cambria Math"/>
          </w:rPr>
          <m:t>.N</m:t>
        </m:r>
      </m:oMath>
      <w:r>
        <w:rPr>
          <w:rFonts w:eastAsiaTheme="minorEastAsia"/>
        </w:rPr>
        <w:tab/>
        <w:t>(3)</w:t>
      </w:r>
    </w:p>
    <w:p w14:paraId="371A86F5" w14:textId="77777777" w:rsidR="00BD13D9" w:rsidRDefault="00BD13D9" w:rsidP="00BD13D9">
      <w:pPr>
        <w:pStyle w:val="BodyText"/>
      </w:pPr>
      <w:r>
        <w:t>and rearranging (3) gives the stress range in terms of the allowable number of cycles:</w:t>
      </w:r>
    </w:p>
    <w:p w14:paraId="0FB825E5" w14:textId="77777777" w:rsidR="00BD13D9" w:rsidRDefault="00BD13D9" w:rsidP="002B1228">
      <w:pPr>
        <w:pStyle w:val="BodyText"/>
        <w:jc w:val="center"/>
      </w:pPr>
      <m:oMath>
        <m:r>
          <w:rPr>
            <w:rFonts w:ascii="Cambria Math" w:hAnsi="Cambria Math"/>
          </w:rPr>
          <m:t>∆σ=</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C</m:t>
                    </m:r>
                  </m:num>
                  <m:den>
                    <m:r>
                      <w:rPr>
                        <w:rFonts w:ascii="Cambria Math" w:hAnsi="Cambria Math"/>
                      </w:rPr>
                      <m:t>N</m:t>
                    </m:r>
                  </m:den>
                </m:f>
              </m:e>
            </m:d>
          </m:e>
          <m:sup>
            <m:f>
              <m:fPr>
                <m:ctrlPr>
                  <w:rPr>
                    <w:rFonts w:ascii="Cambria Math" w:hAnsi="Cambria Math"/>
                    <w:i/>
                  </w:rPr>
                </m:ctrlPr>
              </m:fPr>
              <m:num>
                <m:r>
                  <w:rPr>
                    <w:rFonts w:ascii="Cambria Math" w:hAnsi="Cambria Math"/>
                  </w:rPr>
                  <m:t>1</m:t>
                </m:r>
              </m:num>
              <m:den>
                <m:r>
                  <w:rPr>
                    <w:rFonts w:ascii="Cambria Math" w:hAnsi="Cambria Math"/>
                  </w:rPr>
                  <m:t>m</m:t>
                </m:r>
              </m:den>
            </m:f>
          </m:sup>
        </m:sSup>
      </m:oMath>
      <w:r>
        <w:rPr>
          <w:rFonts w:eastAsiaTheme="minorEastAsia"/>
        </w:rPr>
        <w:tab/>
        <w:t>(4)</w:t>
      </w:r>
    </w:p>
    <w:p w14:paraId="26928135" w14:textId="76DCAD85" w:rsidR="00BD13D9" w:rsidRDefault="00BD13D9" w:rsidP="00BD13D9">
      <w:pPr>
        <w:pStyle w:val="BodyText"/>
      </w:pPr>
      <w:r>
        <w:t xml:space="preserve">Therefore, by substituting each of the values from </w:t>
      </w:r>
      <w:r w:rsidRPr="00DA3181">
        <w:fldChar w:fldCharType="begin"/>
      </w:r>
      <w:r w:rsidRPr="00DA3181">
        <w:instrText xml:space="preserve"> REF _Ref507509809 \h  \* MERGEFORMAT </w:instrText>
      </w:r>
      <w:r w:rsidRPr="00DA3181">
        <w:fldChar w:fldCharType="separate"/>
      </w:r>
      <w:r w:rsidR="00FB3C46" w:rsidRPr="00D976E7">
        <w:t xml:space="preserve">Table </w:t>
      </w:r>
      <w:r w:rsidR="00FB3C46">
        <w:rPr>
          <w:noProof/>
        </w:rPr>
        <w:t>1</w:t>
      </w:r>
      <w:r w:rsidRPr="00DA3181">
        <w:fldChar w:fldCharType="end"/>
      </w:r>
      <w:r>
        <w:t xml:space="preserve"> into equation (4) and setting N to 10</w:t>
      </w:r>
      <w:r>
        <w:rPr>
          <w:vertAlign w:val="superscript"/>
        </w:rPr>
        <w:t>7</w:t>
      </w:r>
      <w:r>
        <w:t xml:space="preserve">, the endurance limits for the BS 7608 S-N curves can be derived. The endurance limits for the class B, E and F design curves are shown in </w:t>
      </w:r>
      <w:r w:rsidRPr="00A15CFD">
        <w:rPr>
          <w:highlight w:val="yellow"/>
        </w:rPr>
        <w:fldChar w:fldCharType="begin"/>
      </w:r>
      <w:r w:rsidRPr="00A15CFD">
        <w:instrText xml:space="preserve"> REF _Ref507579965 \h </w:instrText>
      </w:r>
      <w:r w:rsidRPr="00A15CFD">
        <w:rPr>
          <w:highlight w:val="yellow"/>
        </w:rPr>
        <w:instrText xml:space="preserve"> \* MERGEFORMAT </w:instrText>
      </w:r>
      <w:r w:rsidRPr="00A15CFD">
        <w:rPr>
          <w:highlight w:val="yellow"/>
        </w:rPr>
      </w:r>
      <w:r w:rsidRPr="00A15CFD">
        <w:rPr>
          <w:highlight w:val="yellow"/>
        </w:rPr>
        <w:fldChar w:fldCharType="separate"/>
      </w:r>
      <w:r w:rsidR="00FB3C46" w:rsidRPr="00D976E7">
        <w:t xml:space="preserve">Table </w:t>
      </w:r>
      <w:r w:rsidR="00FB3C46">
        <w:rPr>
          <w:noProof/>
        </w:rPr>
        <w:t>2</w:t>
      </w:r>
      <w:r w:rsidRPr="00A15CFD">
        <w:rPr>
          <w:highlight w:val="yellow"/>
        </w:rPr>
        <w:fldChar w:fldCharType="end"/>
      </w:r>
      <w:r w:rsidRPr="00A15CFD">
        <w:t>:</w:t>
      </w:r>
    </w:p>
    <w:p w14:paraId="2AD31024" w14:textId="033AFE34" w:rsidR="002B1228" w:rsidRDefault="002B1228">
      <w:pPr>
        <w:suppressAutoHyphens w:val="0"/>
        <w:rPr>
          <w:highlight w:val="yellow"/>
        </w:rPr>
      </w:pPr>
      <w:r>
        <w:rPr>
          <w:highlight w:val="yellow"/>
        </w:rPr>
        <w:br w:type="page"/>
      </w:r>
    </w:p>
    <w:tbl>
      <w:tblPr>
        <w:tblStyle w:val="TableGrid1"/>
        <w:tblW w:w="0" w:type="auto"/>
        <w:jc w:val="center"/>
        <w:tblLook w:val="04A0" w:firstRow="1" w:lastRow="0" w:firstColumn="1" w:lastColumn="0" w:noHBand="0" w:noVBand="1"/>
      </w:tblPr>
      <w:tblGrid>
        <w:gridCol w:w="1206"/>
        <w:gridCol w:w="750"/>
        <w:gridCol w:w="2521"/>
      </w:tblGrid>
      <w:tr w:rsidR="00BD13D9" w:rsidRPr="00D172A2" w14:paraId="1ADFBB22" w14:textId="77777777" w:rsidTr="00D172A2">
        <w:trPr>
          <w:trHeight w:val="340"/>
          <w:jc w:val="center"/>
        </w:trPr>
        <w:tc>
          <w:tcPr>
            <w:tcW w:w="0" w:type="auto"/>
            <w:shd w:val="clear" w:color="auto" w:fill="E5E0DB" w:themeFill="background1" w:themeFillShade="E6"/>
            <w:vAlign w:val="center"/>
          </w:tcPr>
          <w:p w14:paraId="5D739EE0" w14:textId="77777777" w:rsidR="00BD13D9" w:rsidRPr="002B1228" w:rsidRDefault="00BD13D9" w:rsidP="00357561">
            <w:pPr>
              <w:jc w:val="center"/>
              <w:rPr>
                <w:b/>
                <w:sz w:val="20"/>
                <w:szCs w:val="20"/>
              </w:rPr>
            </w:pPr>
            <w:r w:rsidRPr="002B1228">
              <w:rPr>
                <w:b/>
                <w:sz w:val="20"/>
                <w:szCs w:val="20"/>
              </w:rPr>
              <w:lastRenderedPageBreak/>
              <w:t>Location</w:t>
            </w:r>
          </w:p>
        </w:tc>
        <w:tc>
          <w:tcPr>
            <w:tcW w:w="0" w:type="auto"/>
            <w:shd w:val="clear" w:color="auto" w:fill="E5E0DB" w:themeFill="background1" w:themeFillShade="E6"/>
            <w:vAlign w:val="center"/>
          </w:tcPr>
          <w:p w14:paraId="37A2E24C" w14:textId="77777777" w:rsidR="00BD13D9" w:rsidRPr="002B1228" w:rsidRDefault="00BD13D9" w:rsidP="00357561">
            <w:pPr>
              <w:jc w:val="center"/>
              <w:rPr>
                <w:b/>
                <w:sz w:val="20"/>
                <w:szCs w:val="20"/>
              </w:rPr>
            </w:pPr>
            <w:r w:rsidRPr="002B1228">
              <w:rPr>
                <w:b/>
                <w:sz w:val="20"/>
                <w:szCs w:val="20"/>
              </w:rPr>
              <w:t>Class</w:t>
            </w:r>
          </w:p>
        </w:tc>
        <w:tc>
          <w:tcPr>
            <w:tcW w:w="0" w:type="auto"/>
            <w:shd w:val="clear" w:color="auto" w:fill="E5E0DB" w:themeFill="background1" w:themeFillShade="E6"/>
            <w:vAlign w:val="center"/>
          </w:tcPr>
          <w:p w14:paraId="7ED05F2A" w14:textId="555AFFAB" w:rsidR="00BD13D9" w:rsidRPr="002B1228" w:rsidRDefault="00BD13D9" w:rsidP="00357561">
            <w:pPr>
              <w:jc w:val="center"/>
              <w:rPr>
                <w:b/>
                <w:sz w:val="20"/>
                <w:szCs w:val="20"/>
              </w:rPr>
            </w:pPr>
            <w:r w:rsidRPr="002B1228">
              <w:rPr>
                <w:b/>
                <w:sz w:val="20"/>
                <w:szCs w:val="20"/>
              </w:rPr>
              <w:t xml:space="preserve">Endurance </w:t>
            </w:r>
            <w:r w:rsidR="007F411F">
              <w:rPr>
                <w:b/>
                <w:sz w:val="20"/>
                <w:szCs w:val="20"/>
              </w:rPr>
              <w:t>l</w:t>
            </w:r>
            <w:r w:rsidRPr="002B1228">
              <w:rPr>
                <w:b/>
                <w:sz w:val="20"/>
                <w:szCs w:val="20"/>
              </w:rPr>
              <w:t>imit (Nmm</w:t>
            </w:r>
            <w:r w:rsidRPr="00A44974">
              <w:rPr>
                <w:b/>
                <w:sz w:val="20"/>
                <w:szCs w:val="20"/>
                <w:vertAlign w:val="superscript"/>
              </w:rPr>
              <w:t>-2</w:t>
            </w:r>
            <w:r w:rsidRPr="002B1228">
              <w:rPr>
                <w:b/>
                <w:sz w:val="20"/>
                <w:szCs w:val="20"/>
              </w:rPr>
              <w:t>)</w:t>
            </w:r>
          </w:p>
        </w:tc>
      </w:tr>
      <w:tr w:rsidR="00BD13D9" w:rsidRPr="00D172A2" w14:paraId="0C109A0A" w14:textId="77777777" w:rsidTr="00D172A2">
        <w:trPr>
          <w:trHeight w:val="340"/>
          <w:jc w:val="center"/>
        </w:trPr>
        <w:tc>
          <w:tcPr>
            <w:tcW w:w="0" w:type="auto"/>
            <w:vAlign w:val="center"/>
          </w:tcPr>
          <w:p w14:paraId="141AB7FC" w14:textId="77777777" w:rsidR="00BD13D9" w:rsidRPr="00D172A2" w:rsidRDefault="00BD13D9" w:rsidP="00D172A2">
            <w:pPr>
              <w:rPr>
                <w:sz w:val="20"/>
                <w:szCs w:val="20"/>
              </w:rPr>
            </w:pPr>
            <w:r w:rsidRPr="00D172A2">
              <w:rPr>
                <w:sz w:val="20"/>
                <w:szCs w:val="20"/>
              </w:rPr>
              <w:t>Plain pipe</w:t>
            </w:r>
          </w:p>
        </w:tc>
        <w:tc>
          <w:tcPr>
            <w:tcW w:w="0" w:type="auto"/>
            <w:vAlign w:val="center"/>
          </w:tcPr>
          <w:p w14:paraId="6010ED9A" w14:textId="77777777" w:rsidR="00BD13D9" w:rsidRPr="00D172A2" w:rsidRDefault="00BD13D9" w:rsidP="00D172A2">
            <w:pPr>
              <w:jc w:val="center"/>
              <w:rPr>
                <w:sz w:val="20"/>
                <w:szCs w:val="20"/>
              </w:rPr>
            </w:pPr>
            <w:r w:rsidRPr="00D172A2">
              <w:rPr>
                <w:sz w:val="20"/>
                <w:szCs w:val="20"/>
              </w:rPr>
              <w:t>B</w:t>
            </w:r>
          </w:p>
        </w:tc>
        <w:tc>
          <w:tcPr>
            <w:tcW w:w="0" w:type="auto"/>
            <w:vAlign w:val="center"/>
          </w:tcPr>
          <w:p w14:paraId="0478097C" w14:textId="77777777" w:rsidR="00BD13D9" w:rsidRPr="00D172A2" w:rsidRDefault="00BD13D9" w:rsidP="00D172A2">
            <w:pPr>
              <w:jc w:val="center"/>
              <w:rPr>
                <w:sz w:val="20"/>
                <w:szCs w:val="20"/>
              </w:rPr>
            </w:pPr>
            <w:r w:rsidRPr="00D172A2">
              <w:rPr>
                <w:sz w:val="20"/>
                <w:szCs w:val="20"/>
              </w:rPr>
              <w:t>100</w:t>
            </w:r>
          </w:p>
        </w:tc>
      </w:tr>
      <w:tr w:rsidR="00BD13D9" w:rsidRPr="00D172A2" w14:paraId="797541B7" w14:textId="77777777" w:rsidTr="00D172A2">
        <w:trPr>
          <w:trHeight w:val="340"/>
          <w:jc w:val="center"/>
        </w:trPr>
        <w:tc>
          <w:tcPr>
            <w:tcW w:w="0" w:type="auto"/>
            <w:vAlign w:val="center"/>
          </w:tcPr>
          <w:p w14:paraId="73F229C0" w14:textId="77777777" w:rsidR="00BD13D9" w:rsidRPr="00D172A2" w:rsidRDefault="00BD13D9" w:rsidP="00D172A2">
            <w:pPr>
              <w:rPr>
                <w:sz w:val="20"/>
                <w:szCs w:val="20"/>
              </w:rPr>
            </w:pPr>
            <w:r w:rsidRPr="00D172A2">
              <w:rPr>
                <w:sz w:val="20"/>
                <w:szCs w:val="20"/>
              </w:rPr>
              <w:t>Seam weld</w:t>
            </w:r>
          </w:p>
        </w:tc>
        <w:tc>
          <w:tcPr>
            <w:tcW w:w="0" w:type="auto"/>
            <w:vAlign w:val="center"/>
          </w:tcPr>
          <w:p w14:paraId="2C38ACD4" w14:textId="77777777" w:rsidR="00BD13D9" w:rsidRPr="00D172A2" w:rsidRDefault="00BD13D9" w:rsidP="00D172A2">
            <w:pPr>
              <w:jc w:val="center"/>
              <w:rPr>
                <w:sz w:val="20"/>
                <w:szCs w:val="20"/>
              </w:rPr>
            </w:pPr>
            <w:r w:rsidRPr="00D172A2">
              <w:rPr>
                <w:sz w:val="20"/>
                <w:szCs w:val="20"/>
              </w:rPr>
              <w:t>E</w:t>
            </w:r>
          </w:p>
        </w:tc>
        <w:tc>
          <w:tcPr>
            <w:tcW w:w="0" w:type="auto"/>
            <w:vAlign w:val="center"/>
          </w:tcPr>
          <w:p w14:paraId="154B0115" w14:textId="77777777" w:rsidR="00BD13D9" w:rsidRPr="00D172A2" w:rsidRDefault="00BD13D9" w:rsidP="00D172A2">
            <w:pPr>
              <w:jc w:val="center"/>
              <w:rPr>
                <w:sz w:val="20"/>
                <w:szCs w:val="20"/>
              </w:rPr>
            </w:pPr>
            <w:r w:rsidRPr="00D172A2">
              <w:rPr>
                <w:sz w:val="20"/>
                <w:szCs w:val="20"/>
              </w:rPr>
              <w:t>47</w:t>
            </w:r>
          </w:p>
        </w:tc>
      </w:tr>
      <w:tr w:rsidR="00BD13D9" w:rsidRPr="00D172A2" w14:paraId="3C5327D4" w14:textId="77777777" w:rsidTr="00D172A2">
        <w:trPr>
          <w:trHeight w:val="340"/>
          <w:jc w:val="center"/>
        </w:trPr>
        <w:tc>
          <w:tcPr>
            <w:tcW w:w="0" w:type="auto"/>
            <w:vAlign w:val="center"/>
          </w:tcPr>
          <w:p w14:paraId="22670770" w14:textId="77777777" w:rsidR="00BD13D9" w:rsidRPr="00D172A2" w:rsidRDefault="00BD13D9" w:rsidP="00D172A2">
            <w:pPr>
              <w:rPr>
                <w:sz w:val="20"/>
                <w:szCs w:val="20"/>
              </w:rPr>
            </w:pPr>
            <w:r w:rsidRPr="00D172A2">
              <w:rPr>
                <w:sz w:val="20"/>
                <w:szCs w:val="20"/>
              </w:rPr>
              <w:t>Girth weld</w:t>
            </w:r>
          </w:p>
        </w:tc>
        <w:tc>
          <w:tcPr>
            <w:tcW w:w="0" w:type="auto"/>
            <w:vAlign w:val="center"/>
          </w:tcPr>
          <w:p w14:paraId="65951433" w14:textId="77777777" w:rsidR="00BD13D9" w:rsidRPr="00D172A2" w:rsidRDefault="00BD13D9" w:rsidP="00D172A2">
            <w:pPr>
              <w:jc w:val="center"/>
              <w:rPr>
                <w:sz w:val="20"/>
                <w:szCs w:val="20"/>
              </w:rPr>
            </w:pPr>
            <w:r w:rsidRPr="00D172A2">
              <w:rPr>
                <w:sz w:val="20"/>
                <w:szCs w:val="20"/>
              </w:rPr>
              <w:t>F</w:t>
            </w:r>
          </w:p>
        </w:tc>
        <w:tc>
          <w:tcPr>
            <w:tcW w:w="0" w:type="auto"/>
            <w:vAlign w:val="center"/>
          </w:tcPr>
          <w:p w14:paraId="2334D16E" w14:textId="77777777" w:rsidR="00BD13D9" w:rsidRPr="00D172A2" w:rsidRDefault="00BD13D9" w:rsidP="00D172A2">
            <w:pPr>
              <w:jc w:val="center"/>
              <w:rPr>
                <w:sz w:val="20"/>
                <w:szCs w:val="20"/>
              </w:rPr>
            </w:pPr>
            <w:r w:rsidRPr="00D172A2">
              <w:rPr>
                <w:sz w:val="20"/>
                <w:szCs w:val="20"/>
              </w:rPr>
              <w:t>39</w:t>
            </w:r>
          </w:p>
        </w:tc>
      </w:tr>
    </w:tbl>
    <w:p w14:paraId="5D2BB2B3" w14:textId="5E0F3F7B" w:rsidR="00BD13D9" w:rsidRPr="00D976E7" w:rsidRDefault="00BD13D9" w:rsidP="00E962DF">
      <w:pPr>
        <w:pStyle w:val="Caption"/>
        <w:rPr>
          <w:i/>
        </w:rPr>
      </w:pPr>
      <w:bookmarkStart w:id="10" w:name="_Ref507579965"/>
      <w:r w:rsidRPr="00D976E7">
        <w:t xml:space="preserve">Table </w:t>
      </w:r>
      <w:fldSimple w:instr=" SEQ Table \* ARABIC ">
        <w:r w:rsidR="00FB3C46">
          <w:rPr>
            <w:noProof/>
          </w:rPr>
          <w:t>2</w:t>
        </w:r>
      </w:fldSimple>
      <w:bookmarkEnd w:id="10"/>
      <w:r>
        <w:t xml:space="preserve"> – </w:t>
      </w:r>
      <w:r w:rsidRPr="00D976E7">
        <w:t xml:space="preserve">S-N </w:t>
      </w:r>
      <w:r w:rsidR="007F411F">
        <w:t>c</w:t>
      </w:r>
      <w:r w:rsidRPr="00D976E7">
        <w:t xml:space="preserve">urve </w:t>
      </w:r>
      <w:r w:rsidR="007F411F">
        <w:t>e</w:t>
      </w:r>
      <w:r>
        <w:t xml:space="preserve">ndurance </w:t>
      </w:r>
      <w:r w:rsidR="007F411F">
        <w:t>l</w:t>
      </w:r>
      <w:r>
        <w:t>imits</w:t>
      </w:r>
    </w:p>
    <w:p w14:paraId="70737031" w14:textId="75BFE3B8" w:rsidR="00BD13D9" w:rsidRPr="00FC4558" w:rsidRDefault="00BD13D9" w:rsidP="00BD13D9">
      <w:pPr>
        <w:pStyle w:val="BodyText"/>
      </w:pPr>
      <w:r>
        <w:t xml:space="preserve">The SCF recommended by the UKOPA </w:t>
      </w:r>
      <w:r w:rsidR="005B2DC4">
        <w:t>dent management strategy</w:t>
      </w:r>
      <w:r>
        <w:t xml:space="preserve"> (equation 1) was derived by GL Noble Denton using FEA. The SCF is a function of the dent depth as a fraction of the pipeline outside diameter (OD):</w:t>
      </w:r>
    </w:p>
    <w:p w14:paraId="17A3E89C" w14:textId="674127F5" w:rsidR="00BD13D9" w:rsidRDefault="00BD13D9" w:rsidP="002B1228">
      <w:pPr>
        <w:pStyle w:val="BodyText"/>
        <w:jc w:val="center"/>
        <w:rPr>
          <w:highlight w:val="yellow"/>
        </w:rPr>
      </w:pPr>
      <m:oMathPara>
        <m:oMath>
          <m:r>
            <w:rPr>
              <w:rFonts w:ascii="Cambria Math" w:hAnsi="Cambria Math"/>
            </w:rPr>
            <m:t>SCF=</m:t>
          </m:r>
          <m:f>
            <m:fPr>
              <m:ctrlPr>
                <w:rPr>
                  <w:rFonts w:ascii="Cambria Math" w:hAnsi="Cambria Math"/>
                  <w:i/>
                </w:rPr>
              </m:ctrlPr>
            </m:fPr>
            <m:num>
              <m:r>
                <w:rPr>
                  <w:rFonts w:ascii="Cambria Math" w:hAnsi="Cambria Math"/>
                </w:rPr>
                <m:t>∆σ</m:t>
              </m:r>
            </m:num>
            <m:den>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hoop</m:t>
                  </m:r>
                </m:sub>
              </m:sSub>
            </m:den>
          </m:f>
          <m:r>
            <w:rPr>
              <w:rFonts w:ascii="Cambria Math" w:hAnsi="Cambria Math"/>
            </w:rPr>
            <m:t>=1.8</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88</m:t>
                  </m:r>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r</m:t>
                          </m:r>
                        </m:sub>
                      </m:sSub>
                    </m:num>
                    <m:den>
                      <m:r>
                        <w:rPr>
                          <w:rFonts w:ascii="Cambria Math" w:hAnsi="Cambria Math"/>
                        </w:rPr>
                        <m:t>D</m:t>
                      </m:r>
                    </m:den>
                  </m:f>
                  <m:r>
                    <w:rPr>
                      <w:rFonts w:ascii="Cambria Math" w:hAnsi="Cambria Math"/>
                    </w:rPr>
                    <m:t>+1</m:t>
                  </m:r>
                </m:e>
              </m:d>
              <m:r>
                <w:rPr>
                  <w:rFonts w:ascii="Cambria Math" w:hAnsi="Cambria Math"/>
                </w:rPr>
                <m:t>+1</m:t>
              </m:r>
            </m:e>
          </m:func>
        </m:oMath>
      </m:oMathPara>
    </w:p>
    <w:p w14:paraId="061F763A" w14:textId="77777777" w:rsidR="00BD13D9" w:rsidRDefault="00BD13D9" w:rsidP="00BD13D9">
      <w:pPr>
        <w:pStyle w:val="BodyText"/>
      </w:pPr>
      <w:r>
        <w:t>The form of the S-N curves, taking into account the SCF, is given by equation (2):</w:t>
      </w:r>
    </w:p>
    <w:p w14:paraId="0007427A" w14:textId="21E06BEA" w:rsidR="00BD13D9" w:rsidRDefault="00BD13D9" w:rsidP="002B1228">
      <w:pPr>
        <w:pStyle w:val="BodyText"/>
        <w:jc w:val="center"/>
        <w:rPr>
          <w:rFonts w:eastAsiaTheme="minorEastAsia"/>
        </w:rPr>
      </w:pPr>
      <m:oMathPara>
        <m:oMath>
          <m:r>
            <w:rPr>
              <w:rFonts w:ascii="Cambria Math" w:hAnsi="Cambria Math"/>
            </w:rPr>
            <m:t>C=</m:t>
          </m:r>
          <m:sSup>
            <m:sSupPr>
              <m:ctrlPr>
                <w:rPr>
                  <w:rFonts w:ascii="Cambria Math" w:hAnsi="Cambria Math"/>
                  <w:i/>
                </w:rPr>
              </m:ctrlPr>
            </m:sSupPr>
            <m:e>
              <m:r>
                <w:rPr>
                  <w:rFonts w:ascii="Cambria Math" w:hAnsi="Cambria Math"/>
                </w:rPr>
                <m:t>(SCF.∆σ)</m:t>
              </m:r>
            </m:e>
            <m:sup>
              <m:r>
                <w:rPr>
                  <w:rFonts w:ascii="Cambria Math" w:hAnsi="Cambria Math"/>
                </w:rPr>
                <m:t>m</m:t>
              </m:r>
            </m:sup>
          </m:sSup>
          <m:r>
            <w:rPr>
              <w:rFonts w:ascii="Cambria Math" w:hAnsi="Cambria Math"/>
            </w:rPr>
            <m:t>.N</m:t>
          </m:r>
        </m:oMath>
      </m:oMathPara>
    </w:p>
    <w:p w14:paraId="318DE6A9" w14:textId="77777777" w:rsidR="00BD13D9" w:rsidRDefault="00BD13D9" w:rsidP="00BD13D9">
      <w:pPr>
        <w:pStyle w:val="BodyText"/>
        <w:rPr>
          <w:rFonts w:eastAsiaTheme="minorEastAsia"/>
        </w:rPr>
      </w:pPr>
      <w:r>
        <w:rPr>
          <w:rFonts w:eastAsiaTheme="minorEastAsia"/>
        </w:rPr>
        <w:t>Which can be rearranged to give the stress range in terms of the allowable number of cycles for a dented pipeline:</w:t>
      </w:r>
    </w:p>
    <w:p w14:paraId="2BD6BEE8" w14:textId="77777777" w:rsidR="00BD13D9" w:rsidRDefault="00BD13D9" w:rsidP="002B1228">
      <w:pPr>
        <w:pStyle w:val="BodyText"/>
        <w:jc w:val="center"/>
        <w:rPr>
          <w:rFonts w:eastAsiaTheme="minorEastAsia"/>
        </w:rPr>
      </w:pPr>
      <m:oMath>
        <m:r>
          <w:rPr>
            <w:rFonts w:ascii="Cambria Math" w:hAnsi="Cambria Math"/>
          </w:rPr>
          <m:t>∆σ=</m:t>
        </m:r>
        <m:f>
          <m:fPr>
            <m:ctrlPr>
              <w:rPr>
                <w:rFonts w:ascii="Cambria Math" w:hAnsi="Cambria Math"/>
                <w:i/>
              </w:rPr>
            </m:ctrlPr>
          </m:fPr>
          <m:num>
            <m:r>
              <w:rPr>
                <w:rFonts w:ascii="Cambria Math" w:hAnsi="Cambria Math"/>
              </w:rPr>
              <m:t>1</m:t>
            </m:r>
          </m:num>
          <m:den>
            <m:r>
              <w:rPr>
                <w:rFonts w:ascii="Cambria Math" w:hAnsi="Cambria Math"/>
              </w:rPr>
              <m:t>SCF</m:t>
            </m:r>
          </m:den>
        </m:f>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C</m:t>
                    </m:r>
                  </m:num>
                  <m:den>
                    <m:r>
                      <w:rPr>
                        <w:rFonts w:ascii="Cambria Math" w:hAnsi="Cambria Math"/>
                      </w:rPr>
                      <m:t>N</m:t>
                    </m:r>
                  </m:den>
                </m:f>
              </m:e>
            </m:d>
          </m:e>
          <m:sup>
            <m:f>
              <m:fPr>
                <m:ctrlPr>
                  <w:rPr>
                    <w:rFonts w:ascii="Cambria Math" w:hAnsi="Cambria Math"/>
                    <w:i/>
                  </w:rPr>
                </m:ctrlPr>
              </m:fPr>
              <m:num>
                <m:r>
                  <w:rPr>
                    <w:rFonts w:ascii="Cambria Math" w:hAnsi="Cambria Math"/>
                  </w:rPr>
                  <m:t>1</m:t>
                </m:r>
              </m:num>
              <m:den>
                <m:r>
                  <w:rPr>
                    <w:rFonts w:ascii="Cambria Math" w:hAnsi="Cambria Math"/>
                  </w:rPr>
                  <m:t>m</m:t>
                </m:r>
              </m:den>
            </m:f>
          </m:sup>
        </m:sSup>
      </m:oMath>
      <w:r>
        <w:rPr>
          <w:rFonts w:eastAsiaTheme="minorEastAsia"/>
        </w:rPr>
        <w:tab/>
      </w:r>
      <w:r>
        <w:rPr>
          <w:rFonts w:eastAsiaTheme="minorEastAsia"/>
        </w:rPr>
        <w:tab/>
        <w:t>(5)</w:t>
      </w:r>
    </w:p>
    <w:p w14:paraId="6866A5C4" w14:textId="77777777" w:rsidR="00BD13D9" w:rsidRDefault="00BD13D9" w:rsidP="00BD13D9">
      <w:pPr>
        <w:pStyle w:val="BodyText"/>
        <w:rPr>
          <w:rFonts w:eastAsiaTheme="minorEastAsia"/>
        </w:rPr>
      </w:pPr>
      <w:r>
        <w:rPr>
          <w:rFonts w:eastAsiaTheme="minorEastAsia"/>
        </w:rPr>
        <w:t>A comparison between equations (4) and (5) therefore indicates that values for the endurance limits of dented pipelines can be derived using:</w:t>
      </w:r>
    </w:p>
    <w:p w14:paraId="44F24817" w14:textId="77777777" w:rsidR="00BD13D9" w:rsidRDefault="00377F06" w:rsidP="002B1228">
      <w:pPr>
        <w:pStyle w:val="BodyText"/>
        <w:jc w:val="center"/>
        <w:rPr>
          <w:rFonts w:eastAsiaTheme="minorEastAsia"/>
        </w:rPr>
      </w:pPr>
      <m:oMath>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e</m:t>
                </m:r>
              </m:sub>
            </m:sSub>
          </m:e>
          <m:sub>
            <m:r>
              <w:rPr>
                <w:rFonts w:ascii="Cambria Math" w:eastAsiaTheme="minorEastAsia" w:hAnsi="Cambria Math"/>
              </w:rPr>
              <m:t>dent</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e</m:t>
                    </m:r>
                  </m:sub>
                </m:sSub>
              </m:e>
              <m:sub>
                <m:r>
                  <w:rPr>
                    <w:rFonts w:ascii="Cambria Math" w:eastAsiaTheme="minorEastAsia" w:hAnsi="Cambria Math"/>
                  </w:rPr>
                  <m:t>design</m:t>
                </m:r>
              </m:sub>
            </m:sSub>
          </m:num>
          <m:den>
            <m:r>
              <w:rPr>
                <w:rFonts w:ascii="Cambria Math" w:eastAsiaTheme="minorEastAsia" w:hAnsi="Cambria Math"/>
              </w:rPr>
              <m:t>SCF</m:t>
            </m:r>
          </m:den>
        </m:f>
      </m:oMath>
      <w:r w:rsidR="00BD13D9">
        <w:rPr>
          <w:rFonts w:eastAsiaTheme="minorEastAsia"/>
        </w:rPr>
        <w:tab/>
      </w:r>
      <w:r w:rsidR="00BD13D9">
        <w:rPr>
          <w:rFonts w:eastAsiaTheme="minorEastAsia"/>
        </w:rPr>
        <w:tab/>
        <w:t>(6)</w:t>
      </w:r>
    </w:p>
    <w:p w14:paraId="1DC465D0" w14:textId="77777777" w:rsidR="00BD13D9" w:rsidRDefault="00BD13D9" w:rsidP="00BD13D9">
      <w:pPr>
        <w:pStyle w:val="BodyText"/>
        <w:rPr>
          <w:rFonts w:eastAsiaTheme="minorEastAsia"/>
        </w:rPr>
      </w:pPr>
      <w:r>
        <w:rPr>
          <w:rFonts w:eastAsiaTheme="minorEastAsia"/>
        </w:rPr>
        <w:t xml:space="preserve">Where </w:t>
      </w:r>
      <w:r w:rsidRPr="007D6394">
        <w:rPr>
          <w:rFonts w:ascii="Cambria Math" w:eastAsiaTheme="minorEastAsia" w:hAnsi="Cambria Math"/>
          <w:i/>
        </w:rPr>
        <w:t>S</w:t>
      </w:r>
      <w:r w:rsidRPr="007D6394">
        <w:rPr>
          <w:rFonts w:ascii="Cambria Math" w:eastAsiaTheme="minorEastAsia" w:hAnsi="Cambria Math"/>
          <w:i/>
          <w:vertAlign w:val="subscript"/>
        </w:rPr>
        <w:t>e dent</w:t>
      </w:r>
      <w:r>
        <w:rPr>
          <w:rFonts w:eastAsiaTheme="minorEastAsia"/>
        </w:rPr>
        <w:t xml:space="preserve"> is the endurance limit for a dented pipeline (dependent upon dent depth and S-N curve class) and </w:t>
      </w:r>
      <w:r w:rsidRPr="007D6394">
        <w:rPr>
          <w:rFonts w:ascii="Cambria Math" w:eastAsiaTheme="minorEastAsia" w:hAnsi="Cambria Math"/>
          <w:i/>
        </w:rPr>
        <w:t>S</w:t>
      </w:r>
      <w:r w:rsidRPr="007D6394">
        <w:rPr>
          <w:rFonts w:ascii="Cambria Math" w:eastAsiaTheme="minorEastAsia" w:hAnsi="Cambria Math"/>
          <w:i/>
          <w:vertAlign w:val="subscript"/>
        </w:rPr>
        <w:t>e design</w:t>
      </w:r>
      <w:r>
        <w:rPr>
          <w:rFonts w:eastAsiaTheme="minorEastAsia"/>
        </w:rPr>
        <w:t xml:space="preserve"> is the corresponding endurance limit for the BS 7608 design S-N curve.</w:t>
      </w:r>
    </w:p>
    <w:p w14:paraId="12828CAB" w14:textId="4AA2C460" w:rsidR="00BD13D9" w:rsidRDefault="00BD13D9" w:rsidP="00BD13D9">
      <w:pPr>
        <w:pStyle w:val="BodyText"/>
      </w:pPr>
      <w:r>
        <w:t xml:space="preserve">Values for the endurance limits of dents in plain pipe and the pipeline seam weld and  weld, have been calculated using equation (6), equation (1) and </w:t>
      </w:r>
      <w:r w:rsidRPr="00D538EC">
        <w:fldChar w:fldCharType="begin"/>
      </w:r>
      <w:r w:rsidRPr="00D538EC">
        <w:instrText xml:space="preserve"> REF _Ref507579965 \h  \* MERGEFORMAT </w:instrText>
      </w:r>
      <w:r w:rsidRPr="00D538EC">
        <w:fldChar w:fldCharType="separate"/>
      </w:r>
      <w:r w:rsidR="00FB3C46" w:rsidRPr="00D976E7">
        <w:t xml:space="preserve">Table </w:t>
      </w:r>
      <w:r w:rsidR="00FB3C46">
        <w:rPr>
          <w:noProof/>
        </w:rPr>
        <w:t>2</w:t>
      </w:r>
      <w:r w:rsidRPr="00D538EC">
        <w:fldChar w:fldCharType="end"/>
      </w:r>
      <w:r>
        <w:t xml:space="preserve">, and are shown in </w:t>
      </w:r>
      <w:r w:rsidRPr="00A02338">
        <w:fldChar w:fldCharType="begin"/>
      </w:r>
      <w:r w:rsidRPr="00A02338">
        <w:instrText xml:space="preserve"> REF _Ref508023451 \h  \* MERGEFORMAT </w:instrText>
      </w:r>
      <w:r w:rsidRPr="00A02338">
        <w:fldChar w:fldCharType="separate"/>
      </w:r>
      <w:r w:rsidR="00FB3C46" w:rsidRPr="00E62EEC">
        <w:t xml:space="preserve">Figure </w:t>
      </w:r>
      <w:r w:rsidR="00FB3C46">
        <w:rPr>
          <w:noProof/>
        </w:rPr>
        <w:t>4</w:t>
      </w:r>
      <w:r w:rsidRPr="00A02338">
        <w:fldChar w:fldCharType="end"/>
      </w:r>
      <w:r>
        <w:t xml:space="preserve"> and presented in </w:t>
      </w:r>
      <w:r w:rsidRPr="003E217B">
        <w:rPr>
          <w:highlight w:val="yellow"/>
        </w:rPr>
        <w:fldChar w:fldCharType="begin"/>
      </w:r>
      <w:r w:rsidRPr="003E217B">
        <w:instrText xml:space="preserve"> REF _Ref507591710 \h </w:instrText>
      </w:r>
      <w:r w:rsidRPr="003E217B">
        <w:rPr>
          <w:highlight w:val="yellow"/>
        </w:rPr>
        <w:instrText xml:space="preserve"> \* MERGEFORMAT </w:instrText>
      </w:r>
      <w:r w:rsidRPr="003E217B">
        <w:rPr>
          <w:highlight w:val="yellow"/>
        </w:rPr>
      </w:r>
      <w:r w:rsidRPr="003E217B">
        <w:rPr>
          <w:highlight w:val="yellow"/>
        </w:rPr>
        <w:fldChar w:fldCharType="separate"/>
      </w:r>
      <w:r w:rsidR="00FB3C46" w:rsidRPr="00D976E7">
        <w:t xml:space="preserve">Table </w:t>
      </w:r>
      <w:r w:rsidR="00FB3C46">
        <w:rPr>
          <w:noProof/>
        </w:rPr>
        <w:t>3</w:t>
      </w:r>
      <w:r w:rsidRPr="003E217B">
        <w:rPr>
          <w:highlight w:val="yellow"/>
        </w:rPr>
        <w:fldChar w:fldCharType="end"/>
      </w:r>
      <w:r>
        <w:t>.</w:t>
      </w:r>
      <w:r>
        <w:rPr>
          <w:rFonts w:eastAsiaTheme="minorEastAsia"/>
        </w:rPr>
        <w:t xml:space="preserve"> </w:t>
      </w:r>
      <w:r>
        <w:t xml:space="preserve">In terms of static burst strength, the UKOPA </w:t>
      </w:r>
      <w:r w:rsidR="005B2DC4">
        <w:t>dent management strategy</w:t>
      </w:r>
      <w:r>
        <w:t xml:space="preserve"> indicates that the largest dent considered to be acceptable for operation is 7% OD. A 7% OD dent is therefore the largest dent which could experience continued cyclic stress throughout the operating life of the pipeline. The calculated endurance limits therefore consider dents up to 7% OD. Note that the acceptability of a 7% OD dent is dependent upon the dent being smooth, located in plain pipe away from the seam and girth welds, and free from any additional </w:t>
      </w:r>
      <w:r w:rsidR="00016331">
        <w:t>defects.</w:t>
      </w:r>
      <w:r>
        <w:t xml:space="preserve"> </w:t>
      </w:r>
    </w:p>
    <w:p w14:paraId="355B4720" w14:textId="77777777" w:rsidR="00BD13D9" w:rsidRDefault="00BD13D9" w:rsidP="00D172A2">
      <w:pPr>
        <w:pStyle w:val="BodyText"/>
        <w:ind w:left="0"/>
      </w:pPr>
      <w:r>
        <w:rPr>
          <w:noProof/>
          <w:lang w:val="en-US" w:eastAsia="zh-CN"/>
        </w:rPr>
        <w:lastRenderedPageBreak/>
        <w:drawing>
          <wp:inline distT="0" distB="0" distL="0" distR="0" wp14:anchorId="2DF2DEAB" wp14:editId="065CB63A">
            <wp:extent cx="5705021" cy="4147514"/>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7024" cy="4148970"/>
                    </a:xfrm>
                    <a:prstGeom prst="rect">
                      <a:avLst/>
                    </a:prstGeom>
                    <a:noFill/>
                  </pic:spPr>
                </pic:pic>
              </a:graphicData>
            </a:graphic>
          </wp:inline>
        </w:drawing>
      </w:r>
    </w:p>
    <w:p w14:paraId="09C469A6" w14:textId="7FABF1D8" w:rsidR="00BD13D9" w:rsidRPr="00E62EEC" w:rsidRDefault="00BD13D9" w:rsidP="00E962DF">
      <w:pPr>
        <w:pStyle w:val="Caption"/>
        <w:rPr>
          <w:i/>
        </w:rPr>
      </w:pPr>
      <w:bookmarkStart w:id="11" w:name="_Ref508023451"/>
      <w:r w:rsidRPr="00E62EEC">
        <w:t xml:space="preserve">Figure </w:t>
      </w:r>
      <w:fldSimple w:instr=" SEQ Figure \* ARABIC ">
        <w:r w:rsidR="00FB3C46">
          <w:rPr>
            <w:noProof/>
          </w:rPr>
          <w:t>4</w:t>
        </w:r>
      </w:fldSimple>
      <w:bookmarkEnd w:id="11"/>
      <w:r w:rsidRPr="00E62EEC">
        <w:t xml:space="preserve"> – </w:t>
      </w:r>
      <w:r>
        <w:t xml:space="preserve">Calculated </w:t>
      </w:r>
      <w:r w:rsidR="007F411F">
        <w:t>d</w:t>
      </w:r>
      <w:r>
        <w:t xml:space="preserve">ent </w:t>
      </w:r>
      <w:r w:rsidR="007F411F">
        <w:t>s</w:t>
      </w:r>
      <w:r>
        <w:t xml:space="preserve">tress </w:t>
      </w:r>
      <w:r w:rsidR="007F411F">
        <w:t>c</w:t>
      </w:r>
      <w:r>
        <w:t xml:space="preserve">ycle </w:t>
      </w:r>
      <w:r w:rsidR="007F411F">
        <w:t>e</w:t>
      </w:r>
      <w:r>
        <w:t xml:space="preserve">ndurance </w:t>
      </w:r>
      <w:r w:rsidR="007F411F">
        <w:t>l</w:t>
      </w:r>
      <w:r>
        <w:t>imits</w:t>
      </w:r>
    </w:p>
    <w:tbl>
      <w:tblPr>
        <w:tblStyle w:val="TableGrid"/>
        <w:tblW w:w="0" w:type="auto"/>
        <w:tblLook w:val="04A0" w:firstRow="1" w:lastRow="0" w:firstColumn="1" w:lastColumn="0" w:noHBand="0" w:noVBand="1"/>
      </w:tblPr>
      <w:tblGrid>
        <w:gridCol w:w="1054"/>
        <w:gridCol w:w="1680"/>
        <w:gridCol w:w="1560"/>
        <w:gridCol w:w="1680"/>
        <w:gridCol w:w="2101"/>
      </w:tblGrid>
      <w:tr w:rsidR="00BD13D9" w:rsidRPr="00D172A2" w14:paraId="2AD337AA" w14:textId="77777777" w:rsidTr="0001633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4" w:type="dxa"/>
            <w:shd w:val="clear" w:color="auto" w:fill="E5E0DB" w:themeFill="background1" w:themeFillShade="E6"/>
            <w:noWrap/>
            <w:hideMark/>
          </w:tcPr>
          <w:p w14:paraId="64DA14C4" w14:textId="109D5592" w:rsidR="007F411F" w:rsidRDefault="00BD13D9" w:rsidP="00016331">
            <w:pPr>
              <w:jc w:val="center"/>
              <w:rPr>
                <w:b w:val="0"/>
              </w:rPr>
            </w:pPr>
            <w:r w:rsidRPr="00D172A2">
              <w:t xml:space="preserve">Dent </w:t>
            </w:r>
            <w:r w:rsidR="007F411F">
              <w:t>d</w:t>
            </w:r>
            <w:r w:rsidRPr="00D172A2">
              <w:t>epth</w:t>
            </w:r>
          </w:p>
          <w:p w14:paraId="18D4E37A" w14:textId="41BEB96C" w:rsidR="00BD13D9" w:rsidRPr="00D172A2" w:rsidRDefault="00BD13D9" w:rsidP="00016331">
            <w:pPr>
              <w:jc w:val="center"/>
            </w:pPr>
            <w:r w:rsidRPr="00D172A2">
              <w:t>(% OD)</w:t>
            </w:r>
          </w:p>
        </w:tc>
        <w:tc>
          <w:tcPr>
            <w:tcW w:w="1680" w:type="dxa"/>
            <w:shd w:val="clear" w:color="auto" w:fill="E5E0DB" w:themeFill="background1" w:themeFillShade="E6"/>
            <w:noWrap/>
            <w:hideMark/>
          </w:tcPr>
          <w:p w14:paraId="3A277246" w14:textId="77777777" w:rsidR="00BD13D9" w:rsidRPr="00D172A2" w:rsidRDefault="00BD13D9" w:rsidP="00016331">
            <w:pPr>
              <w:cnfStyle w:val="100000000000" w:firstRow="1" w:lastRow="0" w:firstColumn="0" w:lastColumn="0" w:oddVBand="0" w:evenVBand="0" w:oddHBand="0" w:evenHBand="0" w:firstRowFirstColumn="0" w:firstRowLastColumn="0" w:lastRowFirstColumn="0" w:lastRowLastColumn="0"/>
            </w:pPr>
            <w:r w:rsidRPr="00D172A2">
              <w:t>SCF</w:t>
            </w:r>
          </w:p>
        </w:tc>
        <w:tc>
          <w:tcPr>
            <w:tcW w:w="1560" w:type="dxa"/>
            <w:tcBorders>
              <w:bottom w:val="single" w:sz="4" w:space="0" w:color="auto"/>
            </w:tcBorders>
            <w:shd w:val="clear" w:color="auto" w:fill="E5E0DB" w:themeFill="background1" w:themeFillShade="E6"/>
            <w:noWrap/>
            <w:hideMark/>
          </w:tcPr>
          <w:p w14:paraId="1657AEB0" w14:textId="6DF6A855" w:rsidR="00BD13D9" w:rsidRPr="00D172A2" w:rsidRDefault="00BD13D9" w:rsidP="00016331">
            <w:pPr>
              <w:cnfStyle w:val="100000000000" w:firstRow="1" w:lastRow="0" w:firstColumn="0" w:lastColumn="0" w:oddVBand="0" w:evenVBand="0" w:oddHBand="0" w:evenHBand="0" w:firstRowFirstColumn="0" w:firstRowLastColumn="0" w:lastRowFirstColumn="0" w:lastRowLastColumn="0"/>
            </w:pPr>
            <w:r w:rsidRPr="00D172A2">
              <w:t xml:space="preserve">Plain </w:t>
            </w:r>
            <w:r w:rsidR="007F411F">
              <w:t>p</w:t>
            </w:r>
            <w:r w:rsidRPr="00D172A2">
              <w:t xml:space="preserve">ipe </w:t>
            </w:r>
            <w:r w:rsidR="007F411F">
              <w:t>l</w:t>
            </w:r>
            <w:r w:rsidRPr="00D172A2">
              <w:t>imit (Nmm</w:t>
            </w:r>
            <w:r w:rsidRPr="00A44974">
              <w:rPr>
                <w:vertAlign w:val="superscript"/>
              </w:rPr>
              <w:t>-2</w:t>
            </w:r>
            <w:r w:rsidRPr="00D172A2">
              <w:t>)</w:t>
            </w:r>
          </w:p>
        </w:tc>
        <w:tc>
          <w:tcPr>
            <w:tcW w:w="1680" w:type="dxa"/>
            <w:tcBorders>
              <w:bottom w:val="single" w:sz="4" w:space="0" w:color="auto"/>
            </w:tcBorders>
            <w:shd w:val="clear" w:color="auto" w:fill="E5E0DB" w:themeFill="background1" w:themeFillShade="E6"/>
            <w:noWrap/>
            <w:hideMark/>
          </w:tcPr>
          <w:p w14:paraId="3CD565D0" w14:textId="2B795D45" w:rsidR="00BD13D9" w:rsidRPr="00D172A2" w:rsidRDefault="00BD13D9" w:rsidP="00016331">
            <w:pPr>
              <w:cnfStyle w:val="100000000000" w:firstRow="1" w:lastRow="0" w:firstColumn="0" w:lastColumn="0" w:oddVBand="0" w:evenVBand="0" w:oddHBand="0" w:evenHBand="0" w:firstRowFirstColumn="0" w:firstRowLastColumn="0" w:lastRowFirstColumn="0" w:lastRowLastColumn="0"/>
            </w:pPr>
            <w:r w:rsidRPr="00D172A2">
              <w:t xml:space="preserve">Seam </w:t>
            </w:r>
            <w:r w:rsidR="007F411F">
              <w:t>w</w:t>
            </w:r>
            <w:r w:rsidRPr="00D172A2">
              <w:t xml:space="preserve">eld </w:t>
            </w:r>
            <w:r w:rsidR="007F411F">
              <w:t>l</w:t>
            </w:r>
            <w:r w:rsidRPr="00D172A2">
              <w:t>imit (Nmm</w:t>
            </w:r>
            <w:r w:rsidRPr="00A44974">
              <w:rPr>
                <w:vertAlign w:val="superscript"/>
              </w:rPr>
              <w:t>-2</w:t>
            </w:r>
            <w:r w:rsidRPr="00D172A2">
              <w:t>)</w:t>
            </w:r>
          </w:p>
        </w:tc>
        <w:tc>
          <w:tcPr>
            <w:tcW w:w="2101" w:type="dxa"/>
            <w:tcBorders>
              <w:bottom w:val="single" w:sz="4" w:space="0" w:color="auto"/>
            </w:tcBorders>
            <w:shd w:val="clear" w:color="auto" w:fill="E5E0DB" w:themeFill="background1" w:themeFillShade="E6"/>
            <w:noWrap/>
            <w:hideMark/>
          </w:tcPr>
          <w:p w14:paraId="4EE4852D" w14:textId="77777777" w:rsidR="007F411F" w:rsidRDefault="00BD13D9" w:rsidP="00016331">
            <w:pPr>
              <w:cnfStyle w:val="100000000000" w:firstRow="1" w:lastRow="0" w:firstColumn="0" w:lastColumn="0" w:oddVBand="0" w:evenVBand="0" w:oddHBand="0" w:evenHBand="0" w:firstRowFirstColumn="0" w:firstRowLastColumn="0" w:lastRowFirstColumn="0" w:lastRowLastColumn="0"/>
              <w:rPr>
                <w:b w:val="0"/>
              </w:rPr>
            </w:pPr>
            <w:r w:rsidRPr="00D172A2">
              <w:t xml:space="preserve">Girth </w:t>
            </w:r>
            <w:r w:rsidR="007F411F">
              <w:t>w</w:t>
            </w:r>
            <w:r w:rsidRPr="00D172A2">
              <w:t xml:space="preserve">eld </w:t>
            </w:r>
            <w:r w:rsidR="007F411F">
              <w:t>l</w:t>
            </w:r>
            <w:r w:rsidRPr="00D172A2">
              <w:t xml:space="preserve">imit </w:t>
            </w:r>
          </w:p>
          <w:p w14:paraId="61AFA82A" w14:textId="13A227FB" w:rsidR="00BD13D9" w:rsidRPr="00D172A2" w:rsidRDefault="00BD13D9" w:rsidP="00016331">
            <w:pPr>
              <w:cnfStyle w:val="100000000000" w:firstRow="1" w:lastRow="0" w:firstColumn="0" w:lastColumn="0" w:oddVBand="0" w:evenVBand="0" w:oddHBand="0" w:evenHBand="0" w:firstRowFirstColumn="0" w:firstRowLastColumn="0" w:lastRowFirstColumn="0" w:lastRowLastColumn="0"/>
            </w:pPr>
            <w:r w:rsidRPr="00D172A2">
              <w:t>(Nmm</w:t>
            </w:r>
            <w:r w:rsidRPr="00A44974">
              <w:rPr>
                <w:vertAlign w:val="superscript"/>
              </w:rPr>
              <w:t>-2</w:t>
            </w:r>
            <w:r w:rsidRPr="00D172A2">
              <w:t>)</w:t>
            </w:r>
          </w:p>
        </w:tc>
      </w:tr>
      <w:tr w:rsidR="00BD13D9" w:rsidRPr="00D172A2" w14:paraId="13819578" w14:textId="77777777" w:rsidTr="00016331">
        <w:trPr>
          <w:trHeight w:val="300"/>
        </w:trPr>
        <w:tc>
          <w:tcPr>
            <w:cnfStyle w:val="001000000000" w:firstRow="0" w:lastRow="0" w:firstColumn="1" w:lastColumn="0" w:oddVBand="0" w:evenVBand="0" w:oddHBand="0" w:evenHBand="0" w:firstRowFirstColumn="0" w:firstRowLastColumn="0" w:lastRowFirstColumn="0" w:lastRowLastColumn="0"/>
            <w:tcW w:w="1054" w:type="dxa"/>
            <w:noWrap/>
            <w:hideMark/>
          </w:tcPr>
          <w:p w14:paraId="040B3786" w14:textId="77777777" w:rsidR="00BD13D9" w:rsidRPr="007F411F" w:rsidRDefault="00BD13D9" w:rsidP="00016331">
            <w:pPr>
              <w:jc w:val="center"/>
              <w:rPr>
                <w:b/>
              </w:rPr>
            </w:pPr>
            <w:r w:rsidRPr="007F411F">
              <w:rPr>
                <w:b/>
              </w:rPr>
              <w:t>1</w:t>
            </w:r>
          </w:p>
        </w:tc>
        <w:tc>
          <w:tcPr>
            <w:tcW w:w="1680" w:type="dxa"/>
            <w:noWrap/>
            <w:hideMark/>
          </w:tcPr>
          <w:p w14:paraId="3D5DBD16"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2.14</w:t>
            </w:r>
          </w:p>
        </w:tc>
        <w:tc>
          <w:tcPr>
            <w:tcW w:w="1560" w:type="dxa"/>
            <w:tcBorders>
              <w:bottom w:val="single" w:sz="4" w:space="0" w:color="auto"/>
            </w:tcBorders>
            <w:shd w:val="clear" w:color="auto" w:fill="auto"/>
            <w:noWrap/>
            <w:hideMark/>
          </w:tcPr>
          <w:p w14:paraId="502BD1AE"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46.81</w:t>
            </w:r>
          </w:p>
        </w:tc>
        <w:tc>
          <w:tcPr>
            <w:tcW w:w="1680" w:type="dxa"/>
            <w:shd w:val="clear" w:color="auto" w:fill="auto"/>
            <w:noWrap/>
            <w:hideMark/>
          </w:tcPr>
          <w:p w14:paraId="3C17CE23"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22.00</w:t>
            </w:r>
          </w:p>
        </w:tc>
        <w:tc>
          <w:tcPr>
            <w:tcW w:w="2101" w:type="dxa"/>
            <w:shd w:val="clear" w:color="auto" w:fill="auto"/>
            <w:noWrap/>
            <w:hideMark/>
          </w:tcPr>
          <w:p w14:paraId="784BEAF4"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18.26</w:t>
            </w:r>
          </w:p>
        </w:tc>
      </w:tr>
      <w:tr w:rsidR="00BD13D9" w:rsidRPr="00D172A2" w14:paraId="303D4AF7" w14:textId="77777777" w:rsidTr="00016331">
        <w:trPr>
          <w:trHeight w:val="300"/>
        </w:trPr>
        <w:tc>
          <w:tcPr>
            <w:cnfStyle w:val="001000000000" w:firstRow="0" w:lastRow="0" w:firstColumn="1" w:lastColumn="0" w:oddVBand="0" w:evenVBand="0" w:oddHBand="0" w:evenHBand="0" w:firstRowFirstColumn="0" w:firstRowLastColumn="0" w:lastRowFirstColumn="0" w:lastRowLastColumn="0"/>
            <w:tcW w:w="1054" w:type="dxa"/>
            <w:noWrap/>
            <w:hideMark/>
          </w:tcPr>
          <w:p w14:paraId="6D4FD5C3" w14:textId="77777777" w:rsidR="00BD13D9" w:rsidRPr="007F411F" w:rsidRDefault="00BD13D9" w:rsidP="00016331">
            <w:pPr>
              <w:jc w:val="center"/>
              <w:rPr>
                <w:b/>
              </w:rPr>
            </w:pPr>
            <w:r w:rsidRPr="007F411F">
              <w:rPr>
                <w:b/>
              </w:rPr>
              <w:t>2</w:t>
            </w:r>
          </w:p>
        </w:tc>
        <w:tc>
          <w:tcPr>
            <w:tcW w:w="1680" w:type="dxa"/>
            <w:noWrap/>
            <w:hideMark/>
          </w:tcPr>
          <w:p w14:paraId="2AC88A62"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2.83</w:t>
            </w:r>
          </w:p>
        </w:tc>
        <w:tc>
          <w:tcPr>
            <w:tcW w:w="1560" w:type="dxa"/>
            <w:tcBorders>
              <w:bottom w:val="single" w:sz="4" w:space="0" w:color="auto"/>
            </w:tcBorders>
            <w:shd w:val="clear" w:color="auto" w:fill="auto"/>
            <w:noWrap/>
            <w:hideMark/>
          </w:tcPr>
          <w:p w14:paraId="6A71A4D8"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35.37</w:t>
            </w:r>
          </w:p>
        </w:tc>
        <w:tc>
          <w:tcPr>
            <w:tcW w:w="1680" w:type="dxa"/>
            <w:tcBorders>
              <w:bottom w:val="single" w:sz="4" w:space="0" w:color="auto"/>
            </w:tcBorders>
            <w:shd w:val="clear" w:color="auto" w:fill="auto"/>
            <w:noWrap/>
            <w:hideMark/>
          </w:tcPr>
          <w:p w14:paraId="24CDEB1B"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16.62</w:t>
            </w:r>
          </w:p>
        </w:tc>
        <w:tc>
          <w:tcPr>
            <w:tcW w:w="2101" w:type="dxa"/>
            <w:tcBorders>
              <w:bottom w:val="single" w:sz="4" w:space="0" w:color="auto"/>
            </w:tcBorders>
            <w:shd w:val="clear" w:color="auto" w:fill="auto"/>
            <w:noWrap/>
            <w:hideMark/>
          </w:tcPr>
          <w:p w14:paraId="0AC12F39"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13.79</w:t>
            </w:r>
          </w:p>
        </w:tc>
      </w:tr>
      <w:tr w:rsidR="00BD13D9" w:rsidRPr="00D172A2" w14:paraId="6D76D903" w14:textId="77777777" w:rsidTr="00016331">
        <w:trPr>
          <w:trHeight w:val="300"/>
        </w:trPr>
        <w:tc>
          <w:tcPr>
            <w:cnfStyle w:val="001000000000" w:firstRow="0" w:lastRow="0" w:firstColumn="1" w:lastColumn="0" w:oddVBand="0" w:evenVBand="0" w:oddHBand="0" w:evenHBand="0" w:firstRowFirstColumn="0" w:firstRowLastColumn="0" w:lastRowFirstColumn="0" w:lastRowLastColumn="0"/>
            <w:tcW w:w="1054" w:type="dxa"/>
            <w:noWrap/>
            <w:hideMark/>
          </w:tcPr>
          <w:p w14:paraId="3A71B47B" w14:textId="77777777" w:rsidR="00BD13D9" w:rsidRPr="007F411F" w:rsidRDefault="00BD13D9" w:rsidP="00016331">
            <w:pPr>
              <w:jc w:val="center"/>
              <w:rPr>
                <w:b/>
              </w:rPr>
            </w:pPr>
            <w:r w:rsidRPr="007F411F">
              <w:rPr>
                <w:b/>
              </w:rPr>
              <w:t>3</w:t>
            </w:r>
          </w:p>
        </w:tc>
        <w:tc>
          <w:tcPr>
            <w:tcW w:w="1680" w:type="dxa"/>
            <w:noWrap/>
            <w:hideMark/>
          </w:tcPr>
          <w:p w14:paraId="3725A8DA"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3.33</w:t>
            </w:r>
          </w:p>
        </w:tc>
        <w:tc>
          <w:tcPr>
            <w:tcW w:w="1560" w:type="dxa"/>
            <w:shd w:val="clear" w:color="auto" w:fill="auto"/>
            <w:noWrap/>
            <w:hideMark/>
          </w:tcPr>
          <w:p w14:paraId="3ACB88B0"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30.07</w:t>
            </w:r>
          </w:p>
        </w:tc>
        <w:tc>
          <w:tcPr>
            <w:tcW w:w="1680" w:type="dxa"/>
            <w:shd w:val="clear" w:color="auto" w:fill="auto"/>
            <w:noWrap/>
            <w:hideMark/>
          </w:tcPr>
          <w:p w14:paraId="2D47AB72"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14.13</w:t>
            </w:r>
          </w:p>
        </w:tc>
        <w:tc>
          <w:tcPr>
            <w:tcW w:w="2101" w:type="dxa"/>
            <w:shd w:val="clear" w:color="auto" w:fill="auto"/>
            <w:noWrap/>
            <w:hideMark/>
          </w:tcPr>
          <w:p w14:paraId="3188F048"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11.73</w:t>
            </w:r>
          </w:p>
        </w:tc>
      </w:tr>
      <w:tr w:rsidR="00BD13D9" w:rsidRPr="00D172A2" w14:paraId="7D370DDD" w14:textId="77777777" w:rsidTr="00016331">
        <w:trPr>
          <w:trHeight w:val="300"/>
        </w:trPr>
        <w:tc>
          <w:tcPr>
            <w:cnfStyle w:val="001000000000" w:firstRow="0" w:lastRow="0" w:firstColumn="1" w:lastColumn="0" w:oddVBand="0" w:evenVBand="0" w:oddHBand="0" w:evenHBand="0" w:firstRowFirstColumn="0" w:firstRowLastColumn="0" w:lastRowFirstColumn="0" w:lastRowLastColumn="0"/>
            <w:tcW w:w="1054" w:type="dxa"/>
            <w:noWrap/>
            <w:hideMark/>
          </w:tcPr>
          <w:p w14:paraId="037046A6" w14:textId="77777777" w:rsidR="00BD13D9" w:rsidRPr="007F411F" w:rsidRDefault="00BD13D9" w:rsidP="00016331">
            <w:pPr>
              <w:jc w:val="center"/>
              <w:rPr>
                <w:b/>
              </w:rPr>
            </w:pPr>
            <w:r w:rsidRPr="007F411F">
              <w:rPr>
                <w:b/>
              </w:rPr>
              <w:t>4</w:t>
            </w:r>
          </w:p>
        </w:tc>
        <w:tc>
          <w:tcPr>
            <w:tcW w:w="1680" w:type="dxa"/>
            <w:noWrap/>
            <w:hideMark/>
          </w:tcPr>
          <w:p w14:paraId="0552F9D8"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3.72</w:t>
            </w:r>
          </w:p>
        </w:tc>
        <w:tc>
          <w:tcPr>
            <w:tcW w:w="1560" w:type="dxa"/>
            <w:shd w:val="clear" w:color="auto" w:fill="auto"/>
            <w:noWrap/>
            <w:hideMark/>
          </w:tcPr>
          <w:p w14:paraId="5B477509"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26.92</w:t>
            </w:r>
          </w:p>
        </w:tc>
        <w:tc>
          <w:tcPr>
            <w:tcW w:w="1680" w:type="dxa"/>
            <w:shd w:val="clear" w:color="auto" w:fill="auto"/>
            <w:noWrap/>
            <w:hideMark/>
          </w:tcPr>
          <w:p w14:paraId="5F61C27E"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12.65</w:t>
            </w:r>
          </w:p>
        </w:tc>
        <w:tc>
          <w:tcPr>
            <w:tcW w:w="2101" w:type="dxa"/>
            <w:shd w:val="clear" w:color="auto" w:fill="auto"/>
            <w:noWrap/>
            <w:hideMark/>
          </w:tcPr>
          <w:p w14:paraId="446F4F03"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10.50</w:t>
            </w:r>
          </w:p>
        </w:tc>
      </w:tr>
      <w:tr w:rsidR="00BD13D9" w:rsidRPr="00D172A2" w14:paraId="7E69D6FF" w14:textId="77777777" w:rsidTr="00016331">
        <w:trPr>
          <w:trHeight w:val="300"/>
        </w:trPr>
        <w:tc>
          <w:tcPr>
            <w:cnfStyle w:val="001000000000" w:firstRow="0" w:lastRow="0" w:firstColumn="1" w:lastColumn="0" w:oddVBand="0" w:evenVBand="0" w:oddHBand="0" w:evenHBand="0" w:firstRowFirstColumn="0" w:firstRowLastColumn="0" w:lastRowFirstColumn="0" w:lastRowLastColumn="0"/>
            <w:tcW w:w="1054" w:type="dxa"/>
            <w:noWrap/>
            <w:hideMark/>
          </w:tcPr>
          <w:p w14:paraId="441BC714" w14:textId="77777777" w:rsidR="00BD13D9" w:rsidRPr="007F411F" w:rsidRDefault="00BD13D9" w:rsidP="00016331">
            <w:pPr>
              <w:jc w:val="center"/>
              <w:rPr>
                <w:b/>
              </w:rPr>
            </w:pPr>
            <w:r w:rsidRPr="007F411F">
              <w:rPr>
                <w:b/>
              </w:rPr>
              <w:t>5</w:t>
            </w:r>
          </w:p>
        </w:tc>
        <w:tc>
          <w:tcPr>
            <w:tcW w:w="1680" w:type="dxa"/>
            <w:noWrap/>
            <w:hideMark/>
          </w:tcPr>
          <w:p w14:paraId="78B12467"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4.04</w:t>
            </w:r>
          </w:p>
        </w:tc>
        <w:tc>
          <w:tcPr>
            <w:tcW w:w="1560" w:type="dxa"/>
            <w:shd w:val="clear" w:color="auto" w:fill="auto"/>
            <w:noWrap/>
            <w:hideMark/>
          </w:tcPr>
          <w:p w14:paraId="3ECE70F7"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24.78</w:t>
            </w:r>
          </w:p>
        </w:tc>
        <w:tc>
          <w:tcPr>
            <w:tcW w:w="1680" w:type="dxa"/>
            <w:shd w:val="clear" w:color="auto" w:fill="auto"/>
            <w:noWrap/>
            <w:hideMark/>
          </w:tcPr>
          <w:p w14:paraId="10D07CCA"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11.65</w:t>
            </w:r>
          </w:p>
        </w:tc>
        <w:tc>
          <w:tcPr>
            <w:tcW w:w="2101" w:type="dxa"/>
            <w:shd w:val="clear" w:color="auto" w:fill="auto"/>
            <w:noWrap/>
            <w:hideMark/>
          </w:tcPr>
          <w:p w14:paraId="295008AE"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9.66</w:t>
            </w:r>
          </w:p>
        </w:tc>
      </w:tr>
      <w:tr w:rsidR="00BD13D9" w:rsidRPr="00D172A2" w14:paraId="0D1FEA89" w14:textId="77777777" w:rsidTr="00016331">
        <w:trPr>
          <w:trHeight w:val="300"/>
        </w:trPr>
        <w:tc>
          <w:tcPr>
            <w:cnfStyle w:val="001000000000" w:firstRow="0" w:lastRow="0" w:firstColumn="1" w:lastColumn="0" w:oddVBand="0" w:evenVBand="0" w:oddHBand="0" w:evenHBand="0" w:firstRowFirstColumn="0" w:firstRowLastColumn="0" w:lastRowFirstColumn="0" w:lastRowLastColumn="0"/>
            <w:tcW w:w="1054" w:type="dxa"/>
            <w:noWrap/>
            <w:hideMark/>
          </w:tcPr>
          <w:p w14:paraId="3D69E208" w14:textId="77777777" w:rsidR="00BD13D9" w:rsidRPr="007F411F" w:rsidRDefault="00BD13D9" w:rsidP="00016331">
            <w:pPr>
              <w:jc w:val="center"/>
              <w:rPr>
                <w:b/>
              </w:rPr>
            </w:pPr>
            <w:r w:rsidRPr="007F411F">
              <w:rPr>
                <w:b/>
              </w:rPr>
              <w:t>6</w:t>
            </w:r>
          </w:p>
        </w:tc>
        <w:tc>
          <w:tcPr>
            <w:tcW w:w="1680" w:type="dxa"/>
            <w:noWrap/>
            <w:hideMark/>
          </w:tcPr>
          <w:p w14:paraId="22112E3E"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4.31</w:t>
            </w:r>
          </w:p>
        </w:tc>
        <w:tc>
          <w:tcPr>
            <w:tcW w:w="1560" w:type="dxa"/>
            <w:shd w:val="clear" w:color="auto" w:fill="auto"/>
            <w:noWrap/>
            <w:hideMark/>
          </w:tcPr>
          <w:p w14:paraId="0827B221"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23.22</w:t>
            </w:r>
          </w:p>
        </w:tc>
        <w:tc>
          <w:tcPr>
            <w:tcW w:w="1680" w:type="dxa"/>
            <w:shd w:val="clear" w:color="auto" w:fill="auto"/>
            <w:noWrap/>
            <w:hideMark/>
          </w:tcPr>
          <w:p w14:paraId="75E958E7"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10.91</w:t>
            </w:r>
          </w:p>
        </w:tc>
        <w:tc>
          <w:tcPr>
            <w:tcW w:w="2101" w:type="dxa"/>
            <w:shd w:val="clear" w:color="auto" w:fill="auto"/>
            <w:noWrap/>
            <w:hideMark/>
          </w:tcPr>
          <w:p w14:paraId="1404899C"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9.05</w:t>
            </w:r>
          </w:p>
        </w:tc>
      </w:tr>
      <w:tr w:rsidR="00BD13D9" w:rsidRPr="00D172A2" w14:paraId="77EA40F0" w14:textId="77777777" w:rsidTr="00016331">
        <w:trPr>
          <w:trHeight w:val="300"/>
        </w:trPr>
        <w:tc>
          <w:tcPr>
            <w:cnfStyle w:val="001000000000" w:firstRow="0" w:lastRow="0" w:firstColumn="1" w:lastColumn="0" w:oddVBand="0" w:evenVBand="0" w:oddHBand="0" w:evenHBand="0" w:firstRowFirstColumn="0" w:firstRowLastColumn="0" w:lastRowFirstColumn="0" w:lastRowLastColumn="0"/>
            <w:tcW w:w="1054" w:type="dxa"/>
            <w:noWrap/>
            <w:hideMark/>
          </w:tcPr>
          <w:p w14:paraId="1C753A7A" w14:textId="77777777" w:rsidR="00BD13D9" w:rsidRPr="007F411F" w:rsidRDefault="00BD13D9" w:rsidP="00016331">
            <w:pPr>
              <w:jc w:val="center"/>
              <w:rPr>
                <w:b/>
              </w:rPr>
            </w:pPr>
            <w:r w:rsidRPr="007F411F">
              <w:rPr>
                <w:b/>
              </w:rPr>
              <w:t>7</w:t>
            </w:r>
          </w:p>
        </w:tc>
        <w:tc>
          <w:tcPr>
            <w:tcW w:w="1680" w:type="dxa"/>
            <w:noWrap/>
            <w:hideMark/>
          </w:tcPr>
          <w:p w14:paraId="58511058"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4.54</w:t>
            </w:r>
          </w:p>
        </w:tc>
        <w:tc>
          <w:tcPr>
            <w:tcW w:w="1560" w:type="dxa"/>
            <w:shd w:val="clear" w:color="auto" w:fill="auto"/>
            <w:noWrap/>
            <w:hideMark/>
          </w:tcPr>
          <w:p w14:paraId="38ECD863"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22.01</w:t>
            </w:r>
          </w:p>
        </w:tc>
        <w:tc>
          <w:tcPr>
            <w:tcW w:w="1680" w:type="dxa"/>
            <w:shd w:val="clear" w:color="auto" w:fill="auto"/>
            <w:noWrap/>
            <w:hideMark/>
          </w:tcPr>
          <w:p w14:paraId="71360E53"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10.34</w:t>
            </w:r>
          </w:p>
        </w:tc>
        <w:tc>
          <w:tcPr>
            <w:tcW w:w="2101" w:type="dxa"/>
            <w:shd w:val="clear" w:color="auto" w:fill="auto"/>
            <w:noWrap/>
            <w:hideMark/>
          </w:tcPr>
          <w:p w14:paraId="41D0877B"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pPr>
            <w:r w:rsidRPr="00D172A2">
              <w:t>8.58</w:t>
            </w:r>
          </w:p>
        </w:tc>
      </w:tr>
    </w:tbl>
    <w:p w14:paraId="70CA2D6C" w14:textId="2E3A9A5F" w:rsidR="00BD13D9" w:rsidRPr="00D976E7" w:rsidRDefault="00BD13D9" w:rsidP="00E962DF">
      <w:pPr>
        <w:pStyle w:val="Caption"/>
        <w:rPr>
          <w:i/>
        </w:rPr>
      </w:pPr>
      <w:bookmarkStart w:id="12" w:name="_Ref507591710"/>
      <w:r w:rsidRPr="00D976E7">
        <w:t xml:space="preserve">Table </w:t>
      </w:r>
      <w:fldSimple w:instr=" SEQ Table \* ARABIC ">
        <w:r w:rsidR="00FB3C46">
          <w:rPr>
            <w:noProof/>
          </w:rPr>
          <w:t>3</w:t>
        </w:r>
      </w:fldSimple>
      <w:bookmarkEnd w:id="12"/>
      <w:r>
        <w:t xml:space="preserve"> – Calculated </w:t>
      </w:r>
      <w:r w:rsidR="007F411F">
        <w:t>d</w:t>
      </w:r>
      <w:r>
        <w:t xml:space="preserve">ent </w:t>
      </w:r>
      <w:r w:rsidR="007F411F">
        <w:t>s</w:t>
      </w:r>
      <w:r>
        <w:t xml:space="preserve">tress </w:t>
      </w:r>
      <w:r w:rsidR="007F411F">
        <w:t>c</w:t>
      </w:r>
      <w:r>
        <w:t>ycle</w:t>
      </w:r>
      <w:r w:rsidRPr="00D976E7">
        <w:t xml:space="preserve"> </w:t>
      </w:r>
      <w:r w:rsidR="007F411F">
        <w:t>e</w:t>
      </w:r>
      <w:r>
        <w:t xml:space="preserve">ndurance </w:t>
      </w:r>
      <w:r w:rsidR="007F411F">
        <w:t>l</w:t>
      </w:r>
      <w:r>
        <w:t>imits</w:t>
      </w:r>
    </w:p>
    <w:p w14:paraId="173D7A5A" w14:textId="68FA3525" w:rsidR="00BD13D9" w:rsidRPr="00A20D08" w:rsidRDefault="00BD13D9" w:rsidP="00BD13D9">
      <w:pPr>
        <w:pStyle w:val="BodyText"/>
      </w:pPr>
      <w:r>
        <w:t xml:space="preserve">It is noted that the values in </w:t>
      </w:r>
      <w:r w:rsidRPr="00A02338">
        <w:fldChar w:fldCharType="begin"/>
      </w:r>
      <w:r w:rsidRPr="00A02338">
        <w:instrText xml:space="preserve"> REF _Ref508023451 \h  \* MERGEFORMAT </w:instrText>
      </w:r>
      <w:r w:rsidRPr="00A02338">
        <w:fldChar w:fldCharType="separate"/>
      </w:r>
      <w:r w:rsidR="00FB3C46" w:rsidRPr="00E62EEC">
        <w:t xml:space="preserve">Figure </w:t>
      </w:r>
      <w:r w:rsidR="00FB3C46">
        <w:rPr>
          <w:noProof/>
        </w:rPr>
        <w:t>4</w:t>
      </w:r>
      <w:r w:rsidRPr="00A02338">
        <w:fldChar w:fldCharType="end"/>
      </w:r>
      <w:r>
        <w:t xml:space="preserve"> and </w:t>
      </w:r>
      <w:r w:rsidRPr="00B43B48">
        <w:fldChar w:fldCharType="begin"/>
      </w:r>
      <w:r w:rsidRPr="00B43B48">
        <w:instrText xml:space="preserve"> REF _Ref507591710 \h  \* MERGEFORMAT </w:instrText>
      </w:r>
      <w:r w:rsidRPr="00B43B48">
        <w:fldChar w:fldCharType="separate"/>
      </w:r>
      <w:r w:rsidR="00FB3C46" w:rsidRPr="00D976E7">
        <w:t xml:space="preserve">Table </w:t>
      </w:r>
      <w:r w:rsidR="00FB3C46">
        <w:rPr>
          <w:noProof/>
        </w:rPr>
        <w:t>3</w:t>
      </w:r>
      <w:r w:rsidRPr="00B43B48">
        <w:fldChar w:fldCharType="end"/>
      </w:r>
      <w:r>
        <w:t xml:space="preserve"> refer to the</w:t>
      </w:r>
      <w:r w:rsidRPr="00917F8C">
        <w:t xml:space="preserve"> normal cyclic stress range</w:t>
      </w:r>
      <w:r>
        <w:t xml:space="preserve"> which would be</w:t>
      </w:r>
      <w:r w:rsidRPr="00917F8C">
        <w:t xml:space="preserve"> experienced </w:t>
      </w:r>
      <w:r>
        <w:t>in</w:t>
      </w:r>
      <w:r w:rsidRPr="00917F8C">
        <w:t xml:space="preserve"> undented</w:t>
      </w:r>
      <w:r>
        <w:t xml:space="preserve"> sections of the</w:t>
      </w:r>
      <w:r w:rsidRPr="00917F8C">
        <w:t xml:space="preserve"> pipeline</w:t>
      </w:r>
      <w:r>
        <w:t xml:space="preserve"> (i.e. a direct conversion from the operating pressure using Barlow’s formula). </w:t>
      </w:r>
      <w:r w:rsidRPr="00A02338">
        <w:fldChar w:fldCharType="begin"/>
      </w:r>
      <w:r w:rsidRPr="00A02338">
        <w:instrText xml:space="preserve"> REF _Ref508023451 \h  \* MERGEFORMAT </w:instrText>
      </w:r>
      <w:r w:rsidRPr="00A02338">
        <w:fldChar w:fldCharType="separate"/>
      </w:r>
      <w:r w:rsidR="00FB3C46" w:rsidRPr="00E62EEC">
        <w:t xml:space="preserve">Figure </w:t>
      </w:r>
      <w:r w:rsidR="00FB3C46">
        <w:rPr>
          <w:noProof/>
        </w:rPr>
        <w:t>4</w:t>
      </w:r>
      <w:r w:rsidRPr="00A02338">
        <w:fldChar w:fldCharType="end"/>
      </w:r>
      <w:r>
        <w:t xml:space="preserve"> and </w:t>
      </w:r>
      <w:r w:rsidRPr="00B43B48">
        <w:fldChar w:fldCharType="begin"/>
      </w:r>
      <w:r w:rsidRPr="00B43B48">
        <w:instrText xml:space="preserve"> REF _Ref507591710 \h  \* MERGEFORMAT </w:instrText>
      </w:r>
      <w:r w:rsidRPr="00B43B48">
        <w:fldChar w:fldCharType="separate"/>
      </w:r>
      <w:r w:rsidR="00FB3C46" w:rsidRPr="00D976E7">
        <w:t xml:space="preserve">Table </w:t>
      </w:r>
      <w:r w:rsidR="00FB3C46">
        <w:rPr>
          <w:noProof/>
        </w:rPr>
        <w:t>3</w:t>
      </w:r>
      <w:r w:rsidRPr="00B43B48">
        <w:fldChar w:fldCharType="end"/>
      </w:r>
      <w:r>
        <w:t xml:space="preserve"> indicate that for the largest acceptable plain dent under the UKOPA guidance (7% OD), fatigue damage will not occur provided the magnitude of stress cycle is below 22.01 Nmm</w:t>
      </w:r>
      <w:r>
        <w:rPr>
          <w:vertAlign w:val="superscript"/>
        </w:rPr>
        <w:t>-2</w:t>
      </w:r>
      <w:r>
        <w:t>.</w:t>
      </w:r>
      <w:r w:rsidRPr="00271683">
        <w:t xml:space="preserve"> </w:t>
      </w:r>
      <w:r>
        <w:t>This limit increases non-linearly as dent depth decreases such that a plain dent of depth 1% OD can withstand a stress cycle more than double (46.81 Nmm</w:t>
      </w:r>
      <w:r w:rsidRPr="00271683">
        <w:rPr>
          <w:vertAlign w:val="superscript"/>
        </w:rPr>
        <w:t>-2</w:t>
      </w:r>
      <w:r>
        <w:t xml:space="preserve">) that of a 7% OD dent before fatigue damage takes place. </w:t>
      </w:r>
      <w:r>
        <w:lastRenderedPageBreak/>
        <w:t>For dents on seam welds the endurance limits are significantly lower than for plain pipe; the calculated stress cycle for a 7% OD dent on a seam weld (10.34 Nmm</w:t>
      </w:r>
      <w:r>
        <w:rPr>
          <w:vertAlign w:val="superscript"/>
        </w:rPr>
        <w:t>-2</w:t>
      </w:r>
      <w:r>
        <w:t>) is less than half that of a plain dent of equal depth. Furthermore, the stress cycle for a 1% OD dent on a seam weld (22.00 Nmm</w:t>
      </w:r>
      <w:r>
        <w:rPr>
          <w:vertAlign w:val="superscript"/>
        </w:rPr>
        <w:t>-2</w:t>
      </w:r>
      <w:r>
        <w:t>) is comparable with that of a 7% OD plain dent. Dents on girth welds show the lowest calculated endurance limits overall with a 7% OD dent on a girth weld only able to withstand a stress cycle of 8.58 Nmm</w:t>
      </w:r>
      <w:r w:rsidRPr="00A20D08">
        <w:rPr>
          <w:vertAlign w:val="superscript"/>
        </w:rPr>
        <w:t>-2</w:t>
      </w:r>
      <w:r>
        <w:t>. This rises to 18.26 Nmm</w:t>
      </w:r>
      <w:r>
        <w:rPr>
          <w:vertAlign w:val="superscript"/>
        </w:rPr>
        <w:t>-2</w:t>
      </w:r>
      <w:r>
        <w:t xml:space="preserve"> as dent depth is reduced to 1% OD. It is noted that from </w:t>
      </w:r>
      <w:r w:rsidRPr="00A02338">
        <w:fldChar w:fldCharType="begin"/>
      </w:r>
      <w:r w:rsidRPr="00A02338">
        <w:instrText xml:space="preserve"> REF _Ref508023451 \h  \* MERGEFORMAT </w:instrText>
      </w:r>
      <w:r w:rsidRPr="00A02338">
        <w:fldChar w:fldCharType="separate"/>
      </w:r>
      <w:r w:rsidR="00FB3C46" w:rsidRPr="00E62EEC">
        <w:t xml:space="preserve">Figure </w:t>
      </w:r>
      <w:r w:rsidR="00FB3C46">
        <w:rPr>
          <w:noProof/>
        </w:rPr>
        <w:t>4</w:t>
      </w:r>
      <w:r w:rsidRPr="00A02338">
        <w:fldChar w:fldCharType="end"/>
      </w:r>
      <w:r>
        <w:t xml:space="preserve"> and </w:t>
      </w:r>
      <w:r w:rsidRPr="00904980">
        <w:fldChar w:fldCharType="begin"/>
      </w:r>
      <w:r w:rsidRPr="00904980">
        <w:instrText xml:space="preserve"> REF _Ref507591710 \h  \* MERGEFORMAT </w:instrText>
      </w:r>
      <w:r w:rsidRPr="00904980">
        <w:fldChar w:fldCharType="separate"/>
      </w:r>
      <w:r w:rsidR="00FB3C46" w:rsidRPr="00D976E7">
        <w:t xml:space="preserve">Table </w:t>
      </w:r>
      <w:r w:rsidR="00FB3C46">
        <w:rPr>
          <w:noProof/>
        </w:rPr>
        <w:t>3</w:t>
      </w:r>
      <w:r w:rsidRPr="00904980">
        <w:fldChar w:fldCharType="end"/>
      </w:r>
      <w:r>
        <w:t xml:space="preserve">, only </w:t>
      </w:r>
      <w:r w:rsidRPr="00B4446D">
        <w:t xml:space="preserve">dents of depth 1% OD and 2% OD located in plain pipe have a calculated endurance limit </w:t>
      </w:r>
      <w:r>
        <w:t>in</w:t>
      </w:r>
      <w:r w:rsidRPr="00B4446D">
        <w:t xml:space="preserve"> exce</w:t>
      </w:r>
      <w:r>
        <w:t>s</w:t>
      </w:r>
      <w:r w:rsidRPr="00B4446D">
        <w:t>s</w:t>
      </w:r>
      <w:r>
        <w:t xml:space="preserve"> of</w:t>
      </w:r>
      <w:r w:rsidRPr="00B4446D">
        <w:t xml:space="preserve"> the 35 Nmm</w:t>
      </w:r>
      <w:r w:rsidRPr="00B4446D">
        <w:rPr>
          <w:vertAlign w:val="superscript"/>
        </w:rPr>
        <w:t>-2</w:t>
      </w:r>
      <w:r w:rsidRPr="00B4446D">
        <w:t xml:space="preserve"> endurance limit for pipelines at the design stage stated in IGEM/TD/1. This point is addressed in Section 7.</w:t>
      </w:r>
    </w:p>
    <w:p w14:paraId="2C8B9AC0" w14:textId="55C13B4F" w:rsidR="00BD13D9" w:rsidRDefault="00BD13D9" w:rsidP="00BD13D9">
      <w:pPr>
        <w:pStyle w:val="BodyText"/>
      </w:pPr>
      <w:r>
        <w:t xml:space="preserve">Following the completion of a dent fatigue assessment using BS 7608 and the GL Noble Denton SCF, the UKOPA </w:t>
      </w:r>
      <w:r w:rsidR="005B2DC4">
        <w:t>dent management strategy</w:t>
      </w:r>
      <w:r>
        <w:t xml:space="preserve"> recommends that a safety factor of 10 is applied to the calculated value of fatigue life. The safety factor is applied because pipelines are non-redundant structures and are not readily accessible for the detection of fatigue cracking during operation. Additionally, the S-N curves are derived empirically, and experimental fatigue test data is subject to considerable scatter.  Applying the safety factor:</w:t>
      </w:r>
    </w:p>
    <w:p w14:paraId="02BC793E" w14:textId="77777777" w:rsidR="00BD13D9" w:rsidRDefault="00377F06" w:rsidP="00016331">
      <w:pPr>
        <w:pStyle w:val="BodyText"/>
        <w:jc w:val="center"/>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SF</m:t>
            </m:r>
          </m:sub>
        </m:sSub>
        <m:r>
          <w:rPr>
            <w:rFonts w:ascii="Cambria Math" w:hAnsi="Cambria Math"/>
          </w:rPr>
          <m:t>=</m:t>
        </m:r>
        <m:f>
          <m:fPr>
            <m:ctrlPr>
              <w:rPr>
                <w:rFonts w:ascii="Cambria Math" w:hAnsi="Cambria Math"/>
                <w:i/>
              </w:rPr>
            </m:ctrlPr>
          </m:fPr>
          <m:num>
            <m:r>
              <w:rPr>
                <w:rFonts w:ascii="Cambria Math" w:hAnsi="Cambria Math"/>
              </w:rPr>
              <m:t>N</m:t>
            </m:r>
          </m:num>
          <m:den>
            <m:r>
              <w:rPr>
                <w:rFonts w:ascii="Cambria Math" w:hAnsi="Cambria Math"/>
              </w:rPr>
              <m:t>10</m:t>
            </m:r>
          </m:den>
        </m:f>
      </m:oMath>
      <w:r w:rsidR="00BD13D9">
        <w:rPr>
          <w:rFonts w:eastAsiaTheme="minorEastAsia"/>
        </w:rPr>
        <w:tab/>
        <w:t>(7)</w:t>
      </w:r>
    </w:p>
    <w:p w14:paraId="1383E990" w14:textId="77777777" w:rsidR="00BD13D9" w:rsidRDefault="00BD13D9" w:rsidP="00BD13D9">
      <w:pPr>
        <w:pStyle w:val="BodyText"/>
      </w:pPr>
      <w:r>
        <w:t xml:space="preserve">Where </w:t>
      </w:r>
      <w:r w:rsidRPr="0077112B">
        <w:rPr>
          <w:rFonts w:ascii="Cambria Math" w:hAnsi="Cambria Math"/>
          <w:i/>
        </w:rPr>
        <w:t>N</w:t>
      </w:r>
      <w:r w:rsidRPr="0077112B">
        <w:rPr>
          <w:rFonts w:ascii="Cambria Math" w:hAnsi="Cambria Math"/>
          <w:i/>
          <w:vertAlign w:val="subscript"/>
        </w:rPr>
        <w:t>SF</w:t>
      </w:r>
      <w:r>
        <w:t xml:space="preserve"> is the number of allowable cycles with the safety factor applied. Equation (3) therefore becomes:</w:t>
      </w:r>
    </w:p>
    <w:p w14:paraId="46A3E8F8" w14:textId="77777777" w:rsidR="00BD13D9" w:rsidRDefault="00BD13D9" w:rsidP="00016331">
      <w:pPr>
        <w:pStyle w:val="BodyText"/>
        <w:jc w:val="center"/>
        <w:rPr>
          <w:rFonts w:eastAsiaTheme="minorEastAsia"/>
        </w:rPr>
      </w:pPr>
      <m:oMath>
        <m:r>
          <w:rPr>
            <w:rFonts w:ascii="Cambria Math" w:hAnsi="Cambria Math"/>
          </w:rPr>
          <m:t>C=</m:t>
        </m:r>
        <m:sSup>
          <m:sSupPr>
            <m:ctrlPr>
              <w:rPr>
                <w:rFonts w:ascii="Cambria Math" w:hAnsi="Cambria Math"/>
                <w:i/>
              </w:rPr>
            </m:ctrlPr>
          </m:sSupPr>
          <m:e>
            <m:r>
              <w:rPr>
                <w:rFonts w:ascii="Cambria Math" w:hAnsi="Cambria Math"/>
              </w:rPr>
              <m:t>(∆σ)</m:t>
            </m:r>
          </m:e>
          <m:sup>
            <m:r>
              <w:rPr>
                <w:rFonts w:ascii="Cambria Math" w:hAnsi="Cambria Math"/>
              </w:rPr>
              <m:t>m</m:t>
            </m:r>
          </m:sup>
        </m:sSup>
        <m:r>
          <w:rPr>
            <w:rFonts w:ascii="Cambria Math" w:hAnsi="Cambria Math"/>
          </w:rPr>
          <m:t>.</m:t>
        </m:r>
        <m:sSub>
          <m:sSubPr>
            <m:ctrlPr>
              <w:rPr>
                <w:rFonts w:ascii="Cambria Math" w:hAnsi="Cambria Math"/>
                <w:i/>
              </w:rPr>
            </m:ctrlPr>
          </m:sSubPr>
          <m:e>
            <m:r>
              <w:rPr>
                <w:rFonts w:ascii="Cambria Math" w:hAnsi="Cambria Math"/>
              </w:rPr>
              <m:t>10N</m:t>
            </m:r>
          </m:e>
          <m:sub>
            <m:r>
              <w:rPr>
                <w:rFonts w:ascii="Cambria Math" w:hAnsi="Cambria Math"/>
              </w:rPr>
              <m:t>SF</m:t>
            </m:r>
          </m:sub>
        </m:sSub>
      </m:oMath>
      <w:r>
        <w:rPr>
          <w:rFonts w:eastAsiaTheme="minorEastAsia"/>
        </w:rPr>
        <w:tab/>
        <w:t>(8)</w:t>
      </w:r>
    </w:p>
    <w:p w14:paraId="192D50A8" w14:textId="77777777" w:rsidR="00BD13D9" w:rsidRPr="00796806" w:rsidRDefault="00BD13D9" w:rsidP="00BD13D9">
      <w:pPr>
        <w:pStyle w:val="BodyText"/>
      </w:pPr>
      <w:r>
        <w:t>And rearranging to for the stress range gives:</w:t>
      </w:r>
    </w:p>
    <w:p w14:paraId="7A7BF958" w14:textId="77777777" w:rsidR="00BD13D9" w:rsidRDefault="00BD13D9" w:rsidP="00016331">
      <w:pPr>
        <w:pStyle w:val="BodyText"/>
        <w:jc w:val="center"/>
        <w:rPr>
          <w:rFonts w:eastAsiaTheme="minorEastAsia"/>
        </w:rPr>
      </w:pPr>
      <m:oMath>
        <m:r>
          <w:rPr>
            <w:rFonts w:ascii="Cambria Math" w:hAnsi="Cambria Math"/>
          </w:rPr>
          <m:t>∆σ=</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C</m:t>
                    </m:r>
                  </m:num>
                  <m:den>
                    <m:sSub>
                      <m:sSubPr>
                        <m:ctrlPr>
                          <w:rPr>
                            <w:rFonts w:ascii="Cambria Math" w:hAnsi="Cambria Math"/>
                            <w:i/>
                          </w:rPr>
                        </m:ctrlPr>
                      </m:sSubPr>
                      <m:e>
                        <m:r>
                          <w:rPr>
                            <w:rFonts w:ascii="Cambria Math" w:hAnsi="Cambria Math"/>
                          </w:rPr>
                          <m:t>10N</m:t>
                        </m:r>
                      </m:e>
                      <m:sub>
                        <m:r>
                          <w:rPr>
                            <w:rFonts w:ascii="Cambria Math" w:hAnsi="Cambria Math"/>
                          </w:rPr>
                          <m:t>SF</m:t>
                        </m:r>
                      </m:sub>
                    </m:sSub>
                  </m:den>
                </m:f>
              </m:e>
            </m:d>
          </m:e>
          <m:sup>
            <m:f>
              <m:fPr>
                <m:ctrlPr>
                  <w:rPr>
                    <w:rFonts w:ascii="Cambria Math" w:hAnsi="Cambria Math"/>
                    <w:i/>
                  </w:rPr>
                </m:ctrlPr>
              </m:fPr>
              <m:num>
                <m:r>
                  <w:rPr>
                    <w:rFonts w:ascii="Cambria Math" w:hAnsi="Cambria Math"/>
                  </w:rPr>
                  <m:t>1</m:t>
                </m:r>
              </m:num>
              <m:den>
                <m:r>
                  <w:rPr>
                    <w:rFonts w:ascii="Cambria Math" w:hAnsi="Cambria Math"/>
                  </w:rPr>
                  <m:t>m</m:t>
                </m:r>
              </m:den>
            </m:f>
          </m:sup>
        </m:sSup>
      </m:oMath>
      <w:r>
        <w:rPr>
          <w:rFonts w:eastAsiaTheme="minorEastAsia"/>
        </w:rPr>
        <w:tab/>
      </w:r>
      <w:r>
        <w:rPr>
          <w:rFonts w:eastAsiaTheme="minorEastAsia"/>
        </w:rPr>
        <w:tab/>
        <w:t>(9)</w:t>
      </w:r>
    </w:p>
    <w:p w14:paraId="0119ADA4" w14:textId="5CDA0C83" w:rsidR="00BD13D9" w:rsidRDefault="00BD13D9" w:rsidP="00BD13D9">
      <w:pPr>
        <w:pStyle w:val="BodyText"/>
        <w:rPr>
          <w:highlight w:val="yellow"/>
        </w:rPr>
      </w:pPr>
      <w:r>
        <w:t xml:space="preserve">The endurance limits for the BS 7608 S-N curves with a safety factor applied can be derived by setting </w:t>
      </w:r>
      <w:r w:rsidRPr="0077112B">
        <w:rPr>
          <w:rFonts w:ascii="Cambria Math" w:hAnsi="Cambria Math"/>
          <w:i/>
        </w:rPr>
        <w:t>N</w:t>
      </w:r>
      <w:r w:rsidRPr="0077112B">
        <w:rPr>
          <w:rFonts w:ascii="Cambria Math" w:hAnsi="Cambria Math"/>
          <w:i/>
          <w:vertAlign w:val="subscript"/>
        </w:rPr>
        <w:t>SF</w:t>
      </w:r>
      <w:r>
        <w:t xml:space="preserve"> equal to 10</w:t>
      </w:r>
      <w:r>
        <w:rPr>
          <w:vertAlign w:val="superscript"/>
        </w:rPr>
        <w:t>7</w:t>
      </w:r>
      <w:r>
        <w:t xml:space="preserve"> and substituting the values from </w:t>
      </w:r>
      <w:r w:rsidRPr="00DA3181">
        <w:fldChar w:fldCharType="begin"/>
      </w:r>
      <w:r w:rsidRPr="00DA3181">
        <w:instrText xml:space="preserve"> REF _Ref507509809 \h  \* MERGEFORMAT </w:instrText>
      </w:r>
      <w:r w:rsidRPr="00DA3181">
        <w:fldChar w:fldCharType="separate"/>
      </w:r>
      <w:r w:rsidR="00FB3C46" w:rsidRPr="00D976E7">
        <w:t xml:space="preserve">Table </w:t>
      </w:r>
      <w:r w:rsidR="00FB3C46">
        <w:rPr>
          <w:noProof/>
        </w:rPr>
        <w:t>1</w:t>
      </w:r>
      <w:r w:rsidRPr="00DA3181">
        <w:fldChar w:fldCharType="end"/>
      </w:r>
      <w:r>
        <w:t xml:space="preserve"> into equation (9). The endurance limits with safety factor for the class B, E and F design curves are shown in </w:t>
      </w:r>
      <w:r w:rsidRPr="004F370D">
        <w:rPr>
          <w:highlight w:val="yellow"/>
        </w:rPr>
        <w:fldChar w:fldCharType="begin"/>
      </w:r>
      <w:r w:rsidRPr="004F370D">
        <w:instrText xml:space="preserve"> REF _Ref507675271 \h </w:instrText>
      </w:r>
      <w:r w:rsidRPr="004F370D">
        <w:rPr>
          <w:highlight w:val="yellow"/>
        </w:rPr>
        <w:instrText xml:space="preserve"> \* MERGEFORMAT </w:instrText>
      </w:r>
      <w:r w:rsidRPr="004F370D">
        <w:rPr>
          <w:highlight w:val="yellow"/>
        </w:rPr>
      </w:r>
      <w:r w:rsidRPr="004F370D">
        <w:rPr>
          <w:highlight w:val="yellow"/>
        </w:rPr>
        <w:fldChar w:fldCharType="separate"/>
      </w:r>
      <w:r w:rsidR="00FB3C46" w:rsidRPr="00D976E7">
        <w:t xml:space="preserve">Table </w:t>
      </w:r>
      <w:r w:rsidR="00FB3C46">
        <w:rPr>
          <w:noProof/>
        </w:rPr>
        <w:t>4</w:t>
      </w:r>
      <w:r w:rsidRPr="004F370D">
        <w:rPr>
          <w:highlight w:val="yellow"/>
        </w:rPr>
        <w:fldChar w:fldCharType="end"/>
      </w:r>
      <w:r w:rsidRPr="00A15CFD">
        <w:t>:</w:t>
      </w:r>
    </w:p>
    <w:tbl>
      <w:tblPr>
        <w:tblStyle w:val="TableGrid1"/>
        <w:tblW w:w="0" w:type="auto"/>
        <w:jc w:val="center"/>
        <w:tblLook w:val="04A0" w:firstRow="1" w:lastRow="0" w:firstColumn="1" w:lastColumn="0" w:noHBand="0" w:noVBand="1"/>
      </w:tblPr>
      <w:tblGrid>
        <w:gridCol w:w="1206"/>
        <w:gridCol w:w="750"/>
        <w:gridCol w:w="2521"/>
      </w:tblGrid>
      <w:tr w:rsidR="00BD13D9" w:rsidRPr="00083AE2" w14:paraId="21EFB888" w14:textId="77777777" w:rsidTr="00083AE2">
        <w:trPr>
          <w:trHeight w:val="340"/>
          <w:jc w:val="center"/>
        </w:trPr>
        <w:tc>
          <w:tcPr>
            <w:tcW w:w="0" w:type="auto"/>
            <w:shd w:val="clear" w:color="auto" w:fill="E5E0DB" w:themeFill="background1" w:themeFillShade="E6"/>
            <w:vAlign w:val="center"/>
          </w:tcPr>
          <w:p w14:paraId="51272C0B" w14:textId="77777777" w:rsidR="00BD13D9" w:rsidRPr="00016331" w:rsidRDefault="00BD13D9" w:rsidP="00357561">
            <w:pPr>
              <w:jc w:val="center"/>
              <w:rPr>
                <w:b/>
                <w:sz w:val="20"/>
                <w:szCs w:val="20"/>
              </w:rPr>
            </w:pPr>
            <w:r w:rsidRPr="00016331">
              <w:rPr>
                <w:b/>
                <w:sz w:val="20"/>
                <w:szCs w:val="20"/>
              </w:rPr>
              <w:t>Location</w:t>
            </w:r>
          </w:p>
        </w:tc>
        <w:tc>
          <w:tcPr>
            <w:tcW w:w="0" w:type="auto"/>
            <w:shd w:val="clear" w:color="auto" w:fill="E5E0DB" w:themeFill="background1" w:themeFillShade="E6"/>
            <w:vAlign w:val="center"/>
          </w:tcPr>
          <w:p w14:paraId="66D17611" w14:textId="77777777" w:rsidR="00BD13D9" w:rsidRPr="00016331" w:rsidRDefault="00BD13D9" w:rsidP="00357561">
            <w:pPr>
              <w:jc w:val="center"/>
              <w:rPr>
                <w:b/>
                <w:sz w:val="20"/>
                <w:szCs w:val="20"/>
              </w:rPr>
            </w:pPr>
            <w:r w:rsidRPr="00016331">
              <w:rPr>
                <w:b/>
                <w:sz w:val="20"/>
                <w:szCs w:val="20"/>
              </w:rPr>
              <w:t>Class</w:t>
            </w:r>
          </w:p>
        </w:tc>
        <w:tc>
          <w:tcPr>
            <w:tcW w:w="0" w:type="auto"/>
            <w:shd w:val="clear" w:color="auto" w:fill="E5E0DB" w:themeFill="background1" w:themeFillShade="E6"/>
            <w:vAlign w:val="center"/>
          </w:tcPr>
          <w:p w14:paraId="0CAB47D7" w14:textId="3C883A44" w:rsidR="00BD13D9" w:rsidRPr="00016331" w:rsidRDefault="00BD13D9" w:rsidP="00357561">
            <w:pPr>
              <w:jc w:val="center"/>
              <w:rPr>
                <w:b/>
                <w:sz w:val="20"/>
                <w:szCs w:val="20"/>
              </w:rPr>
            </w:pPr>
            <w:r w:rsidRPr="00016331">
              <w:rPr>
                <w:b/>
                <w:sz w:val="20"/>
                <w:szCs w:val="20"/>
              </w:rPr>
              <w:t xml:space="preserve">Endurance </w:t>
            </w:r>
            <w:r w:rsidR="007F411F">
              <w:rPr>
                <w:b/>
                <w:sz w:val="20"/>
                <w:szCs w:val="20"/>
              </w:rPr>
              <w:t>l</w:t>
            </w:r>
            <w:r w:rsidRPr="00016331">
              <w:rPr>
                <w:b/>
                <w:sz w:val="20"/>
                <w:szCs w:val="20"/>
              </w:rPr>
              <w:t>imit (Nmm</w:t>
            </w:r>
            <w:r w:rsidRPr="00A44974">
              <w:rPr>
                <w:b/>
                <w:sz w:val="20"/>
                <w:szCs w:val="20"/>
                <w:vertAlign w:val="superscript"/>
              </w:rPr>
              <w:t>-2</w:t>
            </w:r>
            <w:r w:rsidRPr="00016331">
              <w:rPr>
                <w:b/>
                <w:sz w:val="20"/>
                <w:szCs w:val="20"/>
              </w:rPr>
              <w:t>)</w:t>
            </w:r>
          </w:p>
        </w:tc>
      </w:tr>
      <w:tr w:rsidR="00BD13D9" w:rsidRPr="00083AE2" w14:paraId="08F430F1" w14:textId="77777777" w:rsidTr="00083AE2">
        <w:trPr>
          <w:trHeight w:val="340"/>
          <w:jc w:val="center"/>
        </w:trPr>
        <w:tc>
          <w:tcPr>
            <w:tcW w:w="0" w:type="auto"/>
            <w:vAlign w:val="center"/>
          </w:tcPr>
          <w:p w14:paraId="04870071" w14:textId="77777777" w:rsidR="00BD13D9" w:rsidRPr="00083AE2" w:rsidRDefault="00BD13D9" w:rsidP="00083AE2">
            <w:pPr>
              <w:rPr>
                <w:sz w:val="20"/>
                <w:szCs w:val="20"/>
              </w:rPr>
            </w:pPr>
            <w:r w:rsidRPr="00083AE2">
              <w:rPr>
                <w:sz w:val="20"/>
                <w:szCs w:val="20"/>
              </w:rPr>
              <w:t>Plain pipe</w:t>
            </w:r>
          </w:p>
        </w:tc>
        <w:tc>
          <w:tcPr>
            <w:tcW w:w="0" w:type="auto"/>
            <w:vAlign w:val="center"/>
          </w:tcPr>
          <w:p w14:paraId="4A28AA05" w14:textId="77777777" w:rsidR="00BD13D9" w:rsidRPr="00083AE2" w:rsidRDefault="00BD13D9" w:rsidP="00083AE2">
            <w:pPr>
              <w:jc w:val="center"/>
              <w:rPr>
                <w:sz w:val="20"/>
                <w:szCs w:val="20"/>
              </w:rPr>
            </w:pPr>
            <w:r w:rsidRPr="00083AE2">
              <w:rPr>
                <w:sz w:val="20"/>
                <w:szCs w:val="20"/>
              </w:rPr>
              <w:t>B</w:t>
            </w:r>
          </w:p>
        </w:tc>
        <w:tc>
          <w:tcPr>
            <w:tcW w:w="0" w:type="auto"/>
            <w:vAlign w:val="center"/>
          </w:tcPr>
          <w:p w14:paraId="150F59C9" w14:textId="77777777" w:rsidR="00BD13D9" w:rsidRPr="00083AE2" w:rsidRDefault="00BD13D9" w:rsidP="00083AE2">
            <w:pPr>
              <w:jc w:val="center"/>
              <w:rPr>
                <w:sz w:val="20"/>
                <w:szCs w:val="20"/>
              </w:rPr>
            </w:pPr>
            <w:r w:rsidRPr="00083AE2">
              <w:rPr>
                <w:sz w:val="20"/>
                <w:szCs w:val="20"/>
              </w:rPr>
              <w:t>56.4</w:t>
            </w:r>
          </w:p>
        </w:tc>
      </w:tr>
      <w:tr w:rsidR="00BD13D9" w:rsidRPr="00083AE2" w14:paraId="0616A6E1" w14:textId="77777777" w:rsidTr="00083AE2">
        <w:trPr>
          <w:trHeight w:val="340"/>
          <w:jc w:val="center"/>
        </w:trPr>
        <w:tc>
          <w:tcPr>
            <w:tcW w:w="0" w:type="auto"/>
            <w:vAlign w:val="center"/>
          </w:tcPr>
          <w:p w14:paraId="1B063484" w14:textId="77777777" w:rsidR="00BD13D9" w:rsidRPr="00083AE2" w:rsidRDefault="00BD13D9" w:rsidP="00083AE2">
            <w:pPr>
              <w:rPr>
                <w:sz w:val="20"/>
                <w:szCs w:val="20"/>
              </w:rPr>
            </w:pPr>
            <w:r w:rsidRPr="00083AE2">
              <w:rPr>
                <w:sz w:val="20"/>
                <w:szCs w:val="20"/>
              </w:rPr>
              <w:t>Seam weld</w:t>
            </w:r>
          </w:p>
        </w:tc>
        <w:tc>
          <w:tcPr>
            <w:tcW w:w="0" w:type="auto"/>
            <w:vAlign w:val="center"/>
          </w:tcPr>
          <w:p w14:paraId="581970D0" w14:textId="77777777" w:rsidR="00BD13D9" w:rsidRPr="00083AE2" w:rsidRDefault="00BD13D9" w:rsidP="00083AE2">
            <w:pPr>
              <w:jc w:val="center"/>
              <w:rPr>
                <w:sz w:val="20"/>
                <w:szCs w:val="20"/>
              </w:rPr>
            </w:pPr>
            <w:r w:rsidRPr="00083AE2">
              <w:rPr>
                <w:sz w:val="20"/>
                <w:szCs w:val="20"/>
              </w:rPr>
              <w:t>E</w:t>
            </w:r>
          </w:p>
        </w:tc>
        <w:tc>
          <w:tcPr>
            <w:tcW w:w="0" w:type="auto"/>
            <w:vAlign w:val="center"/>
          </w:tcPr>
          <w:p w14:paraId="6309B2A1" w14:textId="77777777" w:rsidR="00BD13D9" w:rsidRPr="00083AE2" w:rsidRDefault="00BD13D9" w:rsidP="00083AE2">
            <w:pPr>
              <w:jc w:val="center"/>
              <w:rPr>
                <w:sz w:val="20"/>
                <w:szCs w:val="20"/>
              </w:rPr>
            </w:pPr>
            <w:r w:rsidRPr="00083AE2">
              <w:rPr>
                <w:sz w:val="20"/>
                <w:szCs w:val="20"/>
              </w:rPr>
              <w:t>21.8</w:t>
            </w:r>
          </w:p>
        </w:tc>
      </w:tr>
      <w:tr w:rsidR="00BD13D9" w:rsidRPr="00083AE2" w14:paraId="2ACADDD3" w14:textId="77777777" w:rsidTr="00083AE2">
        <w:trPr>
          <w:trHeight w:val="340"/>
          <w:jc w:val="center"/>
        </w:trPr>
        <w:tc>
          <w:tcPr>
            <w:tcW w:w="0" w:type="auto"/>
            <w:vAlign w:val="center"/>
          </w:tcPr>
          <w:p w14:paraId="2E0CB7CB" w14:textId="77777777" w:rsidR="00BD13D9" w:rsidRPr="00083AE2" w:rsidRDefault="00BD13D9" w:rsidP="00083AE2">
            <w:pPr>
              <w:rPr>
                <w:sz w:val="20"/>
                <w:szCs w:val="20"/>
              </w:rPr>
            </w:pPr>
            <w:r w:rsidRPr="00083AE2">
              <w:rPr>
                <w:sz w:val="20"/>
                <w:szCs w:val="20"/>
              </w:rPr>
              <w:t>Girth weld</w:t>
            </w:r>
          </w:p>
        </w:tc>
        <w:tc>
          <w:tcPr>
            <w:tcW w:w="0" w:type="auto"/>
            <w:vAlign w:val="center"/>
          </w:tcPr>
          <w:p w14:paraId="38F3A71C" w14:textId="77777777" w:rsidR="00BD13D9" w:rsidRPr="00083AE2" w:rsidRDefault="00BD13D9" w:rsidP="00083AE2">
            <w:pPr>
              <w:jc w:val="center"/>
              <w:rPr>
                <w:sz w:val="20"/>
                <w:szCs w:val="20"/>
              </w:rPr>
            </w:pPr>
            <w:r w:rsidRPr="00083AE2">
              <w:rPr>
                <w:sz w:val="20"/>
                <w:szCs w:val="20"/>
              </w:rPr>
              <w:t>F</w:t>
            </w:r>
          </w:p>
        </w:tc>
        <w:tc>
          <w:tcPr>
            <w:tcW w:w="0" w:type="auto"/>
            <w:vAlign w:val="center"/>
          </w:tcPr>
          <w:p w14:paraId="765EB822" w14:textId="77777777" w:rsidR="00BD13D9" w:rsidRPr="00083AE2" w:rsidRDefault="00BD13D9" w:rsidP="00083AE2">
            <w:pPr>
              <w:jc w:val="center"/>
              <w:rPr>
                <w:sz w:val="20"/>
                <w:szCs w:val="20"/>
              </w:rPr>
            </w:pPr>
            <w:r w:rsidRPr="00083AE2">
              <w:rPr>
                <w:sz w:val="20"/>
                <w:szCs w:val="20"/>
              </w:rPr>
              <w:t>18.5</w:t>
            </w:r>
          </w:p>
        </w:tc>
      </w:tr>
    </w:tbl>
    <w:p w14:paraId="43ACA9AA" w14:textId="6348A61E" w:rsidR="00BD13D9" w:rsidRPr="00D976E7" w:rsidRDefault="00BD13D9" w:rsidP="00E962DF">
      <w:pPr>
        <w:pStyle w:val="Caption"/>
        <w:rPr>
          <w:i/>
        </w:rPr>
      </w:pPr>
      <w:bookmarkStart w:id="13" w:name="_Ref507675271"/>
      <w:r w:rsidRPr="00D976E7">
        <w:t xml:space="preserve">Table </w:t>
      </w:r>
      <w:fldSimple w:instr=" SEQ Table \* ARABIC ">
        <w:r w:rsidR="00FB3C46">
          <w:rPr>
            <w:noProof/>
          </w:rPr>
          <w:t>4</w:t>
        </w:r>
      </w:fldSimple>
      <w:bookmarkEnd w:id="13"/>
      <w:r>
        <w:t xml:space="preserve"> – </w:t>
      </w:r>
      <w:r w:rsidRPr="00D976E7">
        <w:t xml:space="preserve">S-N </w:t>
      </w:r>
      <w:r w:rsidR="007F411F">
        <w:t>c</w:t>
      </w:r>
      <w:r w:rsidRPr="00D976E7">
        <w:t xml:space="preserve">urve </w:t>
      </w:r>
      <w:r w:rsidR="007F411F">
        <w:t>e</w:t>
      </w:r>
      <w:r>
        <w:t xml:space="preserve">ndurance </w:t>
      </w:r>
      <w:r w:rsidR="007F411F">
        <w:t>l</w:t>
      </w:r>
      <w:r>
        <w:t xml:space="preserve">imits with </w:t>
      </w:r>
      <w:r w:rsidR="007F411F">
        <w:t>s</w:t>
      </w:r>
      <w:r>
        <w:t xml:space="preserve">afety </w:t>
      </w:r>
      <w:r w:rsidR="007F411F">
        <w:t>f</w:t>
      </w:r>
      <w:r>
        <w:t>actor</w:t>
      </w:r>
    </w:p>
    <w:p w14:paraId="51F5B992" w14:textId="565F4DF1" w:rsidR="00BD13D9" w:rsidRDefault="00BD13D9" w:rsidP="00BD13D9">
      <w:pPr>
        <w:pStyle w:val="BodyText"/>
      </w:pPr>
      <w:r>
        <w:t xml:space="preserve">From </w:t>
      </w:r>
      <w:r w:rsidRPr="00430C78">
        <w:fldChar w:fldCharType="begin"/>
      </w:r>
      <w:r w:rsidRPr="00430C78">
        <w:instrText xml:space="preserve"> REF _Ref507675271 \h  \* MERGEFORMAT </w:instrText>
      </w:r>
      <w:r w:rsidRPr="00430C78">
        <w:fldChar w:fldCharType="separate"/>
      </w:r>
      <w:r w:rsidR="00FB3C46" w:rsidRPr="00D976E7">
        <w:t xml:space="preserve">Table </w:t>
      </w:r>
      <w:r w:rsidR="00FB3C46">
        <w:rPr>
          <w:noProof/>
        </w:rPr>
        <w:t>4</w:t>
      </w:r>
      <w:r w:rsidRPr="00430C78">
        <w:fldChar w:fldCharType="end"/>
      </w:r>
      <w:r>
        <w:t xml:space="preserve"> and equation (6),</w:t>
      </w:r>
      <w:r w:rsidRPr="00430C78">
        <w:t xml:space="preserve"> </w:t>
      </w:r>
      <w:r>
        <w:t xml:space="preserve">values for the endurance limits of dented pipelines in plain pipe, the seam weld and the girth weld, with a safety factor applied, can be calculated. The values are shown in </w:t>
      </w:r>
      <w:r w:rsidRPr="005E6644">
        <w:fldChar w:fldCharType="begin"/>
      </w:r>
      <w:r w:rsidRPr="005E6644">
        <w:instrText xml:space="preserve"> REF _Ref508023845 \h  \* MERGEFORMAT </w:instrText>
      </w:r>
      <w:r w:rsidRPr="005E6644">
        <w:fldChar w:fldCharType="separate"/>
      </w:r>
      <w:r w:rsidR="00FB3C46" w:rsidRPr="00E62EEC">
        <w:t xml:space="preserve">Figure </w:t>
      </w:r>
      <w:r w:rsidR="00FB3C46">
        <w:rPr>
          <w:noProof/>
        </w:rPr>
        <w:t>5</w:t>
      </w:r>
      <w:r w:rsidRPr="005E6644">
        <w:fldChar w:fldCharType="end"/>
      </w:r>
      <w:r>
        <w:t xml:space="preserve"> and </w:t>
      </w:r>
      <w:r w:rsidRPr="00D125E4">
        <w:fldChar w:fldCharType="begin"/>
      </w:r>
      <w:r w:rsidRPr="00D125E4">
        <w:instrText xml:space="preserve"> REF _Ref507676036 \h  \* MERGEFORMAT </w:instrText>
      </w:r>
      <w:r w:rsidRPr="00D125E4">
        <w:fldChar w:fldCharType="separate"/>
      </w:r>
      <w:r w:rsidR="00FB3C46" w:rsidRPr="00D976E7">
        <w:t xml:space="preserve">Table </w:t>
      </w:r>
      <w:r w:rsidR="00FB3C46">
        <w:rPr>
          <w:noProof/>
        </w:rPr>
        <w:t>5</w:t>
      </w:r>
      <w:r w:rsidRPr="00D125E4">
        <w:fldChar w:fldCharType="end"/>
      </w:r>
      <w:r>
        <w:t xml:space="preserve"> and </w:t>
      </w:r>
      <w:r w:rsidRPr="00D125E4">
        <w:t>consider dents up to 7% OD</w:t>
      </w:r>
      <w:r>
        <w:t>.</w:t>
      </w:r>
    </w:p>
    <w:p w14:paraId="5ADCF592" w14:textId="77777777" w:rsidR="00BD13D9" w:rsidRDefault="00BD13D9" w:rsidP="00083AE2">
      <w:pPr>
        <w:pStyle w:val="BodyText"/>
        <w:ind w:left="0"/>
      </w:pPr>
      <w:r>
        <w:rPr>
          <w:noProof/>
          <w:lang w:val="en-US" w:eastAsia="zh-CN"/>
        </w:rPr>
        <w:lastRenderedPageBreak/>
        <w:drawing>
          <wp:inline distT="0" distB="0" distL="0" distR="0" wp14:anchorId="2F67CCAE" wp14:editId="444502C4">
            <wp:extent cx="5685971" cy="41336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1145" cy="4137426"/>
                    </a:xfrm>
                    <a:prstGeom prst="rect">
                      <a:avLst/>
                    </a:prstGeom>
                    <a:noFill/>
                  </pic:spPr>
                </pic:pic>
              </a:graphicData>
            </a:graphic>
          </wp:inline>
        </w:drawing>
      </w:r>
    </w:p>
    <w:p w14:paraId="69C5D294" w14:textId="026F11FE" w:rsidR="00BD13D9" w:rsidRPr="00E62EEC" w:rsidRDefault="00BD13D9" w:rsidP="00E962DF">
      <w:pPr>
        <w:pStyle w:val="Caption"/>
        <w:rPr>
          <w:i/>
        </w:rPr>
      </w:pPr>
      <w:bookmarkStart w:id="14" w:name="_Ref508023845"/>
      <w:r w:rsidRPr="00E62EEC">
        <w:t xml:space="preserve">Figure </w:t>
      </w:r>
      <w:fldSimple w:instr=" SEQ Figure \* ARABIC ">
        <w:r w:rsidR="00FB3C46">
          <w:rPr>
            <w:noProof/>
          </w:rPr>
          <w:t>5</w:t>
        </w:r>
      </w:fldSimple>
      <w:bookmarkEnd w:id="14"/>
      <w:r w:rsidRPr="00E62EEC">
        <w:t xml:space="preserve"> – </w:t>
      </w:r>
      <w:r>
        <w:t xml:space="preserve">Calculated </w:t>
      </w:r>
      <w:r w:rsidR="007F411F">
        <w:t>d</w:t>
      </w:r>
      <w:r>
        <w:t xml:space="preserve">ent </w:t>
      </w:r>
      <w:r w:rsidR="007F411F">
        <w:t>s</w:t>
      </w:r>
      <w:r>
        <w:t xml:space="preserve">tress </w:t>
      </w:r>
      <w:r w:rsidR="007F411F">
        <w:t>c</w:t>
      </w:r>
      <w:r>
        <w:t xml:space="preserve">ycle </w:t>
      </w:r>
      <w:r w:rsidR="007F411F">
        <w:t>e</w:t>
      </w:r>
      <w:r>
        <w:t xml:space="preserve">ndurance </w:t>
      </w:r>
      <w:r w:rsidR="007F411F">
        <w:t>l</w:t>
      </w:r>
      <w:r>
        <w:t xml:space="preserve">imits with </w:t>
      </w:r>
      <w:r w:rsidR="007F411F">
        <w:t>s</w:t>
      </w:r>
      <w:r>
        <w:t xml:space="preserve">afety </w:t>
      </w:r>
      <w:r w:rsidR="007F411F">
        <w:t>f</w:t>
      </w:r>
      <w:r>
        <w:t>actor</w:t>
      </w:r>
    </w:p>
    <w:tbl>
      <w:tblPr>
        <w:tblStyle w:val="TableGrid"/>
        <w:tblW w:w="0" w:type="auto"/>
        <w:tblLook w:val="04A0" w:firstRow="1" w:lastRow="0" w:firstColumn="1" w:lastColumn="0" w:noHBand="0" w:noVBand="1"/>
      </w:tblPr>
      <w:tblGrid>
        <w:gridCol w:w="1276"/>
        <w:gridCol w:w="1038"/>
        <w:gridCol w:w="1560"/>
        <w:gridCol w:w="1680"/>
        <w:gridCol w:w="1640"/>
      </w:tblGrid>
      <w:tr w:rsidR="00BD13D9" w:rsidRPr="00D172A2" w14:paraId="36B9990A" w14:textId="77777777" w:rsidTr="0035756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76" w:type="dxa"/>
            <w:shd w:val="clear" w:color="auto" w:fill="E5E0DB" w:themeFill="background1" w:themeFillShade="E6"/>
            <w:noWrap/>
            <w:hideMark/>
          </w:tcPr>
          <w:p w14:paraId="2F979C6F" w14:textId="3D6248E1" w:rsidR="00BD13D9" w:rsidRPr="00D172A2" w:rsidRDefault="00BD13D9" w:rsidP="00016331">
            <w:pPr>
              <w:jc w:val="center"/>
              <w:rPr>
                <w:sz w:val="20"/>
              </w:rPr>
            </w:pPr>
            <w:r w:rsidRPr="00D172A2">
              <w:rPr>
                <w:sz w:val="20"/>
              </w:rPr>
              <w:t xml:space="preserve">Dent </w:t>
            </w:r>
            <w:r w:rsidR="007F411F">
              <w:rPr>
                <w:sz w:val="20"/>
              </w:rPr>
              <w:t>d</w:t>
            </w:r>
            <w:r w:rsidRPr="00D172A2">
              <w:rPr>
                <w:sz w:val="20"/>
              </w:rPr>
              <w:t>epth (% OD)</w:t>
            </w:r>
          </w:p>
        </w:tc>
        <w:tc>
          <w:tcPr>
            <w:tcW w:w="1038" w:type="dxa"/>
            <w:shd w:val="clear" w:color="auto" w:fill="E5E0DB" w:themeFill="background1" w:themeFillShade="E6"/>
            <w:noWrap/>
            <w:hideMark/>
          </w:tcPr>
          <w:p w14:paraId="66592145" w14:textId="77777777" w:rsidR="00BD13D9" w:rsidRPr="00D172A2" w:rsidRDefault="00BD13D9" w:rsidP="00016331">
            <w:pPr>
              <w:cnfStyle w:val="100000000000" w:firstRow="1" w:lastRow="0" w:firstColumn="0" w:lastColumn="0" w:oddVBand="0" w:evenVBand="0" w:oddHBand="0" w:evenHBand="0" w:firstRowFirstColumn="0" w:firstRowLastColumn="0" w:lastRowFirstColumn="0" w:lastRowLastColumn="0"/>
              <w:rPr>
                <w:sz w:val="20"/>
              </w:rPr>
            </w:pPr>
            <w:r w:rsidRPr="00D172A2">
              <w:rPr>
                <w:sz w:val="20"/>
              </w:rPr>
              <w:t>SCF</w:t>
            </w:r>
          </w:p>
        </w:tc>
        <w:tc>
          <w:tcPr>
            <w:tcW w:w="1560" w:type="dxa"/>
            <w:tcBorders>
              <w:bottom w:val="single" w:sz="4" w:space="0" w:color="auto"/>
            </w:tcBorders>
            <w:shd w:val="clear" w:color="auto" w:fill="E5E0DB" w:themeFill="background1" w:themeFillShade="E6"/>
            <w:noWrap/>
            <w:hideMark/>
          </w:tcPr>
          <w:p w14:paraId="045E30D5" w14:textId="7A3EA858" w:rsidR="00BD13D9" w:rsidRPr="00D172A2" w:rsidRDefault="00BD13D9" w:rsidP="00016331">
            <w:pPr>
              <w:cnfStyle w:val="100000000000" w:firstRow="1" w:lastRow="0" w:firstColumn="0" w:lastColumn="0" w:oddVBand="0" w:evenVBand="0" w:oddHBand="0" w:evenHBand="0" w:firstRowFirstColumn="0" w:firstRowLastColumn="0" w:lastRowFirstColumn="0" w:lastRowLastColumn="0"/>
              <w:rPr>
                <w:sz w:val="20"/>
              </w:rPr>
            </w:pPr>
            <w:r w:rsidRPr="00D172A2">
              <w:rPr>
                <w:sz w:val="20"/>
              </w:rPr>
              <w:t xml:space="preserve">Plain </w:t>
            </w:r>
            <w:r w:rsidR="007F411F">
              <w:rPr>
                <w:sz w:val="20"/>
              </w:rPr>
              <w:t>p</w:t>
            </w:r>
            <w:r w:rsidRPr="00D172A2">
              <w:rPr>
                <w:sz w:val="20"/>
              </w:rPr>
              <w:t xml:space="preserve">ipe </w:t>
            </w:r>
            <w:r w:rsidR="007F411F">
              <w:rPr>
                <w:sz w:val="20"/>
              </w:rPr>
              <w:t>l</w:t>
            </w:r>
            <w:r w:rsidRPr="00D172A2">
              <w:rPr>
                <w:sz w:val="20"/>
              </w:rPr>
              <w:t>imit (Nmm</w:t>
            </w:r>
            <w:r w:rsidRPr="00A44974">
              <w:rPr>
                <w:sz w:val="20"/>
                <w:vertAlign w:val="superscript"/>
              </w:rPr>
              <w:t>-2</w:t>
            </w:r>
            <w:r w:rsidRPr="00D172A2">
              <w:rPr>
                <w:sz w:val="20"/>
              </w:rPr>
              <w:t>)</w:t>
            </w:r>
          </w:p>
        </w:tc>
        <w:tc>
          <w:tcPr>
            <w:tcW w:w="1680" w:type="dxa"/>
            <w:tcBorders>
              <w:bottom w:val="single" w:sz="4" w:space="0" w:color="auto"/>
            </w:tcBorders>
            <w:shd w:val="clear" w:color="auto" w:fill="E5E0DB" w:themeFill="background1" w:themeFillShade="E6"/>
            <w:noWrap/>
            <w:hideMark/>
          </w:tcPr>
          <w:p w14:paraId="2C8409E9" w14:textId="57D5ED3E" w:rsidR="00BD13D9" w:rsidRPr="00D172A2" w:rsidRDefault="00BD13D9" w:rsidP="00016331">
            <w:pPr>
              <w:cnfStyle w:val="100000000000" w:firstRow="1" w:lastRow="0" w:firstColumn="0" w:lastColumn="0" w:oddVBand="0" w:evenVBand="0" w:oddHBand="0" w:evenHBand="0" w:firstRowFirstColumn="0" w:firstRowLastColumn="0" w:lastRowFirstColumn="0" w:lastRowLastColumn="0"/>
              <w:rPr>
                <w:sz w:val="20"/>
              </w:rPr>
            </w:pPr>
            <w:r w:rsidRPr="00D172A2">
              <w:rPr>
                <w:sz w:val="20"/>
              </w:rPr>
              <w:t xml:space="preserve">Seam </w:t>
            </w:r>
            <w:r w:rsidR="007F411F">
              <w:rPr>
                <w:sz w:val="20"/>
              </w:rPr>
              <w:t>w</w:t>
            </w:r>
            <w:r w:rsidRPr="00D172A2">
              <w:rPr>
                <w:sz w:val="20"/>
              </w:rPr>
              <w:t xml:space="preserve">eld </w:t>
            </w:r>
            <w:r w:rsidR="007F411F">
              <w:rPr>
                <w:sz w:val="20"/>
              </w:rPr>
              <w:t>l</w:t>
            </w:r>
            <w:r w:rsidRPr="00D172A2">
              <w:rPr>
                <w:sz w:val="20"/>
              </w:rPr>
              <w:t>imit (Nmm</w:t>
            </w:r>
            <w:r w:rsidRPr="00A44974">
              <w:rPr>
                <w:sz w:val="20"/>
                <w:vertAlign w:val="superscript"/>
              </w:rPr>
              <w:t>-2</w:t>
            </w:r>
            <w:r w:rsidRPr="00D172A2">
              <w:rPr>
                <w:sz w:val="20"/>
              </w:rPr>
              <w:t>)</w:t>
            </w:r>
          </w:p>
        </w:tc>
        <w:tc>
          <w:tcPr>
            <w:tcW w:w="1640" w:type="dxa"/>
            <w:tcBorders>
              <w:bottom w:val="single" w:sz="4" w:space="0" w:color="auto"/>
            </w:tcBorders>
            <w:shd w:val="clear" w:color="auto" w:fill="E5E0DB" w:themeFill="background1" w:themeFillShade="E6"/>
            <w:noWrap/>
            <w:hideMark/>
          </w:tcPr>
          <w:p w14:paraId="607D01C4" w14:textId="2B0EA5AC" w:rsidR="00BD13D9" w:rsidRPr="00D172A2" w:rsidRDefault="00BD13D9" w:rsidP="00016331">
            <w:pPr>
              <w:cnfStyle w:val="100000000000" w:firstRow="1" w:lastRow="0" w:firstColumn="0" w:lastColumn="0" w:oddVBand="0" w:evenVBand="0" w:oddHBand="0" w:evenHBand="0" w:firstRowFirstColumn="0" w:firstRowLastColumn="0" w:lastRowFirstColumn="0" w:lastRowLastColumn="0"/>
              <w:rPr>
                <w:sz w:val="20"/>
              </w:rPr>
            </w:pPr>
            <w:r w:rsidRPr="00D172A2">
              <w:rPr>
                <w:sz w:val="20"/>
              </w:rPr>
              <w:t xml:space="preserve">Girth </w:t>
            </w:r>
            <w:r w:rsidR="007F411F">
              <w:rPr>
                <w:sz w:val="20"/>
              </w:rPr>
              <w:t>w</w:t>
            </w:r>
            <w:r w:rsidRPr="00D172A2">
              <w:rPr>
                <w:sz w:val="20"/>
              </w:rPr>
              <w:t xml:space="preserve">eld </w:t>
            </w:r>
            <w:r w:rsidR="007F411F">
              <w:rPr>
                <w:sz w:val="20"/>
              </w:rPr>
              <w:t>l</w:t>
            </w:r>
            <w:r w:rsidRPr="00D172A2">
              <w:rPr>
                <w:sz w:val="20"/>
              </w:rPr>
              <w:t>imit (Nmm</w:t>
            </w:r>
            <w:r w:rsidRPr="00A44974">
              <w:rPr>
                <w:sz w:val="20"/>
                <w:vertAlign w:val="superscript"/>
              </w:rPr>
              <w:t>-2</w:t>
            </w:r>
            <w:r w:rsidRPr="00D172A2">
              <w:rPr>
                <w:sz w:val="20"/>
              </w:rPr>
              <w:t>)</w:t>
            </w:r>
          </w:p>
        </w:tc>
      </w:tr>
      <w:tr w:rsidR="00BD13D9" w:rsidRPr="00D172A2" w14:paraId="40D0A580" w14:textId="77777777" w:rsidTr="00357561">
        <w:trPr>
          <w:trHeight w:val="34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0930F080" w14:textId="77777777" w:rsidR="00BD13D9" w:rsidRPr="007F411F" w:rsidRDefault="00BD13D9" w:rsidP="00016331">
            <w:pPr>
              <w:jc w:val="center"/>
              <w:rPr>
                <w:b/>
                <w:sz w:val="20"/>
              </w:rPr>
            </w:pPr>
            <w:r w:rsidRPr="007F411F">
              <w:rPr>
                <w:b/>
                <w:sz w:val="20"/>
              </w:rPr>
              <w:t>1</w:t>
            </w:r>
          </w:p>
        </w:tc>
        <w:tc>
          <w:tcPr>
            <w:tcW w:w="1038" w:type="dxa"/>
            <w:noWrap/>
            <w:hideMark/>
          </w:tcPr>
          <w:p w14:paraId="35870623"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2.14</w:t>
            </w:r>
          </w:p>
        </w:tc>
        <w:tc>
          <w:tcPr>
            <w:tcW w:w="1560" w:type="dxa"/>
            <w:shd w:val="clear" w:color="auto" w:fill="auto"/>
            <w:noWrap/>
            <w:hideMark/>
          </w:tcPr>
          <w:p w14:paraId="180349EE"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26.39</w:t>
            </w:r>
          </w:p>
        </w:tc>
        <w:tc>
          <w:tcPr>
            <w:tcW w:w="1680" w:type="dxa"/>
            <w:shd w:val="clear" w:color="auto" w:fill="auto"/>
            <w:noWrap/>
            <w:hideMark/>
          </w:tcPr>
          <w:p w14:paraId="5137E170"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10.22</w:t>
            </w:r>
          </w:p>
        </w:tc>
        <w:tc>
          <w:tcPr>
            <w:tcW w:w="1640" w:type="dxa"/>
            <w:shd w:val="clear" w:color="auto" w:fill="auto"/>
            <w:noWrap/>
            <w:hideMark/>
          </w:tcPr>
          <w:p w14:paraId="67D06572"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8.66</w:t>
            </w:r>
          </w:p>
        </w:tc>
      </w:tr>
      <w:tr w:rsidR="00BD13D9" w:rsidRPr="00D172A2" w14:paraId="37D90968" w14:textId="77777777" w:rsidTr="00357561">
        <w:trPr>
          <w:trHeight w:val="34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F69E63C" w14:textId="77777777" w:rsidR="00BD13D9" w:rsidRPr="007F411F" w:rsidRDefault="00BD13D9" w:rsidP="00016331">
            <w:pPr>
              <w:jc w:val="center"/>
              <w:rPr>
                <w:b/>
                <w:sz w:val="20"/>
              </w:rPr>
            </w:pPr>
            <w:r w:rsidRPr="007F411F">
              <w:rPr>
                <w:b/>
                <w:sz w:val="20"/>
              </w:rPr>
              <w:t>2</w:t>
            </w:r>
          </w:p>
        </w:tc>
        <w:tc>
          <w:tcPr>
            <w:tcW w:w="1038" w:type="dxa"/>
            <w:noWrap/>
            <w:hideMark/>
          </w:tcPr>
          <w:p w14:paraId="3CB25142"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2.83</w:t>
            </w:r>
          </w:p>
        </w:tc>
        <w:tc>
          <w:tcPr>
            <w:tcW w:w="1560" w:type="dxa"/>
            <w:shd w:val="clear" w:color="auto" w:fill="auto"/>
            <w:noWrap/>
            <w:hideMark/>
          </w:tcPr>
          <w:p w14:paraId="1FE41311"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19.94</w:t>
            </w:r>
          </w:p>
        </w:tc>
        <w:tc>
          <w:tcPr>
            <w:tcW w:w="1680" w:type="dxa"/>
            <w:shd w:val="clear" w:color="auto" w:fill="auto"/>
            <w:noWrap/>
            <w:hideMark/>
          </w:tcPr>
          <w:p w14:paraId="0BBC2E99"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7.72</w:t>
            </w:r>
          </w:p>
        </w:tc>
        <w:tc>
          <w:tcPr>
            <w:tcW w:w="1640" w:type="dxa"/>
            <w:shd w:val="clear" w:color="auto" w:fill="auto"/>
            <w:noWrap/>
            <w:hideMark/>
          </w:tcPr>
          <w:p w14:paraId="4D5458A1"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6.54</w:t>
            </w:r>
          </w:p>
        </w:tc>
      </w:tr>
      <w:tr w:rsidR="00BD13D9" w:rsidRPr="00D172A2" w14:paraId="4F822205" w14:textId="77777777" w:rsidTr="00357561">
        <w:trPr>
          <w:trHeight w:val="34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1C4AAA5C" w14:textId="77777777" w:rsidR="00BD13D9" w:rsidRPr="007F411F" w:rsidRDefault="00BD13D9" w:rsidP="00016331">
            <w:pPr>
              <w:jc w:val="center"/>
              <w:rPr>
                <w:b/>
                <w:sz w:val="20"/>
              </w:rPr>
            </w:pPr>
            <w:r w:rsidRPr="007F411F">
              <w:rPr>
                <w:b/>
                <w:sz w:val="20"/>
              </w:rPr>
              <w:t>3</w:t>
            </w:r>
          </w:p>
        </w:tc>
        <w:tc>
          <w:tcPr>
            <w:tcW w:w="1038" w:type="dxa"/>
            <w:noWrap/>
            <w:hideMark/>
          </w:tcPr>
          <w:p w14:paraId="77763B26"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3.33</w:t>
            </w:r>
          </w:p>
        </w:tc>
        <w:tc>
          <w:tcPr>
            <w:tcW w:w="1560" w:type="dxa"/>
            <w:shd w:val="clear" w:color="auto" w:fill="auto"/>
            <w:noWrap/>
            <w:hideMark/>
          </w:tcPr>
          <w:p w14:paraId="0DC815B2"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16.95</w:t>
            </w:r>
          </w:p>
        </w:tc>
        <w:tc>
          <w:tcPr>
            <w:tcW w:w="1680" w:type="dxa"/>
            <w:shd w:val="clear" w:color="auto" w:fill="auto"/>
            <w:noWrap/>
            <w:hideMark/>
          </w:tcPr>
          <w:p w14:paraId="4FF50EED"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6.56</w:t>
            </w:r>
          </w:p>
        </w:tc>
        <w:tc>
          <w:tcPr>
            <w:tcW w:w="1640" w:type="dxa"/>
            <w:shd w:val="clear" w:color="auto" w:fill="auto"/>
            <w:noWrap/>
            <w:hideMark/>
          </w:tcPr>
          <w:p w14:paraId="074A7BF5"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5.56</w:t>
            </w:r>
          </w:p>
        </w:tc>
      </w:tr>
      <w:tr w:rsidR="00BD13D9" w:rsidRPr="00D172A2" w14:paraId="346006DE" w14:textId="77777777" w:rsidTr="00357561">
        <w:trPr>
          <w:trHeight w:val="34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E60069D" w14:textId="77777777" w:rsidR="00BD13D9" w:rsidRPr="007F411F" w:rsidRDefault="00BD13D9" w:rsidP="00016331">
            <w:pPr>
              <w:jc w:val="center"/>
              <w:rPr>
                <w:b/>
                <w:sz w:val="20"/>
              </w:rPr>
            </w:pPr>
            <w:r w:rsidRPr="007F411F">
              <w:rPr>
                <w:b/>
                <w:sz w:val="20"/>
              </w:rPr>
              <w:t>4</w:t>
            </w:r>
          </w:p>
        </w:tc>
        <w:tc>
          <w:tcPr>
            <w:tcW w:w="1038" w:type="dxa"/>
            <w:noWrap/>
            <w:hideMark/>
          </w:tcPr>
          <w:p w14:paraId="54EA84FC"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3.72</w:t>
            </w:r>
          </w:p>
        </w:tc>
        <w:tc>
          <w:tcPr>
            <w:tcW w:w="1560" w:type="dxa"/>
            <w:shd w:val="clear" w:color="auto" w:fill="auto"/>
            <w:noWrap/>
            <w:hideMark/>
          </w:tcPr>
          <w:p w14:paraId="43FC8A1E"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15.17</w:t>
            </w:r>
          </w:p>
        </w:tc>
        <w:tc>
          <w:tcPr>
            <w:tcW w:w="1680" w:type="dxa"/>
            <w:shd w:val="clear" w:color="auto" w:fill="auto"/>
            <w:noWrap/>
            <w:hideMark/>
          </w:tcPr>
          <w:p w14:paraId="4A4B812E"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5.88</w:t>
            </w:r>
          </w:p>
        </w:tc>
        <w:tc>
          <w:tcPr>
            <w:tcW w:w="1640" w:type="dxa"/>
            <w:shd w:val="clear" w:color="auto" w:fill="auto"/>
            <w:noWrap/>
            <w:hideMark/>
          </w:tcPr>
          <w:p w14:paraId="4DA7AB36"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4.98</w:t>
            </w:r>
          </w:p>
        </w:tc>
      </w:tr>
      <w:tr w:rsidR="00BD13D9" w:rsidRPr="00D172A2" w14:paraId="14FCA00E" w14:textId="77777777" w:rsidTr="00357561">
        <w:trPr>
          <w:trHeight w:val="34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62F43ABA" w14:textId="77777777" w:rsidR="00BD13D9" w:rsidRPr="007F411F" w:rsidRDefault="00BD13D9" w:rsidP="00016331">
            <w:pPr>
              <w:jc w:val="center"/>
              <w:rPr>
                <w:b/>
                <w:sz w:val="20"/>
              </w:rPr>
            </w:pPr>
            <w:r w:rsidRPr="007F411F">
              <w:rPr>
                <w:b/>
                <w:sz w:val="20"/>
              </w:rPr>
              <w:t>5</w:t>
            </w:r>
          </w:p>
        </w:tc>
        <w:tc>
          <w:tcPr>
            <w:tcW w:w="1038" w:type="dxa"/>
            <w:noWrap/>
            <w:hideMark/>
          </w:tcPr>
          <w:p w14:paraId="4E7DE7BB"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4.04</w:t>
            </w:r>
          </w:p>
        </w:tc>
        <w:tc>
          <w:tcPr>
            <w:tcW w:w="1560" w:type="dxa"/>
            <w:shd w:val="clear" w:color="auto" w:fill="auto"/>
            <w:noWrap/>
            <w:hideMark/>
          </w:tcPr>
          <w:p w14:paraId="4F2FDBEE"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13.97</w:t>
            </w:r>
          </w:p>
        </w:tc>
        <w:tc>
          <w:tcPr>
            <w:tcW w:w="1680" w:type="dxa"/>
            <w:shd w:val="clear" w:color="auto" w:fill="auto"/>
            <w:noWrap/>
            <w:hideMark/>
          </w:tcPr>
          <w:p w14:paraId="7A1521FC"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5.41</w:t>
            </w:r>
          </w:p>
        </w:tc>
        <w:tc>
          <w:tcPr>
            <w:tcW w:w="1640" w:type="dxa"/>
            <w:shd w:val="clear" w:color="auto" w:fill="auto"/>
            <w:noWrap/>
            <w:hideMark/>
          </w:tcPr>
          <w:p w14:paraId="17C5A94D"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4.58</w:t>
            </w:r>
          </w:p>
        </w:tc>
      </w:tr>
      <w:tr w:rsidR="00BD13D9" w:rsidRPr="00D172A2" w14:paraId="23A63068" w14:textId="77777777" w:rsidTr="00357561">
        <w:trPr>
          <w:trHeight w:val="34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A94EB97" w14:textId="77777777" w:rsidR="00BD13D9" w:rsidRPr="007F411F" w:rsidRDefault="00BD13D9" w:rsidP="00016331">
            <w:pPr>
              <w:jc w:val="center"/>
              <w:rPr>
                <w:b/>
                <w:sz w:val="20"/>
              </w:rPr>
            </w:pPr>
            <w:r w:rsidRPr="007F411F">
              <w:rPr>
                <w:b/>
                <w:sz w:val="20"/>
              </w:rPr>
              <w:t>6</w:t>
            </w:r>
          </w:p>
        </w:tc>
        <w:tc>
          <w:tcPr>
            <w:tcW w:w="1038" w:type="dxa"/>
            <w:noWrap/>
            <w:hideMark/>
          </w:tcPr>
          <w:p w14:paraId="7E1EC3AA"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4.31</w:t>
            </w:r>
          </w:p>
        </w:tc>
        <w:tc>
          <w:tcPr>
            <w:tcW w:w="1560" w:type="dxa"/>
            <w:shd w:val="clear" w:color="auto" w:fill="auto"/>
            <w:noWrap/>
            <w:hideMark/>
          </w:tcPr>
          <w:p w14:paraId="7D45395B"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13.09</w:t>
            </w:r>
          </w:p>
        </w:tc>
        <w:tc>
          <w:tcPr>
            <w:tcW w:w="1680" w:type="dxa"/>
            <w:shd w:val="clear" w:color="auto" w:fill="auto"/>
            <w:noWrap/>
            <w:hideMark/>
          </w:tcPr>
          <w:p w14:paraId="63B647C6"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5.07</w:t>
            </w:r>
          </w:p>
        </w:tc>
        <w:tc>
          <w:tcPr>
            <w:tcW w:w="1640" w:type="dxa"/>
            <w:shd w:val="clear" w:color="auto" w:fill="auto"/>
            <w:noWrap/>
            <w:hideMark/>
          </w:tcPr>
          <w:p w14:paraId="62EC7089"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4.29</w:t>
            </w:r>
          </w:p>
        </w:tc>
      </w:tr>
      <w:tr w:rsidR="00BD13D9" w:rsidRPr="00D172A2" w14:paraId="25B5FFF7" w14:textId="77777777" w:rsidTr="00357561">
        <w:trPr>
          <w:trHeight w:val="34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99BCA31" w14:textId="77777777" w:rsidR="00BD13D9" w:rsidRPr="007F411F" w:rsidRDefault="00BD13D9" w:rsidP="00016331">
            <w:pPr>
              <w:jc w:val="center"/>
              <w:rPr>
                <w:b/>
                <w:sz w:val="20"/>
              </w:rPr>
            </w:pPr>
            <w:r w:rsidRPr="007F411F">
              <w:rPr>
                <w:b/>
                <w:sz w:val="20"/>
              </w:rPr>
              <w:t>7</w:t>
            </w:r>
          </w:p>
        </w:tc>
        <w:tc>
          <w:tcPr>
            <w:tcW w:w="1038" w:type="dxa"/>
            <w:noWrap/>
            <w:hideMark/>
          </w:tcPr>
          <w:p w14:paraId="28A88D6C"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4.54</w:t>
            </w:r>
          </w:p>
        </w:tc>
        <w:tc>
          <w:tcPr>
            <w:tcW w:w="1560" w:type="dxa"/>
            <w:shd w:val="clear" w:color="auto" w:fill="auto"/>
            <w:noWrap/>
            <w:hideMark/>
          </w:tcPr>
          <w:p w14:paraId="654636FB"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12.41</w:t>
            </w:r>
          </w:p>
        </w:tc>
        <w:tc>
          <w:tcPr>
            <w:tcW w:w="1680" w:type="dxa"/>
            <w:shd w:val="clear" w:color="auto" w:fill="auto"/>
            <w:noWrap/>
            <w:hideMark/>
          </w:tcPr>
          <w:p w14:paraId="51B837B7"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4.80</w:t>
            </w:r>
          </w:p>
        </w:tc>
        <w:tc>
          <w:tcPr>
            <w:tcW w:w="1640" w:type="dxa"/>
            <w:shd w:val="clear" w:color="auto" w:fill="auto"/>
            <w:noWrap/>
            <w:hideMark/>
          </w:tcPr>
          <w:p w14:paraId="233E3CFA" w14:textId="77777777" w:rsidR="00BD13D9" w:rsidRPr="00D172A2" w:rsidRDefault="00BD13D9" w:rsidP="00016331">
            <w:pPr>
              <w:cnfStyle w:val="000000000000" w:firstRow="0" w:lastRow="0" w:firstColumn="0" w:lastColumn="0" w:oddVBand="0" w:evenVBand="0" w:oddHBand="0" w:evenHBand="0" w:firstRowFirstColumn="0" w:firstRowLastColumn="0" w:lastRowFirstColumn="0" w:lastRowLastColumn="0"/>
              <w:rPr>
                <w:sz w:val="20"/>
              </w:rPr>
            </w:pPr>
            <w:r w:rsidRPr="00D172A2">
              <w:rPr>
                <w:sz w:val="20"/>
              </w:rPr>
              <w:t>4.07</w:t>
            </w:r>
          </w:p>
        </w:tc>
      </w:tr>
    </w:tbl>
    <w:p w14:paraId="52296299" w14:textId="147C551F" w:rsidR="00BD13D9" w:rsidRPr="00D976E7" w:rsidRDefault="00BD13D9" w:rsidP="00E962DF">
      <w:pPr>
        <w:pStyle w:val="Caption"/>
        <w:rPr>
          <w:i/>
        </w:rPr>
      </w:pPr>
      <w:bookmarkStart w:id="15" w:name="_Ref507676036"/>
      <w:r w:rsidRPr="00D976E7">
        <w:t xml:space="preserve">Table </w:t>
      </w:r>
      <w:fldSimple w:instr=" SEQ Table \* ARABIC ">
        <w:r w:rsidR="00FB3C46">
          <w:rPr>
            <w:noProof/>
          </w:rPr>
          <w:t>5</w:t>
        </w:r>
      </w:fldSimple>
      <w:bookmarkEnd w:id="15"/>
      <w:r>
        <w:t xml:space="preserve"> – Calculated </w:t>
      </w:r>
      <w:r w:rsidR="007F411F">
        <w:t>d</w:t>
      </w:r>
      <w:r>
        <w:t xml:space="preserve">ent </w:t>
      </w:r>
      <w:r w:rsidR="007F411F">
        <w:t>s</w:t>
      </w:r>
      <w:r>
        <w:t xml:space="preserve">tress </w:t>
      </w:r>
      <w:r w:rsidR="007F411F">
        <w:t>c</w:t>
      </w:r>
      <w:r>
        <w:t>ycle</w:t>
      </w:r>
      <w:r w:rsidRPr="00D976E7">
        <w:t xml:space="preserve"> </w:t>
      </w:r>
      <w:r w:rsidR="007F411F">
        <w:t>e</w:t>
      </w:r>
      <w:r>
        <w:t xml:space="preserve">ndurance </w:t>
      </w:r>
      <w:r w:rsidR="007F411F">
        <w:t>l</w:t>
      </w:r>
      <w:r>
        <w:t xml:space="preserve">imits with </w:t>
      </w:r>
      <w:r w:rsidR="007F411F">
        <w:t>s</w:t>
      </w:r>
      <w:r>
        <w:t xml:space="preserve">afety </w:t>
      </w:r>
      <w:r w:rsidR="007F411F">
        <w:t>f</w:t>
      </w:r>
      <w:r>
        <w:t>actor</w:t>
      </w:r>
    </w:p>
    <w:p w14:paraId="18B86672" w14:textId="27F9966B" w:rsidR="00BD13D9" w:rsidRDefault="00BD13D9" w:rsidP="00BD13D9">
      <w:pPr>
        <w:pStyle w:val="BodyText"/>
      </w:pPr>
      <w:r>
        <w:t xml:space="preserve">As with </w:t>
      </w:r>
      <w:r w:rsidRPr="00A02338">
        <w:fldChar w:fldCharType="begin"/>
      </w:r>
      <w:r w:rsidRPr="00A02338">
        <w:instrText xml:space="preserve"> REF _Ref508023451 \h  \* MERGEFORMAT </w:instrText>
      </w:r>
      <w:r w:rsidRPr="00A02338">
        <w:fldChar w:fldCharType="separate"/>
      </w:r>
      <w:r w:rsidR="00FB3C46" w:rsidRPr="00E62EEC">
        <w:t xml:space="preserve">Figure </w:t>
      </w:r>
      <w:r w:rsidR="00FB3C46">
        <w:rPr>
          <w:noProof/>
        </w:rPr>
        <w:t>4</w:t>
      </w:r>
      <w:r w:rsidRPr="00A02338">
        <w:fldChar w:fldCharType="end"/>
      </w:r>
      <w:r>
        <w:t xml:space="preserve"> and </w:t>
      </w:r>
      <w:r w:rsidRPr="00B43B48">
        <w:fldChar w:fldCharType="begin"/>
      </w:r>
      <w:r w:rsidRPr="00B43B48">
        <w:instrText xml:space="preserve"> REF _Ref507591710 \h  \* MERGEFORMAT </w:instrText>
      </w:r>
      <w:r w:rsidRPr="00B43B48">
        <w:fldChar w:fldCharType="separate"/>
      </w:r>
      <w:r w:rsidR="00FB3C46" w:rsidRPr="00D976E7">
        <w:t xml:space="preserve">Table </w:t>
      </w:r>
      <w:r w:rsidR="00FB3C46">
        <w:rPr>
          <w:noProof/>
        </w:rPr>
        <w:t>3</w:t>
      </w:r>
      <w:r w:rsidRPr="00B43B48">
        <w:fldChar w:fldCharType="end"/>
      </w:r>
      <w:r>
        <w:t xml:space="preserve">, the values in </w:t>
      </w:r>
      <w:r w:rsidRPr="005E6644">
        <w:fldChar w:fldCharType="begin"/>
      </w:r>
      <w:r w:rsidRPr="005E6644">
        <w:instrText xml:space="preserve"> REF _Ref508023845 \h  \* MERGEFORMAT </w:instrText>
      </w:r>
      <w:r w:rsidRPr="005E6644">
        <w:fldChar w:fldCharType="separate"/>
      </w:r>
      <w:r w:rsidR="00FB3C46" w:rsidRPr="00E62EEC">
        <w:t xml:space="preserve">Figure </w:t>
      </w:r>
      <w:r w:rsidR="00FB3C46">
        <w:rPr>
          <w:noProof/>
        </w:rPr>
        <w:t>5</w:t>
      </w:r>
      <w:r w:rsidRPr="005E6644">
        <w:fldChar w:fldCharType="end"/>
      </w:r>
      <w:r>
        <w:t xml:space="preserve"> and </w:t>
      </w:r>
      <w:r w:rsidRPr="00724090">
        <w:fldChar w:fldCharType="begin"/>
      </w:r>
      <w:r w:rsidRPr="00724090">
        <w:instrText xml:space="preserve"> REF _Ref507676036 \h  \* MERGEFORMAT </w:instrText>
      </w:r>
      <w:r w:rsidRPr="00724090">
        <w:fldChar w:fldCharType="separate"/>
      </w:r>
      <w:r w:rsidR="00FB3C46" w:rsidRPr="00D976E7">
        <w:t xml:space="preserve">Table </w:t>
      </w:r>
      <w:r w:rsidR="00FB3C46">
        <w:rPr>
          <w:noProof/>
        </w:rPr>
        <w:t>5</w:t>
      </w:r>
      <w:r w:rsidRPr="00724090">
        <w:fldChar w:fldCharType="end"/>
      </w:r>
      <w:r>
        <w:t xml:space="preserve"> refer to the</w:t>
      </w:r>
      <w:r w:rsidRPr="00917F8C">
        <w:t xml:space="preserve"> normal cyclic stress range</w:t>
      </w:r>
      <w:r>
        <w:t xml:space="preserve"> which would be</w:t>
      </w:r>
      <w:r w:rsidRPr="00917F8C">
        <w:t xml:space="preserve"> experienced </w:t>
      </w:r>
      <w:r>
        <w:t>in</w:t>
      </w:r>
      <w:r w:rsidRPr="00917F8C">
        <w:t xml:space="preserve"> undented</w:t>
      </w:r>
      <w:r>
        <w:t xml:space="preserve"> sections of the</w:t>
      </w:r>
      <w:r w:rsidRPr="00917F8C">
        <w:t xml:space="preserve"> pipeline</w:t>
      </w:r>
      <w:r>
        <w:t xml:space="preserve"> (i.e. a direct conversion from the operating pressure using Barlow’s formula). </w:t>
      </w:r>
      <w:r w:rsidRPr="00281EED">
        <w:t xml:space="preserve">Under the application of a safety factor of 10 the endurance limits are significantly lower than those calculated </w:t>
      </w:r>
      <w:r>
        <w:t xml:space="preserve">for </w:t>
      </w:r>
      <w:r w:rsidRPr="00A02338">
        <w:fldChar w:fldCharType="begin"/>
      </w:r>
      <w:r w:rsidRPr="00A02338">
        <w:instrText xml:space="preserve"> REF _Ref508023451 \h  \* MERGEFORMAT </w:instrText>
      </w:r>
      <w:r w:rsidRPr="00A02338">
        <w:fldChar w:fldCharType="separate"/>
      </w:r>
      <w:r w:rsidR="00FB3C46" w:rsidRPr="00E62EEC">
        <w:t xml:space="preserve">Figure </w:t>
      </w:r>
      <w:r w:rsidR="00FB3C46">
        <w:rPr>
          <w:noProof/>
        </w:rPr>
        <w:t>4</w:t>
      </w:r>
      <w:r w:rsidRPr="00A02338">
        <w:fldChar w:fldCharType="end"/>
      </w:r>
      <w:r>
        <w:t xml:space="preserve"> and</w:t>
      </w:r>
      <w:r w:rsidRPr="00281EED">
        <w:t xml:space="preserve"> </w:t>
      </w:r>
      <w:r w:rsidRPr="009D6998">
        <w:rPr>
          <w:highlight w:val="yellow"/>
        </w:rPr>
        <w:fldChar w:fldCharType="begin"/>
      </w:r>
      <w:r w:rsidRPr="009D6998">
        <w:rPr>
          <w:highlight w:val="yellow"/>
        </w:rPr>
        <w:instrText xml:space="preserve"> REF _Ref507591710 \h  \* MERGEFORMAT </w:instrText>
      </w:r>
      <w:r w:rsidRPr="009D6998">
        <w:rPr>
          <w:highlight w:val="yellow"/>
        </w:rPr>
      </w:r>
      <w:r w:rsidRPr="009D6998">
        <w:rPr>
          <w:highlight w:val="yellow"/>
        </w:rPr>
        <w:fldChar w:fldCharType="separate"/>
      </w:r>
      <w:r w:rsidR="00FB3C46" w:rsidRPr="00D976E7">
        <w:t xml:space="preserve">Table </w:t>
      </w:r>
      <w:r w:rsidR="00FB3C46">
        <w:rPr>
          <w:noProof/>
        </w:rPr>
        <w:t>3</w:t>
      </w:r>
      <w:r w:rsidRPr="009D6998">
        <w:rPr>
          <w:highlight w:val="yellow"/>
        </w:rPr>
        <w:fldChar w:fldCharType="end"/>
      </w:r>
      <w:r w:rsidRPr="00281EED">
        <w:t xml:space="preserve">. </w:t>
      </w:r>
      <w:r w:rsidRPr="005E6644">
        <w:fldChar w:fldCharType="begin"/>
      </w:r>
      <w:r w:rsidRPr="005E6644">
        <w:instrText xml:space="preserve"> REF _Ref508023845 \h  \* MERGEFORMAT </w:instrText>
      </w:r>
      <w:r w:rsidRPr="005E6644">
        <w:fldChar w:fldCharType="separate"/>
      </w:r>
      <w:r w:rsidR="00FB3C46" w:rsidRPr="00E62EEC">
        <w:t xml:space="preserve">Figure </w:t>
      </w:r>
      <w:r w:rsidR="00FB3C46">
        <w:rPr>
          <w:noProof/>
        </w:rPr>
        <w:t>5</w:t>
      </w:r>
      <w:r w:rsidRPr="005E6644">
        <w:fldChar w:fldCharType="end"/>
      </w:r>
      <w:r>
        <w:t xml:space="preserve"> and </w:t>
      </w:r>
      <w:r w:rsidRPr="009D6998">
        <w:rPr>
          <w:highlight w:val="yellow"/>
        </w:rPr>
        <w:fldChar w:fldCharType="begin"/>
      </w:r>
      <w:r w:rsidRPr="009D6998">
        <w:rPr>
          <w:highlight w:val="yellow"/>
        </w:rPr>
        <w:instrText xml:space="preserve"> REF _Ref507676036 \h  \* MERGEFORMAT </w:instrText>
      </w:r>
      <w:r w:rsidRPr="009D6998">
        <w:rPr>
          <w:highlight w:val="yellow"/>
        </w:rPr>
      </w:r>
      <w:r w:rsidRPr="009D6998">
        <w:rPr>
          <w:highlight w:val="yellow"/>
        </w:rPr>
        <w:fldChar w:fldCharType="separate"/>
      </w:r>
      <w:r w:rsidR="00FB3C46" w:rsidRPr="00D976E7">
        <w:t xml:space="preserve">Table </w:t>
      </w:r>
      <w:r w:rsidR="00FB3C46">
        <w:rPr>
          <w:noProof/>
        </w:rPr>
        <w:t>5</w:t>
      </w:r>
      <w:r w:rsidRPr="009D6998">
        <w:rPr>
          <w:highlight w:val="yellow"/>
        </w:rPr>
        <w:fldChar w:fldCharType="end"/>
      </w:r>
      <w:r w:rsidRPr="00616C74">
        <w:t xml:space="preserve"> indicate that the limits for dents in plain pipe are reduced by a factor of 1.77, the limits for dents on seam welds are reduced by a factor of 2.15, and the </w:t>
      </w:r>
      <w:r w:rsidRPr="00616C74">
        <w:lastRenderedPageBreak/>
        <w:t xml:space="preserve">limits for dents on girth welds are reduced by a factor of 2.11. It is noted that under the safety factor of 10 none of the dents considered have a calculated endurance limit </w:t>
      </w:r>
      <w:r>
        <w:t>in</w:t>
      </w:r>
      <w:r w:rsidRPr="00616C74">
        <w:t xml:space="preserve"> exce</w:t>
      </w:r>
      <w:r>
        <w:t>s</w:t>
      </w:r>
      <w:r w:rsidRPr="00616C74">
        <w:t>s</w:t>
      </w:r>
      <w:r>
        <w:t xml:space="preserve"> of</w:t>
      </w:r>
      <w:r w:rsidRPr="00616C74">
        <w:t xml:space="preserve"> the 35 Nmm</w:t>
      </w:r>
      <w:r w:rsidRPr="00616C74">
        <w:rPr>
          <w:vertAlign w:val="superscript"/>
        </w:rPr>
        <w:t>-2</w:t>
      </w:r>
      <w:r w:rsidRPr="00616C74">
        <w:t xml:space="preserve"> endurance </w:t>
      </w:r>
      <w:proofErr w:type="gramStart"/>
      <w:r w:rsidR="00A44974" w:rsidRPr="00616C74">
        <w:t>limit</w:t>
      </w:r>
      <w:proofErr w:type="gramEnd"/>
      <w:r w:rsidRPr="00616C74">
        <w:t xml:space="preserve"> for pipelines at the design stage stated in IGEM/TD/1.</w:t>
      </w:r>
      <w:r w:rsidRPr="00A3679C">
        <w:t xml:space="preserve"> </w:t>
      </w:r>
      <w:r w:rsidRPr="00B4446D">
        <w:t>This point is addressed in Section 7.</w:t>
      </w:r>
    </w:p>
    <w:p w14:paraId="753ED53D" w14:textId="34106E87" w:rsidR="00BD13D9" w:rsidRDefault="00BD13D9" w:rsidP="00BD13D9">
      <w:pPr>
        <w:pStyle w:val="Heading1"/>
      </w:pPr>
      <w:bookmarkStart w:id="16" w:name="_Toc457917"/>
      <w:r>
        <w:lastRenderedPageBreak/>
        <w:t xml:space="preserve">Endurance </w:t>
      </w:r>
      <w:r w:rsidR="00E962DF">
        <w:t>l</w:t>
      </w:r>
      <w:r>
        <w:t xml:space="preserve">imits for </w:t>
      </w:r>
      <w:r w:rsidR="00E962DF">
        <w:t>p</w:t>
      </w:r>
      <w:r>
        <w:t xml:space="preserve">ipeline </w:t>
      </w:r>
      <w:r w:rsidR="00E962DF">
        <w:t>d</w:t>
      </w:r>
      <w:r>
        <w:t xml:space="preserve">ents </w:t>
      </w:r>
      <w:r w:rsidR="00E962DF">
        <w:t>-</w:t>
      </w:r>
      <w:r>
        <w:t xml:space="preserve"> </w:t>
      </w:r>
      <w:r w:rsidR="00E962DF">
        <w:t>p</w:t>
      </w:r>
      <w:r>
        <w:t xml:space="preserve">ressure </w:t>
      </w:r>
      <w:r w:rsidR="00E962DF">
        <w:t>c</w:t>
      </w:r>
      <w:r>
        <w:t>ycles</w:t>
      </w:r>
      <w:bookmarkEnd w:id="16"/>
    </w:p>
    <w:p w14:paraId="06877D59" w14:textId="6A97698D" w:rsidR="00BD13D9" w:rsidRDefault="00BD13D9" w:rsidP="00BD13D9">
      <w:pPr>
        <w:pStyle w:val="BodyText"/>
      </w:pPr>
      <w:r>
        <w:t xml:space="preserve">In this section the stress cycle endurance limits calculated for dented pipelines in Section 5 are translated into pressure cycle endurance limits using Barlow’s formula. The limits are presented in terms of the dent depth and standard pipe sizes listed in </w:t>
      </w:r>
      <w:r w:rsidRPr="00983F66">
        <w:fldChar w:fldCharType="begin"/>
      </w:r>
      <w:r w:rsidRPr="00E2546D">
        <w:instrText xml:space="preserve"> REF _Ref511294732 \h  \* MERGEFORMAT </w:instrText>
      </w:r>
      <w:r w:rsidRPr="00983F66">
        <w:fldChar w:fldCharType="separate"/>
      </w:r>
      <w:r w:rsidR="00FB3C46" w:rsidRPr="00D976E7">
        <w:t xml:space="preserve">Table </w:t>
      </w:r>
      <w:r w:rsidR="00FB3C46">
        <w:rPr>
          <w:noProof/>
        </w:rPr>
        <w:t>6</w:t>
      </w:r>
      <w:r w:rsidRPr="00983F66">
        <w:fldChar w:fldCharType="end"/>
      </w:r>
      <w:r>
        <w:t>. The limits indicate the maximum allowable size of pressure cycle such that no fatigue damage will occur.</w:t>
      </w:r>
    </w:p>
    <w:p w14:paraId="16E0804C" w14:textId="70835119" w:rsidR="00BD13D9" w:rsidRDefault="00BD13D9" w:rsidP="00BD13D9">
      <w:pPr>
        <w:pStyle w:val="BodyText"/>
      </w:pPr>
      <w:r w:rsidRPr="00087C38">
        <w:fldChar w:fldCharType="begin"/>
      </w:r>
      <w:r w:rsidRPr="00087C38">
        <w:instrText xml:space="preserve"> REF _Ref508026132 \h  \* MERGEFORMAT </w:instrText>
      </w:r>
      <w:r w:rsidRPr="00087C38">
        <w:fldChar w:fldCharType="separate"/>
      </w:r>
      <w:r w:rsidR="00FB3C46" w:rsidRPr="00E62EEC">
        <w:t xml:space="preserve">Figure </w:t>
      </w:r>
      <w:r w:rsidR="00FB3C46">
        <w:rPr>
          <w:noProof/>
        </w:rPr>
        <w:t>6</w:t>
      </w:r>
      <w:r w:rsidRPr="00087C38">
        <w:fldChar w:fldCharType="end"/>
      </w:r>
      <w:r>
        <w:t xml:space="preserve">, </w:t>
      </w:r>
      <w:r w:rsidRPr="00087980">
        <w:rPr>
          <w:highlight w:val="yellow"/>
        </w:rPr>
        <w:fldChar w:fldCharType="begin"/>
      </w:r>
      <w:r w:rsidRPr="00087980">
        <w:instrText xml:space="preserve"> REF _Ref508093792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7</w:t>
      </w:r>
      <w:r w:rsidRPr="00087980">
        <w:rPr>
          <w:highlight w:val="yellow"/>
        </w:rPr>
        <w:fldChar w:fldCharType="end"/>
      </w:r>
      <w:r>
        <w:t xml:space="preserve"> and </w:t>
      </w:r>
      <w:r w:rsidRPr="00087980">
        <w:rPr>
          <w:highlight w:val="yellow"/>
        </w:rPr>
        <w:fldChar w:fldCharType="begin"/>
      </w:r>
      <w:r w:rsidRPr="00087980">
        <w:instrText xml:space="preserve"> REF _Ref508093798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8</w:t>
      </w:r>
      <w:r w:rsidRPr="00087980">
        <w:rPr>
          <w:highlight w:val="yellow"/>
        </w:rPr>
        <w:fldChar w:fldCharType="end"/>
      </w:r>
      <w:r>
        <w:t xml:space="preserve"> show pressure cycle endurance limits for dents located in plain pipe, seam welds and girth welds respectively. The limits in </w:t>
      </w:r>
      <w:r w:rsidRPr="00087C38">
        <w:fldChar w:fldCharType="begin"/>
      </w:r>
      <w:r w:rsidRPr="00087C38">
        <w:instrText xml:space="preserve"> REF _Ref508026132 \h  \* MERGEFORMAT </w:instrText>
      </w:r>
      <w:r w:rsidRPr="00087C38">
        <w:fldChar w:fldCharType="separate"/>
      </w:r>
      <w:r w:rsidR="00FB3C46" w:rsidRPr="00E62EEC">
        <w:t xml:space="preserve">Figure </w:t>
      </w:r>
      <w:r w:rsidR="00FB3C46">
        <w:rPr>
          <w:noProof/>
        </w:rPr>
        <w:t>6</w:t>
      </w:r>
      <w:r w:rsidRPr="00087C38">
        <w:fldChar w:fldCharType="end"/>
      </w:r>
      <w:r>
        <w:t xml:space="preserve">, </w:t>
      </w:r>
      <w:r w:rsidRPr="00087980">
        <w:rPr>
          <w:highlight w:val="yellow"/>
        </w:rPr>
        <w:fldChar w:fldCharType="begin"/>
      </w:r>
      <w:r w:rsidRPr="00087980">
        <w:instrText xml:space="preserve"> REF _Ref508093792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7</w:t>
      </w:r>
      <w:r w:rsidRPr="00087980">
        <w:rPr>
          <w:highlight w:val="yellow"/>
        </w:rPr>
        <w:fldChar w:fldCharType="end"/>
      </w:r>
      <w:r w:rsidRPr="008E1AB7">
        <w:t xml:space="preserve"> a</w:t>
      </w:r>
      <w:r>
        <w:t xml:space="preserve">nd </w:t>
      </w:r>
      <w:r w:rsidRPr="00087980">
        <w:rPr>
          <w:highlight w:val="yellow"/>
        </w:rPr>
        <w:fldChar w:fldCharType="begin"/>
      </w:r>
      <w:r w:rsidRPr="00087980">
        <w:instrText xml:space="preserve"> REF _Ref508093798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8</w:t>
      </w:r>
      <w:r w:rsidRPr="00087980">
        <w:rPr>
          <w:highlight w:val="yellow"/>
        </w:rPr>
        <w:fldChar w:fldCharType="end"/>
      </w:r>
      <w:r>
        <w:t xml:space="preserve"> are calculated using </w:t>
      </w:r>
      <w:r w:rsidRPr="00087C38">
        <w:fldChar w:fldCharType="begin"/>
      </w:r>
      <w:r w:rsidRPr="00087C38">
        <w:instrText xml:space="preserve"> REF _Ref507591710 \h  \* MERGEFORMAT </w:instrText>
      </w:r>
      <w:r w:rsidRPr="00087C38">
        <w:fldChar w:fldCharType="separate"/>
      </w:r>
      <w:r w:rsidR="00FB3C46" w:rsidRPr="00D976E7">
        <w:t xml:space="preserve">Table </w:t>
      </w:r>
      <w:r w:rsidR="00FB3C46">
        <w:rPr>
          <w:noProof/>
        </w:rPr>
        <w:t>3</w:t>
      </w:r>
      <w:r w:rsidRPr="00087C38">
        <w:fldChar w:fldCharType="end"/>
      </w:r>
      <w:r>
        <w:t xml:space="preserve"> and therefore do not include a safety factor. </w:t>
      </w:r>
    </w:p>
    <w:p w14:paraId="3DA6A998" w14:textId="075F24E9" w:rsidR="00BD13D9" w:rsidRDefault="00BD13D9" w:rsidP="00BD13D9">
      <w:pPr>
        <w:pStyle w:val="BodyText"/>
      </w:pPr>
      <w:r w:rsidRPr="00087980">
        <w:rPr>
          <w:highlight w:val="yellow"/>
        </w:rPr>
        <w:fldChar w:fldCharType="begin"/>
      </w:r>
      <w:r w:rsidRPr="00087980">
        <w:instrText xml:space="preserve"> REF _Ref508093854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9</w:t>
      </w:r>
      <w:r w:rsidRPr="00087980">
        <w:rPr>
          <w:highlight w:val="yellow"/>
        </w:rPr>
        <w:fldChar w:fldCharType="end"/>
      </w:r>
      <w:r>
        <w:t xml:space="preserve">, </w:t>
      </w:r>
      <w:r w:rsidRPr="00087980">
        <w:rPr>
          <w:highlight w:val="yellow"/>
        </w:rPr>
        <w:fldChar w:fldCharType="begin"/>
      </w:r>
      <w:r w:rsidRPr="00087980">
        <w:instrText xml:space="preserve"> REF _Ref508093881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10</w:t>
      </w:r>
      <w:r w:rsidRPr="00087980">
        <w:rPr>
          <w:highlight w:val="yellow"/>
        </w:rPr>
        <w:fldChar w:fldCharType="end"/>
      </w:r>
      <w:r>
        <w:t xml:space="preserve"> and </w:t>
      </w:r>
      <w:r w:rsidRPr="00087980">
        <w:rPr>
          <w:highlight w:val="yellow"/>
        </w:rPr>
        <w:fldChar w:fldCharType="begin"/>
      </w:r>
      <w:r w:rsidRPr="00087980">
        <w:instrText xml:space="preserve"> REF _Ref508093921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11</w:t>
      </w:r>
      <w:r w:rsidRPr="00087980">
        <w:rPr>
          <w:highlight w:val="yellow"/>
        </w:rPr>
        <w:fldChar w:fldCharType="end"/>
      </w:r>
      <w:r>
        <w:t xml:space="preserve"> show pressure cycle endurance limits for dents located in plain pipe, seam welds and girth welds respectively. The limits in </w:t>
      </w:r>
      <w:r w:rsidRPr="00087980">
        <w:rPr>
          <w:highlight w:val="yellow"/>
        </w:rPr>
        <w:fldChar w:fldCharType="begin"/>
      </w:r>
      <w:r w:rsidRPr="00087980">
        <w:instrText xml:space="preserve"> REF _Ref508093854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9</w:t>
      </w:r>
      <w:r w:rsidRPr="00087980">
        <w:rPr>
          <w:highlight w:val="yellow"/>
        </w:rPr>
        <w:fldChar w:fldCharType="end"/>
      </w:r>
      <w:r>
        <w:t xml:space="preserve">, </w:t>
      </w:r>
      <w:r w:rsidRPr="00087980">
        <w:rPr>
          <w:highlight w:val="yellow"/>
        </w:rPr>
        <w:fldChar w:fldCharType="begin"/>
      </w:r>
      <w:r w:rsidRPr="00087980">
        <w:instrText xml:space="preserve"> REF _Ref508093881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10</w:t>
      </w:r>
      <w:r w:rsidRPr="00087980">
        <w:rPr>
          <w:highlight w:val="yellow"/>
        </w:rPr>
        <w:fldChar w:fldCharType="end"/>
      </w:r>
      <w:r>
        <w:t xml:space="preserve"> and </w:t>
      </w:r>
      <w:r w:rsidRPr="00087980">
        <w:rPr>
          <w:highlight w:val="yellow"/>
        </w:rPr>
        <w:fldChar w:fldCharType="begin"/>
      </w:r>
      <w:r w:rsidRPr="00087980">
        <w:instrText xml:space="preserve"> REF _Ref508093921 \h </w:instrText>
      </w:r>
      <w:r w:rsidRPr="00087980">
        <w:rPr>
          <w:highlight w:val="yellow"/>
        </w:rPr>
        <w:instrText xml:space="preserve"> \* MERGEFORMAT </w:instrText>
      </w:r>
      <w:r w:rsidRPr="00087980">
        <w:rPr>
          <w:highlight w:val="yellow"/>
        </w:rPr>
      </w:r>
      <w:r w:rsidRPr="00087980">
        <w:rPr>
          <w:highlight w:val="yellow"/>
        </w:rPr>
        <w:fldChar w:fldCharType="separate"/>
      </w:r>
      <w:r w:rsidR="00FB3C46" w:rsidRPr="00E62EEC">
        <w:t xml:space="preserve">Figure </w:t>
      </w:r>
      <w:r w:rsidR="00FB3C46">
        <w:rPr>
          <w:noProof/>
        </w:rPr>
        <w:t>11</w:t>
      </w:r>
      <w:r w:rsidRPr="00087980">
        <w:rPr>
          <w:highlight w:val="yellow"/>
        </w:rPr>
        <w:fldChar w:fldCharType="end"/>
      </w:r>
      <w:r>
        <w:t xml:space="preserve"> are calculated using </w:t>
      </w:r>
      <w:r w:rsidRPr="00433C6E">
        <w:fldChar w:fldCharType="begin"/>
      </w:r>
      <w:r w:rsidRPr="00433C6E">
        <w:instrText xml:space="preserve"> REF _Ref507676036 \h  \* MERGEFORMAT </w:instrText>
      </w:r>
      <w:r w:rsidRPr="00433C6E">
        <w:fldChar w:fldCharType="separate"/>
      </w:r>
      <w:r w:rsidR="00FB3C46" w:rsidRPr="00D976E7">
        <w:t xml:space="preserve">Table </w:t>
      </w:r>
      <w:r w:rsidR="00FB3C46">
        <w:rPr>
          <w:noProof/>
        </w:rPr>
        <w:t>5</w:t>
      </w:r>
      <w:r w:rsidRPr="00433C6E">
        <w:fldChar w:fldCharType="end"/>
      </w:r>
      <w:r>
        <w:t xml:space="preserve"> and therefore include the safety factor of 10.</w:t>
      </w:r>
    </w:p>
    <w:tbl>
      <w:tblPr>
        <w:tblStyle w:val="TableGrid"/>
        <w:tblW w:w="0" w:type="auto"/>
        <w:tblLook w:val="04A0" w:firstRow="1" w:lastRow="0" w:firstColumn="1" w:lastColumn="0" w:noHBand="0" w:noVBand="1"/>
      </w:tblPr>
      <w:tblGrid>
        <w:gridCol w:w="1249"/>
        <w:gridCol w:w="2574"/>
        <w:gridCol w:w="2693"/>
      </w:tblGrid>
      <w:tr w:rsidR="00BD13D9" w:rsidRPr="00083AE2" w14:paraId="5352CF49" w14:textId="77777777" w:rsidTr="00543DD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249" w:type="dxa"/>
            <w:shd w:val="clear" w:color="auto" w:fill="E5E0DB" w:themeFill="background1" w:themeFillShade="E6"/>
            <w:hideMark/>
          </w:tcPr>
          <w:p w14:paraId="6E3AC11C" w14:textId="77777777" w:rsidR="00BD13D9" w:rsidRPr="00083AE2" w:rsidRDefault="00BD13D9" w:rsidP="00016331">
            <w:pPr>
              <w:jc w:val="center"/>
            </w:pPr>
            <w:r w:rsidRPr="00083AE2">
              <w:t>Pipe Size</w:t>
            </w:r>
          </w:p>
        </w:tc>
        <w:tc>
          <w:tcPr>
            <w:tcW w:w="2574" w:type="dxa"/>
            <w:shd w:val="clear" w:color="auto" w:fill="E5E0DB" w:themeFill="background1" w:themeFillShade="E6"/>
            <w:hideMark/>
          </w:tcPr>
          <w:p w14:paraId="5F0F4DCD" w14:textId="2A05DE88" w:rsidR="00BD13D9" w:rsidRPr="00083AE2" w:rsidRDefault="00BD13D9" w:rsidP="00016331">
            <w:pPr>
              <w:cnfStyle w:val="100000000000" w:firstRow="1" w:lastRow="0" w:firstColumn="0" w:lastColumn="0" w:oddVBand="0" w:evenVBand="0" w:oddHBand="0" w:evenHBand="0" w:firstRowFirstColumn="0" w:firstRowLastColumn="0" w:lastRowFirstColumn="0" w:lastRowLastColumn="0"/>
            </w:pPr>
            <w:r w:rsidRPr="00083AE2">
              <w:t xml:space="preserve">Outside </w:t>
            </w:r>
            <w:r w:rsidR="006800D4">
              <w:t>d</w:t>
            </w:r>
            <w:r w:rsidRPr="00083AE2">
              <w:t>iameter (mm)</w:t>
            </w:r>
          </w:p>
        </w:tc>
        <w:tc>
          <w:tcPr>
            <w:tcW w:w="2693" w:type="dxa"/>
            <w:shd w:val="clear" w:color="auto" w:fill="E5E0DB" w:themeFill="background1" w:themeFillShade="E6"/>
            <w:hideMark/>
          </w:tcPr>
          <w:p w14:paraId="69288A69" w14:textId="794920E2" w:rsidR="00BD13D9" w:rsidRPr="00083AE2" w:rsidRDefault="00BD13D9" w:rsidP="00016331">
            <w:pPr>
              <w:cnfStyle w:val="100000000000" w:firstRow="1" w:lastRow="0" w:firstColumn="0" w:lastColumn="0" w:oddVBand="0" w:evenVBand="0" w:oddHBand="0" w:evenHBand="0" w:firstRowFirstColumn="0" w:firstRowLastColumn="0" w:lastRowFirstColumn="0" w:lastRowLastColumn="0"/>
            </w:pPr>
            <w:r w:rsidRPr="00083AE2">
              <w:t xml:space="preserve">Nominal </w:t>
            </w:r>
            <w:r w:rsidR="006800D4">
              <w:t>w</w:t>
            </w:r>
            <w:r w:rsidRPr="00083AE2">
              <w:t xml:space="preserve">all </w:t>
            </w:r>
            <w:r w:rsidR="006800D4">
              <w:t>t</w:t>
            </w:r>
            <w:r w:rsidRPr="00083AE2">
              <w:t>hickness (mm)</w:t>
            </w:r>
          </w:p>
        </w:tc>
      </w:tr>
      <w:tr w:rsidR="00BD13D9" w:rsidRPr="00083AE2" w14:paraId="19C88B44"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2AE70800" w14:textId="77777777" w:rsidR="00BD13D9" w:rsidRPr="006800D4" w:rsidRDefault="00BD13D9" w:rsidP="00016331">
            <w:pPr>
              <w:jc w:val="center"/>
              <w:rPr>
                <w:b/>
              </w:rPr>
            </w:pPr>
            <w:r w:rsidRPr="006800D4">
              <w:rPr>
                <w:b/>
              </w:rPr>
              <w:t>200</w:t>
            </w:r>
          </w:p>
        </w:tc>
        <w:tc>
          <w:tcPr>
            <w:tcW w:w="2574" w:type="dxa"/>
            <w:noWrap/>
            <w:hideMark/>
          </w:tcPr>
          <w:p w14:paraId="7C2AB1BA"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219.1</w:t>
            </w:r>
          </w:p>
        </w:tc>
        <w:tc>
          <w:tcPr>
            <w:tcW w:w="2693" w:type="dxa"/>
            <w:noWrap/>
            <w:hideMark/>
          </w:tcPr>
          <w:p w14:paraId="0CF12296"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6.4</w:t>
            </w:r>
          </w:p>
        </w:tc>
      </w:tr>
      <w:tr w:rsidR="00BD13D9" w:rsidRPr="00083AE2" w14:paraId="3A651C67"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3D938113" w14:textId="77777777" w:rsidR="00BD13D9" w:rsidRPr="006800D4" w:rsidRDefault="00BD13D9" w:rsidP="00016331">
            <w:pPr>
              <w:jc w:val="center"/>
              <w:rPr>
                <w:b/>
              </w:rPr>
            </w:pPr>
            <w:r w:rsidRPr="006800D4">
              <w:rPr>
                <w:b/>
              </w:rPr>
              <w:t>250</w:t>
            </w:r>
          </w:p>
        </w:tc>
        <w:tc>
          <w:tcPr>
            <w:tcW w:w="2574" w:type="dxa"/>
            <w:noWrap/>
            <w:hideMark/>
          </w:tcPr>
          <w:p w14:paraId="5ECB99C8"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273.1</w:t>
            </w:r>
          </w:p>
        </w:tc>
        <w:tc>
          <w:tcPr>
            <w:tcW w:w="2693" w:type="dxa"/>
            <w:noWrap/>
            <w:hideMark/>
          </w:tcPr>
          <w:p w14:paraId="43D76C5E"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6.4</w:t>
            </w:r>
          </w:p>
        </w:tc>
      </w:tr>
      <w:tr w:rsidR="00BD13D9" w:rsidRPr="00083AE2" w14:paraId="5511067F"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53FF757B" w14:textId="77777777" w:rsidR="00BD13D9" w:rsidRPr="006800D4" w:rsidRDefault="00BD13D9" w:rsidP="00016331">
            <w:pPr>
              <w:jc w:val="center"/>
              <w:rPr>
                <w:b/>
              </w:rPr>
            </w:pPr>
            <w:r w:rsidRPr="006800D4">
              <w:rPr>
                <w:b/>
              </w:rPr>
              <w:t>300</w:t>
            </w:r>
          </w:p>
        </w:tc>
        <w:tc>
          <w:tcPr>
            <w:tcW w:w="2574" w:type="dxa"/>
            <w:noWrap/>
            <w:hideMark/>
          </w:tcPr>
          <w:p w14:paraId="0A4AD644"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323.9</w:t>
            </w:r>
          </w:p>
        </w:tc>
        <w:tc>
          <w:tcPr>
            <w:tcW w:w="2693" w:type="dxa"/>
            <w:noWrap/>
            <w:hideMark/>
          </w:tcPr>
          <w:p w14:paraId="740A955D"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7.1</w:t>
            </w:r>
          </w:p>
        </w:tc>
      </w:tr>
      <w:tr w:rsidR="00BD13D9" w:rsidRPr="00083AE2" w14:paraId="2A8F80CB"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09331DC4" w14:textId="77777777" w:rsidR="00BD13D9" w:rsidRPr="006800D4" w:rsidRDefault="00BD13D9" w:rsidP="00016331">
            <w:pPr>
              <w:jc w:val="center"/>
              <w:rPr>
                <w:b/>
              </w:rPr>
            </w:pPr>
            <w:r w:rsidRPr="006800D4">
              <w:rPr>
                <w:b/>
              </w:rPr>
              <w:t>400</w:t>
            </w:r>
          </w:p>
        </w:tc>
        <w:tc>
          <w:tcPr>
            <w:tcW w:w="2574" w:type="dxa"/>
            <w:noWrap/>
            <w:hideMark/>
          </w:tcPr>
          <w:p w14:paraId="0909A3B3"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406.4</w:t>
            </w:r>
          </w:p>
        </w:tc>
        <w:tc>
          <w:tcPr>
            <w:tcW w:w="2693" w:type="dxa"/>
            <w:noWrap/>
            <w:hideMark/>
          </w:tcPr>
          <w:p w14:paraId="51D9C60B"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8.7</w:t>
            </w:r>
          </w:p>
        </w:tc>
      </w:tr>
      <w:tr w:rsidR="00BD13D9" w:rsidRPr="00083AE2" w14:paraId="5752ECC3"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5E4CBBB1" w14:textId="77777777" w:rsidR="00BD13D9" w:rsidRPr="006800D4" w:rsidRDefault="00BD13D9" w:rsidP="00016331">
            <w:pPr>
              <w:jc w:val="center"/>
              <w:rPr>
                <w:b/>
              </w:rPr>
            </w:pPr>
            <w:r w:rsidRPr="006800D4">
              <w:rPr>
                <w:b/>
              </w:rPr>
              <w:t>450</w:t>
            </w:r>
          </w:p>
        </w:tc>
        <w:tc>
          <w:tcPr>
            <w:tcW w:w="2574" w:type="dxa"/>
            <w:noWrap/>
            <w:hideMark/>
          </w:tcPr>
          <w:p w14:paraId="40C96E3C"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457</w:t>
            </w:r>
          </w:p>
        </w:tc>
        <w:tc>
          <w:tcPr>
            <w:tcW w:w="2693" w:type="dxa"/>
            <w:noWrap/>
            <w:hideMark/>
          </w:tcPr>
          <w:p w14:paraId="0A96D415"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9.5</w:t>
            </w:r>
          </w:p>
        </w:tc>
      </w:tr>
      <w:tr w:rsidR="00BD13D9" w:rsidRPr="00083AE2" w14:paraId="642082DC"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2351EB74" w14:textId="77777777" w:rsidR="00BD13D9" w:rsidRPr="006800D4" w:rsidRDefault="00BD13D9" w:rsidP="00016331">
            <w:pPr>
              <w:jc w:val="center"/>
              <w:rPr>
                <w:b/>
              </w:rPr>
            </w:pPr>
            <w:r w:rsidRPr="006800D4">
              <w:rPr>
                <w:b/>
              </w:rPr>
              <w:t>600</w:t>
            </w:r>
          </w:p>
        </w:tc>
        <w:tc>
          <w:tcPr>
            <w:tcW w:w="2574" w:type="dxa"/>
            <w:noWrap/>
            <w:hideMark/>
          </w:tcPr>
          <w:p w14:paraId="18C28939"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610</w:t>
            </w:r>
          </w:p>
        </w:tc>
        <w:tc>
          <w:tcPr>
            <w:tcW w:w="2693" w:type="dxa"/>
            <w:noWrap/>
            <w:hideMark/>
          </w:tcPr>
          <w:p w14:paraId="7A171F81"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9.5</w:t>
            </w:r>
          </w:p>
        </w:tc>
      </w:tr>
      <w:tr w:rsidR="00BD13D9" w:rsidRPr="00083AE2" w14:paraId="4AF13627"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4E491A72" w14:textId="77777777" w:rsidR="00BD13D9" w:rsidRPr="006800D4" w:rsidRDefault="00BD13D9" w:rsidP="00016331">
            <w:pPr>
              <w:jc w:val="center"/>
              <w:rPr>
                <w:b/>
              </w:rPr>
            </w:pPr>
            <w:r w:rsidRPr="006800D4">
              <w:rPr>
                <w:b/>
              </w:rPr>
              <w:t>750</w:t>
            </w:r>
          </w:p>
        </w:tc>
        <w:tc>
          <w:tcPr>
            <w:tcW w:w="2574" w:type="dxa"/>
            <w:noWrap/>
            <w:hideMark/>
          </w:tcPr>
          <w:p w14:paraId="65887029"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762</w:t>
            </w:r>
          </w:p>
        </w:tc>
        <w:tc>
          <w:tcPr>
            <w:tcW w:w="2693" w:type="dxa"/>
            <w:noWrap/>
            <w:hideMark/>
          </w:tcPr>
          <w:p w14:paraId="3E43D28D"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11.9</w:t>
            </w:r>
          </w:p>
        </w:tc>
      </w:tr>
      <w:tr w:rsidR="00BD13D9" w:rsidRPr="00083AE2" w14:paraId="650FB667"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22B74239" w14:textId="77777777" w:rsidR="00BD13D9" w:rsidRPr="006800D4" w:rsidRDefault="00BD13D9" w:rsidP="00016331">
            <w:pPr>
              <w:jc w:val="center"/>
              <w:rPr>
                <w:b/>
              </w:rPr>
            </w:pPr>
            <w:r w:rsidRPr="006800D4">
              <w:rPr>
                <w:b/>
              </w:rPr>
              <w:t>900</w:t>
            </w:r>
          </w:p>
        </w:tc>
        <w:tc>
          <w:tcPr>
            <w:tcW w:w="2574" w:type="dxa"/>
            <w:noWrap/>
            <w:hideMark/>
          </w:tcPr>
          <w:p w14:paraId="6B744631"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914</w:t>
            </w:r>
          </w:p>
        </w:tc>
        <w:tc>
          <w:tcPr>
            <w:tcW w:w="2693" w:type="dxa"/>
            <w:noWrap/>
            <w:hideMark/>
          </w:tcPr>
          <w:p w14:paraId="66B5BC8F"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12.7</w:t>
            </w:r>
          </w:p>
        </w:tc>
      </w:tr>
      <w:tr w:rsidR="00BD13D9" w:rsidRPr="00083AE2" w14:paraId="2B06E917"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26D5824F" w14:textId="77777777" w:rsidR="00BD13D9" w:rsidRPr="006800D4" w:rsidRDefault="00BD13D9" w:rsidP="00016331">
            <w:pPr>
              <w:jc w:val="center"/>
              <w:rPr>
                <w:b/>
              </w:rPr>
            </w:pPr>
            <w:r w:rsidRPr="006800D4">
              <w:rPr>
                <w:b/>
              </w:rPr>
              <w:t>1050</w:t>
            </w:r>
          </w:p>
        </w:tc>
        <w:tc>
          <w:tcPr>
            <w:tcW w:w="2574" w:type="dxa"/>
            <w:noWrap/>
            <w:hideMark/>
          </w:tcPr>
          <w:p w14:paraId="67F4D1F6"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1067</w:t>
            </w:r>
          </w:p>
        </w:tc>
        <w:tc>
          <w:tcPr>
            <w:tcW w:w="2693" w:type="dxa"/>
            <w:noWrap/>
            <w:hideMark/>
          </w:tcPr>
          <w:p w14:paraId="3627AC39"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14.3</w:t>
            </w:r>
          </w:p>
        </w:tc>
      </w:tr>
      <w:tr w:rsidR="00BD13D9" w:rsidRPr="00083AE2" w14:paraId="7069DD0F" w14:textId="77777777" w:rsidTr="00543DD5">
        <w:trPr>
          <w:trHeight w:val="340"/>
        </w:trPr>
        <w:tc>
          <w:tcPr>
            <w:cnfStyle w:val="001000000000" w:firstRow="0" w:lastRow="0" w:firstColumn="1" w:lastColumn="0" w:oddVBand="0" w:evenVBand="0" w:oddHBand="0" w:evenHBand="0" w:firstRowFirstColumn="0" w:firstRowLastColumn="0" w:lastRowFirstColumn="0" w:lastRowLastColumn="0"/>
            <w:tcW w:w="1249" w:type="dxa"/>
            <w:noWrap/>
            <w:hideMark/>
          </w:tcPr>
          <w:p w14:paraId="4328DDCA" w14:textId="77777777" w:rsidR="00BD13D9" w:rsidRPr="006800D4" w:rsidRDefault="00BD13D9" w:rsidP="00016331">
            <w:pPr>
              <w:jc w:val="center"/>
              <w:rPr>
                <w:b/>
              </w:rPr>
            </w:pPr>
            <w:r w:rsidRPr="006800D4">
              <w:rPr>
                <w:b/>
              </w:rPr>
              <w:t>1200</w:t>
            </w:r>
          </w:p>
        </w:tc>
        <w:tc>
          <w:tcPr>
            <w:tcW w:w="2574" w:type="dxa"/>
            <w:noWrap/>
            <w:hideMark/>
          </w:tcPr>
          <w:p w14:paraId="11D15E56"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1219</w:t>
            </w:r>
          </w:p>
        </w:tc>
        <w:tc>
          <w:tcPr>
            <w:tcW w:w="2693" w:type="dxa"/>
            <w:noWrap/>
            <w:hideMark/>
          </w:tcPr>
          <w:p w14:paraId="281CB574" w14:textId="77777777" w:rsidR="00BD13D9" w:rsidRPr="00083AE2" w:rsidRDefault="00BD13D9" w:rsidP="00016331">
            <w:pPr>
              <w:cnfStyle w:val="000000000000" w:firstRow="0" w:lastRow="0" w:firstColumn="0" w:lastColumn="0" w:oddVBand="0" w:evenVBand="0" w:oddHBand="0" w:evenHBand="0" w:firstRowFirstColumn="0" w:firstRowLastColumn="0" w:lastRowFirstColumn="0" w:lastRowLastColumn="0"/>
            </w:pPr>
            <w:r w:rsidRPr="00083AE2">
              <w:t>15.9</w:t>
            </w:r>
          </w:p>
        </w:tc>
      </w:tr>
    </w:tbl>
    <w:p w14:paraId="285271F3" w14:textId="4F7E2352" w:rsidR="00BD13D9" w:rsidRPr="00E2546D" w:rsidRDefault="00BD13D9" w:rsidP="00E962DF">
      <w:pPr>
        <w:pStyle w:val="Caption"/>
        <w:rPr>
          <w:i/>
        </w:rPr>
      </w:pPr>
      <w:bookmarkStart w:id="17" w:name="_Ref511294732"/>
      <w:r w:rsidRPr="00D976E7">
        <w:t xml:space="preserve">Table </w:t>
      </w:r>
      <w:fldSimple w:instr=" SEQ Table \* ARABIC ">
        <w:r w:rsidR="00FB3C46">
          <w:rPr>
            <w:noProof/>
          </w:rPr>
          <w:t>6</w:t>
        </w:r>
      </w:fldSimple>
      <w:bookmarkEnd w:id="17"/>
      <w:r>
        <w:t xml:space="preserve"> – Standard </w:t>
      </w:r>
      <w:r w:rsidR="006800D4">
        <w:t>p</w:t>
      </w:r>
      <w:r>
        <w:t xml:space="preserve">ipe </w:t>
      </w:r>
      <w:r w:rsidR="006800D4">
        <w:t>s</w:t>
      </w:r>
      <w:r>
        <w:t xml:space="preserve">izes used for </w:t>
      </w:r>
      <w:r w:rsidR="006800D4">
        <w:t>p</w:t>
      </w:r>
      <w:r>
        <w:t xml:space="preserve">ressure </w:t>
      </w:r>
      <w:r w:rsidR="006800D4">
        <w:t>c</w:t>
      </w:r>
      <w:r>
        <w:t xml:space="preserve">ycle </w:t>
      </w:r>
      <w:r w:rsidR="006800D4">
        <w:t>c</w:t>
      </w:r>
      <w:r>
        <w:t xml:space="preserve">alculations, </w:t>
      </w:r>
      <w:r w:rsidR="006800D4">
        <w:t>d</w:t>
      </w:r>
      <w:r>
        <w:t xml:space="preserve">iameter and </w:t>
      </w:r>
      <w:r w:rsidR="006800D4">
        <w:t>w</w:t>
      </w:r>
      <w:r>
        <w:t xml:space="preserve">all </w:t>
      </w:r>
      <w:r w:rsidR="006800D4">
        <w:t>t</w:t>
      </w:r>
      <w:r>
        <w:t>hickness</w:t>
      </w:r>
    </w:p>
    <w:p w14:paraId="7DEA4786" w14:textId="77777777" w:rsidR="00BD13D9" w:rsidRDefault="00BD13D9" w:rsidP="00016331">
      <w:pPr>
        <w:pStyle w:val="BodyText"/>
        <w:ind w:left="0"/>
        <w:jc w:val="center"/>
        <w:rPr>
          <w:rFonts w:ascii="Arial" w:hAnsi="Arial" w:cs="Arial"/>
        </w:rPr>
      </w:pPr>
      <w:r>
        <w:rPr>
          <w:rFonts w:ascii="Arial" w:hAnsi="Arial" w:cs="Arial"/>
          <w:noProof/>
          <w:lang w:val="en-US" w:eastAsia="zh-CN"/>
        </w:rPr>
        <w:lastRenderedPageBreak/>
        <w:drawing>
          <wp:inline distT="0" distB="0" distL="0" distR="0" wp14:anchorId="4E2881A2" wp14:editId="57C4D4EC">
            <wp:extent cx="4951899" cy="3600000"/>
            <wp:effectExtent l="0" t="0" r="127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1899" cy="3600000"/>
                    </a:xfrm>
                    <a:prstGeom prst="rect">
                      <a:avLst/>
                    </a:prstGeom>
                    <a:noFill/>
                  </pic:spPr>
                </pic:pic>
              </a:graphicData>
            </a:graphic>
          </wp:inline>
        </w:drawing>
      </w:r>
    </w:p>
    <w:p w14:paraId="1FC6CE20" w14:textId="0191C975" w:rsidR="00BD13D9" w:rsidRDefault="00BD13D9" w:rsidP="00E962DF">
      <w:pPr>
        <w:pStyle w:val="Caption"/>
        <w:rPr>
          <w:i/>
        </w:rPr>
      </w:pPr>
      <w:bookmarkStart w:id="18" w:name="_Ref508026132"/>
      <w:r w:rsidRPr="00E62EEC">
        <w:t xml:space="preserve">Figure </w:t>
      </w:r>
      <w:fldSimple w:instr=" SEQ Figure \* ARABIC ">
        <w:r w:rsidR="00FB3C46">
          <w:rPr>
            <w:noProof/>
          </w:rPr>
          <w:t>6</w:t>
        </w:r>
      </w:fldSimple>
      <w:bookmarkEnd w:id="18"/>
      <w:r w:rsidRPr="00E62EEC">
        <w:t xml:space="preserve"> – </w:t>
      </w:r>
      <w:r>
        <w:t xml:space="preserve">Calculated </w:t>
      </w:r>
      <w:r w:rsidR="006800D4">
        <w:t>p</w:t>
      </w:r>
      <w:r>
        <w:t xml:space="preserve">ressure </w:t>
      </w:r>
      <w:r w:rsidR="006800D4">
        <w:t>c</w:t>
      </w:r>
      <w:r>
        <w:t xml:space="preserve">ycle </w:t>
      </w:r>
      <w:r w:rsidR="006800D4">
        <w:t>e</w:t>
      </w:r>
      <w:r>
        <w:t xml:space="preserve">ndurance </w:t>
      </w:r>
      <w:r w:rsidR="006800D4">
        <w:t>l</w:t>
      </w:r>
      <w:r>
        <w:t xml:space="preserve">imits for </w:t>
      </w:r>
      <w:r w:rsidR="006800D4">
        <w:t>d</w:t>
      </w:r>
      <w:r>
        <w:t xml:space="preserve">ents in </w:t>
      </w:r>
      <w:r w:rsidR="006800D4">
        <w:t>p</w:t>
      </w:r>
      <w:r>
        <w:t xml:space="preserve">lain </w:t>
      </w:r>
      <w:r w:rsidR="006800D4">
        <w:t>p</w:t>
      </w:r>
      <w:r>
        <w:t xml:space="preserve">ipe with </w:t>
      </w:r>
      <w:r w:rsidR="006800D4">
        <w:t>n</w:t>
      </w:r>
      <w:r>
        <w:t xml:space="preserve">o </w:t>
      </w:r>
      <w:r w:rsidR="006800D4">
        <w:t>s</w:t>
      </w:r>
      <w:r>
        <w:t xml:space="preserve">afety </w:t>
      </w:r>
      <w:r w:rsidR="006800D4">
        <w:t>f</w:t>
      </w:r>
      <w:r>
        <w:t>actor</w:t>
      </w:r>
    </w:p>
    <w:p w14:paraId="28DE7193" w14:textId="77777777" w:rsidR="00BD13D9" w:rsidRDefault="00BD13D9" w:rsidP="00016331">
      <w:pPr>
        <w:pStyle w:val="BodyText"/>
        <w:ind w:left="0"/>
        <w:jc w:val="center"/>
        <w:rPr>
          <w:rFonts w:ascii="Arial" w:hAnsi="Arial" w:cs="Arial"/>
        </w:rPr>
      </w:pPr>
      <w:r>
        <w:rPr>
          <w:rFonts w:ascii="Arial" w:hAnsi="Arial" w:cs="Arial"/>
          <w:noProof/>
          <w:lang w:val="en-US" w:eastAsia="zh-CN"/>
        </w:rPr>
        <w:drawing>
          <wp:inline distT="0" distB="0" distL="0" distR="0" wp14:anchorId="018D5D06" wp14:editId="4C7B027A">
            <wp:extent cx="4951900" cy="3600000"/>
            <wp:effectExtent l="0" t="0" r="127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51900" cy="3600000"/>
                    </a:xfrm>
                    <a:prstGeom prst="rect">
                      <a:avLst/>
                    </a:prstGeom>
                    <a:noFill/>
                  </pic:spPr>
                </pic:pic>
              </a:graphicData>
            </a:graphic>
          </wp:inline>
        </w:drawing>
      </w:r>
    </w:p>
    <w:p w14:paraId="78B7E6F8" w14:textId="28CF3BEA" w:rsidR="00BD13D9" w:rsidRDefault="00BD13D9" w:rsidP="00E962DF">
      <w:pPr>
        <w:pStyle w:val="Caption"/>
        <w:rPr>
          <w:i/>
        </w:rPr>
      </w:pPr>
      <w:bookmarkStart w:id="19" w:name="_Ref508093792"/>
      <w:r w:rsidRPr="00E62EEC">
        <w:t xml:space="preserve">Figure </w:t>
      </w:r>
      <w:fldSimple w:instr=" SEQ Figure \* ARABIC ">
        <w:r w:rsidR="00FB3C46">
          <w:rPr>
            <w:noProof/>
          </w:rPr>
          <w:t>7</w:t>
        </w:r>
      </w:fldSimple>
      <w:bookmarkEnd w:id="19"/>
      <w:r w:rsidRPr="00E62EEC">
        <w:t xml:space="preserve"> – </w:t>
      </w:r>
      <w:r>
        <w:t xml:space="preserve">Calculated </w:t>
      </w:r>
      <w:r w:rsidR="006800D4">
        <w:t>p</w:t>
      </w:r>
      <w:r>
        <w:t xml:space="preserve">ressure </w:t>
      </w:r>
      <w:r w:rsidR="006800D4">
        <w:t>c</w:t>
      </w:r>
      <w:r>
        <w:t xml:space="preserve">ycle </w:t>
      </w:r>
      <w:r w:rsidR="006800D4">
        <w:t>e</w:t>
      </w:r>
      <w:r>
        <w:t xml:space="preserve">ndurance </w:t>
      </w:r>
      <w:r w:rsidR="006800D4">
        <w:t>l</w:t>
      </w:r>
      <w:r>
        <w:t xml:space="preserve">imits for </w:t>
      </w:r>
      <w:r w:rsidR="006800D4">
        <w:t>d</w:t>
      </w:r>
      <w:r>
        <w:t xml:space="preserve">ents in </w:t>
      </w:r>
      <w:r w:rsidR="006800D4">
        <w:t>s</w:t>
      </w:r>
      <w:r>
        <w:t xml:space="preserve">eam </w:t>
      </w:r>
      <w:r w:rsidR="006800D4">
        <w:t>w</w:t>
      </w:r>
      <w:r>
        <w:t xml:space="preserve">elds with </w:t>
      </w:r>
      <w:r w:rsidR="006800D4">
        <w:t>n</w:t>
      </w:r>
      <w:r>
        <w:t xml:space="preserve">o </w:t>
      </w:r>
      <w:r w:rsidR="006800D4">
        <w:t>s</w:t>
      </w:r>
      <w:r>
        <w:t xml:space="preserve">afety </w:t>
      </w:r>
      <w:r w:rsidR="006800D4">
        <w:t>f</w:t>
      </w:r>
      <w:r>
        <w:t>actor</w:t>
      </w:r>
    </w:p>
    <w:p w14:paraId="4224BEBD" w14:textId="77777777" w:rsidR="00BD13D9" w:rsidRDefault="00BD13D9" w:rsidP="00016331">
      <w:pPr>
        <w:pStyle w:val="BodyText"/>
        <w:ind w:left="0"/>
        <w:jc w:val="center"/>
        <w:rPr>
          <w:rFonts w:ascii="Arial" w:hAnsi="Arial" w:cs="Arial"/>
        </w:rPr>
      </w:pPr>
      <w:r>
        <w:rPr>
          <w:rFonts w:ascii="Arial" w:hAnsi="Arial" w:cs="Arial"/>
          <w:noProof/>
          <w:lang w:val="en-US" w:eastAsia="zh-CN"/>
        </w:rPr>
        <w:lastRenderedPageBreak/>
        <w:drawing>
          <wp:inline distT="0" distB="0" distL="0" distR="0" wp14:anchorId="6D2BA76C" wp14:editId="5B7D141C">
            <wp:extent cx="4951900" cy="3600000"/>
            <wp:effectExtent l="0" t="0" r="127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1900" cy="3600000"/>
                    </a:xfrm>
                    <a:prstGeom prst="rect">
                      <a:avLst/>
                    </a:prstGeom>
                    <a:noFill/>
                  </pic:spPr>
                </pic:pic>
              </a:graphicData>
            </a:graphic>
          </wp:inline>
        </w:drawing>
      </w:r>
    </w:p>
    <w:p w14:paraId="16B6423D" w14:textId="1A794154" w:rsidR="00BD13D9" w:rsidRDefault="00BD13D9" w:rsidP="00E962DF">
      <w:pPr>
        <w:pStyle w:val="Caption"/>
        <w:rPr>
          <w:i/>
        </w:rPr>
      </w:pPr>
      <w:bookmarkStart w:id="20" w:name="_Ref508093798"/>
      <w:r w:rsidRPr="00E62EEC">
        <w:t xml:space="preserve">Figure </w:t>
      </w:r>
      <w:fldSimple w:instr=" SEQ Figure \* ARABIC ">
        <w:r w:rsidR="00FB3C46">
          <w:rPr>
            <w:noProof/>
          </w:rPr>
          <w:t>8</w:t>
        </w:r>
      </w:fldSimple>
      <w:bookmarkEnd w:id="20"/>
      <w:r w:rsidRPr="00E62EEC">
        <w:t xml:space="preserve"> – </w:t>
      </w:r>
      <w:r>
        <w:t xml:space="preserve">Calculated </w:t>
      </w:r>
      <w:r w:rsidR="006800D4">
        <w:t>p</w:t>
      </w:r>
      <w:r>
        <w:t xml:space="preserve">ressure </w:t>
      </w:r>
      <w:r w:rsidR="006800D4">
        <w:t>c</w:t>
      </w:r>
      <w:r>
        <w:t xml:space="preserve">ycle </w:t>
      </w:r>
      <w:r w:rsidR="006800D4">
        <w:t>e</w:t>
      </w:r>
      <w:r>
        <w:t xml:space="preserve">ndurance </w:t>
      </w:r>
      <w:r w:rsidR="006800D4">
        <w:t>l</w:t>
      </w:r>
      <w:r>
        <w:t xml:space="preserve">imits for </w:t>
      </w:r>
      <w:r w:rsidR="006800D4">
        <w:t>d</w:t>
      </w:r>
      <w:r>
        <w:t xml:space="preserve">ents in </w:t>
      </w:r>
      <w:r w:rsidR="006800D4">
        <w:t>g</w:t>
      </w:r>
      <w:r>
        <w:t xml:space="preserve">irth </w:t>
      </w:r>
      <w:r w:rsidR="006800D4">
        <w:t>w</w:t>
      </w:r>
      <w:r>
        <w:t xml:space="preserve">elds with </w:t>
      </w:r>
      <w:r w:rsidR="006800D4">
        <w:t>n</w:t>
      </w:r>
      <w:r>
        <w:t xml:space="preserve">o </w:t>
      </w:r>
      <w:r w:rsidR="006800D4">
        <w:t>s</w:t>
      </w:r>
      <w:r>
        <w:t xml:space="preserve">afety </w:t>
      </w:r>
      <w:r w:rsidR="006800D4">
        <w:t>f</w:t>
      </w:r>
      <w:r>
        <w:t>actor</w:t>
      </w:r>
    </w:p>
    <w:p w14:paraId="6917CF03" w14:textId="77777777" w:rsidR="00BD13D9" w:rsidRDefault="00BD13D9" w:rsidP="00016331">
      <w:pPr>
        <w:pStyle w:val="BodyText"/>
        <w:ind w:left="0"/>
        <w:jc w:val="center"/>
        <w:rPr>
          <w:rFonts w:ascii="Arial" w:hAnsi="Arial" w:cs="Arial"/>
        </w:rPr>
      </w:pPr>
      <w:r>
        <w:rPr>
          <w:rFonts w:ascii="Arial" w:hAnsi="Arial" w:cs="Arial"/>
          <w:noProof/>
          <w:lang w:val="en-US" w:eastAsia="zh-CN"/>
        </w:rPr>
        <w:drawing>
          <wp:inline distT="0" distB="0" distL="0" distR="0" wp14:anchorId="50AF45A9" wp14:editId="00567347">
            <wp:extent cx="4951900" cy="3600000"/>
            <wp:effectExtent l="0" t="0" r="127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51900" cy="3600000"/>
                    </a:xfrm>
                    <a:prstGeom prst="rect">
                      <a:avLst/>
                    </a:prstGeom>
                    <a:noFill/>
                  </pic:spPr>
                </pic:pic>
              </a:graphicData>
            </a:graphic>
          </wp:inline>
        </w:drawing>
      </w:r>
    </w:p>
    <w:p w14:paraId="516D906A" w14:textId="22721237" w:rsidR="00BD13D9" w:rsidRDefault="00BD13D9" w:rsidP="00E962DF">
      <w:pPr>
        <w:pStyle w:val="Caption"/>
        <w:rPr>
          <w:i/>
        </w:rPr>
      </w:pPr>
      <w:bookmarkStart w:id="21" w:name="_Ref508093854"/>
      <w:r w:rsidRPr="00E62EEC">
        <w:t xml:space="preserve">Figure </w:t>
      </w:r>
      <w:fldSimple w:instr=" SEQ Figure \* ARABIC ">
        <w:r w:rsidR="00FB3C46">
          <w:rPr>
            <w:noProof/>
          </w:rPr>
          <w:t>9</w:t>
        </w:r>
      </w:fldSimple>
      <w:bookmarkEnd w:id="21"/>
      <w:r w:rsidRPr="00E62EEC">
        <w:t xml:space="preserve"> – </w:t>
      </w:r>
      <w:r>
        <w:t xml:space="preserve">Calculated </w:t>
      </w:r>
      <w:r w:rsidR="006800D4">
        <w:t>p</w:t>
      </w:r>
      <w:r>
        <w:t xml:space="preserve">ressure </w:t>
      </w:r>
      <w:r w:rsidR="006800D4">
        <w:t>c</w:t>
      </w:r>
      <w:r>
        <w:t xml:space="preserve">ycle </w:t>
      </w:r>
      <w:r w:rsidR="006800D4">
        <w:t>e</w:t>
      </w:r>
      <w:r>
        <w:t xml:space="preserve">ndurance </w:t>
      </w:r>
      <w:r w:rsidR="006800D4">
        <w:t>l</w:t>
      </w:r>
      <w:r>
        <w:t xml:space="preserve">imits for </w:t>
      </w:r>
      <w:r w:rsidR="006800D4">
        <w:t>d</w:t>
      </w:r>
      <w:r>
        <w:t xml:space="preserve">ents in </w:t>
      </w:r>
      <w:r w:rsidR="006800D4">
        <w:t>p</w:t>
      </w:r>
      <w:r>
        <w:t xml:space="preserve">lain </w:t>
      </w:r>
      <w:r w:rsidR="006800D4">
        <w:t>p</w:t>
      </w:r>
      <w:r>
        <w:t xml:space="preserve">ipe with </w:t>
      </w:r>
      <w:r w:rsidR="006800D4">
        <w:t>s</w:t>
      </w:r>
      <w:r>
        <w:t xml:space="preserve">afety </w:t>
      </w:r>
      <w:r w:rsidR="006800D4">
        <w:t>f</w:t>
      </w:r>
      <w:r>
        <w:t>actor</w:t>
      </w:r>
    </w:p>
    <w:p w14:paraId="734A02AE" w14:textId="77777777" w:rsidR="00BD13D9" w:rsidRDefault="00BD13D9" w:rsidP="00016331">
      <w:pPr>
        <w:pStyle w:val="BodyText"/>
        <w:ind w:left="0"/>
        <w:jc w:val="center"/>
        <w:rPr>
          <w:rFonts w:ascii="Arial" w:hAnsi="Arial" w:cs="Arial"/>
        </w:rPr>
      </w:pPr>
      <w:r>
        <w:rPr>
          <w:rFonts w:ascii="Arial" w:hAnsi="Arial" w:cs="Arial"/>
          <w:noProof/>
          <w:lang w:val="en-US" w:eastAsia="zh-CN"/>
        </w:rPr>
        <w:lastRenderedPageBreak/>
        <w:drawing>
          <wp:inline distT="0" distB="0" distL="0" distR="0" wp14:anchorId="5FEAD60A" wp14:editId="374813FA">
            <wp:extent cx="4951900" cy="3600000"/>
            <wp:effectExtent l="0" t="0" r="127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51900" cy="3600000"/>
                    </a:xfrm>
                    <a:prstGeom prst="rect">
                      <a:avLst/>
                    </a:prstGeom>
                    <a:noFill/>
                  </pic:spPr>
                </pic:pic>
              </a:graphicData>
            </a:graphic>
          </wp:inline>
        </w:drawing>
      </w:r>
    </w:p>
    <w:p w14:paraId="7955B4AF" w14:textId="44D1AA89" w:rsidR="00BD13D9" w:rsidRDefault="00BD13D9" w:rsidP="00E962DF">
      <w:pPr>
        <w:pStyle w:val="Caption"/>
        <w:rPr>
          <w:i/>
        </w:rPr>
      </w:pPr>
      <w:bookmarkStart w:id="22" w:name="_Ref508093881"/>
      <w:r w:rsidRPr="00E62EEC">
        <w:t xml:space="preserve">Figure </w:t>
      </w:r>
      <w:fldSimple w:instr=" SEQ Figure \* ARABIC ">
        <w:r w:rsidR="00FB3C46">
          <w:rPr>
            <w:noProof/>
          </w:rPr>
          <w:t>10</w:t>
        </w:r>
      </w:fldSimple>
      <w:bookmarkEnd w:id="22"/>
      <w:r w:rsidRPr="00E62EEC">
        <w:t xml:space="preserve"> – </w:t>
      </w:r>
      <w:r>
        <w:t xml:space="preserve">Calculated </w:t>
      </w:r>
      <w:r w:rsidR="006800D4">
        <w:t>pr</w:t>
      </w:r>
      <w:r>
        <w:t xml:space="preserve">essure </w:t>
      </w:r>
      <w:r w:rsidR="006800D4">
        <w:t>c</w:t>
      </w:r>
      <w:r>
        <w:t xml:space="preserve">ycle </w:t>
      </w:r>
      <w:r w:rsidR="006800D4">
        <w:t>e</w:t>
      </w:r>
      <w:r>
        <w:t xml:space="preserve">ndurance </w:t>
      </w:r>
      <w:r w:rsidR="006800D4">
        <w:t>l</w:t>
      </w:r>
      <w:r>
        <w:t xml:space="preserve">imits for </w:t>
      </w:r>
      <w:r w:rsidR="006800D4">
        <w:t>d</w:t>
      </w:r>
      <w:r>
        <w:t xml:space="preserve">ents in </w:t>
      </w:r>
      <w:r w:rsidR="006800D4">
        <w:t>s</w:t>
      </w:r>
      <w:r>
        <w:t xml:space="preserve">eam </w:t>
      </w:r>
      <w:r w:rsidR="006800D4">
        <w:t>w</w:t>
      </w:r>
      <w:r>
        <w:t xml:space="preserve">elds with </w:t>
      </w:r>
      <w:r w:rsidR="006800D4">
        <w:t>s</w:t>
      </w:r>
      <w:r>
        <w:t xml:space="preserve">afety </w:t>
      </w:r>
      <w:r w:rsidR="006800D4">
        <w:t>f</w:t>
      </w:r>
      <w:r>
        <w:t>actor</w:t>
      </w:r>
    </w:p>
    <w:p w14:paraId="680197EE" w14:textId="77777777" w:rsidR="00BD13D9" w:rsidRDefault="00BD13D9" w:rsidP="00083AE2">
      <w:pPr>
        <w:pStyle w:val="BodyText"/>
        <w:ind w:left="0"/>
        <w:jc w:val="center"/>
        <w:rPr>
          <w:rFonts w:ascii="Arial" w:hAnsi="Arial" w:cs="Arial"/>
        </w:rPr>
      </w:pPr>
      <w:r>
        <w:rPr>
          <w:rFonts w:ascii="Arial" w:hAnsi="Arial" w:cs="Arial"/>
          <w:noProof/>
          <w:lang w:val="en-US" w:eastAsia="zh-CN"/>
        </w:rPr>
        <w:drawing>
          <wp:inline distT="0" distB="0" distL="0" distR="0" wp14:anchorId="6F0453EA" wp14:editId="25D2009B">
            <wp:extent cx="4951900" cy="3600000"/>
            <wp:effectExtent l="0" t="0" r="127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51900" cy="3600000"/>
                    </a:xfrm>
                    <a:prstGeom prst="rect">
                      <a:avLst/>
                    </a:prstGeom>
                    <a:noFill/>
                  </pic:spPr>
                </pic:pic>
              </a:graphicData>
            </a:graphic>
          </wp:inline>
        </w:drawing>
      </w:r>
    </w:p>
    <w:p w14:paraId="202E7721" w14:textId="27A9BC2F" w:rsidR="00BD13D9" w:rsidRDefault="00BD13D9" w:rsidP="00E962DF">
      <w:pPr>
        <w:pStyle w:val="Caption"/>
        <w:rPr>
          <w:i/>
        </w:rPr>
      </w:pPr>
      <w:bookmarkStart w:id="23" w:name="_Ref508093921"/>
      <w:r w:rsidRPr="00E62EEC">
        <w:t xml:space="preserve">Figure </w:t>
      </w:r>
      <w:fldSimple w:instr=" SEQ Figure \* ARABIC ">
        <w:r w:rsidR="00FB3C46">
          <w:rPr>
            <w:noProof/>
          </w:rPr>
          <w:t>11</w:t>
        </w:r>
      </w:fldSimple>
      <w:bookmarkEnd w:id="23"/>
      <w:r w:rsidRPr="00E62EEC">
        <w:t xml:space="preserve"> – </w:t>
      </w:r>
      <w:r>
        <w:t xml:space="preserve">Calculated </w:t>
      </w:r>
      <w:r w:rsidR="006800D4">
        <w:t>p</w:t>
      </w:r>
      <w:r>
        <w:t xml:space="preserve">ressure </w:t>
      </w:r>
      <w:r w:rsidR="006800D4">
        <w:t>c</w:t>
      </w:r>
      <w:r>
        <w:t xml:space="preserve">ycle </w:t>
      </w:r>
      <w:r w:rsidR="006800D4">
        <w:t>e</w:t>
      </w:r>
      <w:r>
        <w:t xml:space="preserve">ndurance </w:t>
      </w:r>
      <w:r w:rsidR="006800D4">
        <w:t>l</w:t>
      </w:r>
      <w:r>
        <w:t xml:space="preserve">imits for </w:t>
      </w:r>
      <w:r w:rsidR="006800D4">
        <w:t>d</w:t>
      </w:r>
      <w:r>
        <w:t xml:space="preserve">ents in </w:t>
      </w:r>
      <w:r w:rsidR="006800D4">
        <w:t>g</w:t>
      </w:r>
      <w:r>
        <w:t xml:space="preserve">irth </w:t>
      </w:r>
      <w:r w:rsidR="006800D4">
        <w:t>w</w:t>
      </w:r>
      <w:r>
        <w:t xml:space="preserve">elds with </w:t>
      </w:r>
      <w:r w:rsidR="006800D4">
        <w:t>s</w:t>
      </w:r>
      <w:r>
        <w:t xml:space="preserve">afety </w:t>
      </w:r>
      <w:r w:rsidR="006800D4">
        <w:t>f</w:t>
      </w:r>
      <w:r>
        <w:t>actor</w:t>
      </w:r>
    </w:p>
    <w:p w14:paraId="319CF585" w14:textId="05EE3B47" w:rsidR="00BD13D9" w:rsidRDefault="00BD13D9" w:rsidP="00BD13D9">
      <w:pPr>
        <w:pStyle w:val="BodyText"/>
        <w:rPr>
          <w:rFonts w:ascii="Arial" w:hAnsi="Arial" w:cs="Arial"/>
        </w:rPr>
      </w:pPr>
      <w:r w:rsidRPr="00263BA8">
        <w:rPr>
          <w:rFonts w:ascii="Arial" w:hAnsi="Arial" w:cs="Arial"/>
        </w:rPr>
        <w:lastRenderedPageBreak/>
        <w:fldChar w:fldCharType="begin"/>
      </w:r>
      <w:r w:rsidRPr="00263BA8">
        <w:rPr>
          <w:rFonts w:ascii="Arial" w:hAnsi="Arial" w:cs="Arial"/>
        </w:rPr>
        <w:instrText xml:space="preserve"> REF _Ref508026132 \h  \* MERGEFORMAT </w:instrText>
      </w:r>
      <w:r w:rsidRPr="00263BA8">
        <w:rPr>
          <w:rFonts w:ascii="Arial" w:hAnsi="Arial" w:cs="Arial"/>
        </w:rPr>
      </w:r>
      <w:r w:rsidRPr="00263BA8">
        <w:rPr>
          <w:rFonts w:ascii="Arial" w:hAnsi="Arial" w:cs="Arial"/>
        </w:rPr>
        <w:fldChar w:fldCharType="separate"/>
      </w:r>
      <w:r w:rsidR="00FB3C46" w:rsidRPr="00FB3C46">
        <w:rPr>
          <w:rFonts w:ascii="Arial" w:hAnsi="Arial" w:cs="Arial"/>
        </w:rPr>
        <w:t xml:space="preserve">Figure </w:t>
      </w:r>
      <w:r w:rsidR="00FB3C46" w:rsidRPr="00FB3C46">
        <w:rPr>
          <w:rFonts w:ascii="Arial" w:hAnsi="Arial" w:cs="Arial"/>
          <w:noProof/>
        </w:rPr>
        <w:t>6</w:t>
      </w:r>
      <w:r w:rsidRPr="00263BA8">
        <w:rPr>
          <w:rFonts w:ascii="Arial" w:hAnsi="Arial" w:cs="Arial"/>
        </w:rPr>
        <w:fldChar w:fldCharType="end"/>
      </w:r>
      <w:r>
        <w:rPr>
          <w:rFonts w:ascii="Arial" w:hAnsi="Arial" w:cs="Arial"/>
        </w:rPr>
        <w:t xml:space="preserve"> to </w:t>
      </w:r>
      <w:r w:rsidRPr="00087980">
        <w:rPr>
          <w:rFonts w:ascii="Arial" w:hAnsi="Arial" w:cs="Arial"/>
        </w:rPr>
        <w:fldChar w:fldCharType="begin"/>
      </w:r>
      <w:r w:rsidRPr="00087980">
        <w:rPr>
          <w:rFonts w:ascii="Arial" w:hAnsi="Arial" w:cs="Arial"/>
        </w:rPr>
        <w:instrText xml:space="preserve"> REF _Ref508093921 \h  \* MERGEFORMAT </w:instrText>
      </w:r>
      <w:r w:rsidRPr="00087980">
        <w:rPr>
          <w:rFonts w:ascii="Arial" w:hAnsi="Arial" w:cs="Arial"/>
        </w:rPr>
      </w:r>
      <w:r w:rsidRPr="00087980">
        <w:rPr>
          <w:rFonts w:ascii="Arial" w:hAnsi="Arial" w:cs="Arial"/>
        </w:rPr>
        <w:fldChar w:fldCharType="separate"/>
      </w:r>
      <w:r w:rsidR="00FB3C46" w:rsidRPr="00FB3C46">
        <w:rPr>
          <w:rFonts w:ascii="Arial" w:hAnsi="Arial" w:cs="Arial"/>
        </w:rPr>
        <w:t xml:space="preserve">Figure </w:t>
      </w:r>
      <w:r w:rsidR="00FB3C46" w:rsidRPr="00FB3C46">
        <w:rPr>
          <w:rFonts w:ascii="Arial" w:hAnsi="Arial" w:cs="Arial"/>
          <w:noProof/>
        </w:rPr>
        <w:t>11</w:t>
      </w:r>
      <w:r w:rsidRPr="00087980">
        <w:rPr>
          <w:rFonts w:ascii="Arial" w:hAnsi="Arial" w:cs="Arial"/>
        </w:rPr>
        <w:fldChar w:fldCharType="end"/>
      </w:r>
      <w:r>
        <w:rPr>
          <w:rFonts w:ascii="Arial" w:hAnsi="Arial" w:cs="Arial"/>
        </w:rPr>
        <w:t xml:space="preserve"> all show a decreasing trend</w:t>
      </w:r>
      <w:r w:rsidRPr="008E1AB7">
        <w:rPr>
          <w:rFonts w:ascii="Arial" w:hAnsi="Arial" w:cs="Arial"/>
        </w:rPr>
        <w:t xml:space="preserve"> </w:t>
      </w:r>
      <w:r>
        <w:rPr>
          <w:rFonts w:ascii="Arial" w:hAnsi="Arial" w:cs="Arial"/>
        </w:rPr>
        <w:t>with increasing standard pipe size in the maximum allowable pressure cycle a dent can withstand before fatigue damage occurs. This trend is because of the ratio between the pipe diameter and the wall thickness which increases from 29.5 for pipe size 200 to 77.2 for pipe size 1200. In other words, pipes of larger diameter are relatively thinner than pipes of smaller diameter. Given the relationship between pressure, diameter, wall thickness and hoop stress, a pipeline which is relatively thin will require a smaller pressure cycle to reach the same stress cycle than a pipeline which is relatively thick.</w:t>
      </w:r>
    </w:p>
    <w:p w14:paraId="6D83C28F" w14:textId="3850F286" w:rsidR="00BD13D9" w:rsidRDefault="00BD13D9" w:rsidP="00BD13D9">
      <w:pPr>
        <w:pStyle w:val="BodyText"/>
        <w:rPr>
          <w:rFonts w:ascii="Arial" w:hAnsi="Arial" w:cs="Arial"/>
        </w:rPr>
      </w:pPr>
      <w:r>
        <w:rPr>
          <w:rFonts w:ascii="Arial" w:hAnsi="Arial" w:cs="Arial"/>
        </w:rPr>
        <w:t xml:space="preserve">On each of the figures, the pattern displayed by the dent depth endurance limits within each pipe size is characteristic of the non-linear relationship between dent depth and stress cycle endurance limit observed in </w:t>
      </w:r>
      <w:r w:rsidRPr="006B4C18">
        <w:rPr>
          <w:rFonts w:ascii="Arial" w:hAnsi="Arial" w:cs="Arial"/>
        </w:rPr>
        <w:fldChar w:fldCharType="begin"/>
      </w:r>
      <w:r w:rsidRPr="006B4C18">
        <w:rPr>
          <w:rFonts w:ascii="Arial" w:hAnsi="Arial" w:cs="Arial"/>
        </w:rPr>
        <w:instrText xml:space="preserve"> REF _Ref508023451 \h  \* MERGEFORMAT </w:instrText>
      </w:r>
      <w:r w:rsidRPr="006B4C18">
        <w:rPr>
          <w:rFonts w:ascii="Arial" w:hAnsi="Arial" w:cs="Arial"/>
        </w:rPr>
      </w:r>
      <w:r w:rsidRPr="006B4C18">
        <w:rPr>
          <w:rFonts w:ascii="Arial" w:hAnsi="Arial" w:cs="Arial"/>
        </w:rPr>
        <w:fldChar w:fldCharType="separate"/>
      </w:r>
      <w:r w:rsidR="00FB3C46" w:rsidRPr="00FB3C46">
        <w:rPr>
          <w:rFonts w:ascii="Arial" w:hAnsi="Arial" w:cs="Arial"/>
        </w:rPr>
        <w:t xml:space="preserve">Figure </w:t>
      </w:r>
      <w:r w:rsidR="00FB3C46" w:rsidRPr="00FB3C46">
        <w:rPr>
          <w:rFonts w:ascii="Arial" w:hAnsi="Arial" w:cs="Arial"/>
          <w:noProof/>
        </w:rPr>
        <w:t>4</w:t>
      </w:r>
      <w:r w:rsidRPr="006B4C18">
        <w:rPr>
          <w:rFonts w:ascii="Arial" w:hAnsi="Arial" w:cs="Arial"/>
        </w:rPr>
        <w:fldChar w:fldCharType="end"/>
      </w:r>
      <w:r>
        <w:rPr>
          <w:rFonts w:ascii="Arial" w:hAnsi="Arial" w:cs="Arial"/>
        </w:rPr>
        <w:t xml:space="preserve"> and </w:t>
      </w:r>
      <w:r w:rsidRPr="006B4C18">
        <w:rPr>
          <w:rFonts w:ascii="Arial" w:hAnsi="Arial" w:cs="Arial"/>
        </w:rPr>
        <w:fldChar w:fldCharType="begin"/>
      </w:r>
      <w:r w:rsidRPr="006B4C18">
        <w:rPr>
          <w:rFonts w:ascii="Arial" w:hAnsi="Arial" w:cs="Arial"/>
        </w:rPr>
        <w:instrText xml:space="preserve"> REF _Ref508023845 \h  \* MERGEFORMAT </w:instrText>
      </w:r>
      <w:r w:rsidRPr="006B4C18">
        <w:rPr>
          <w:rFonts w:ascii="Arial" w:hAnsi="Arial" w:cs="Arial"/>
        </w:rPr>
      </w:r>
      <w:r w:rsidRPr="006B4C18">
        <w:rPr>
          <w:rFonts w:ascii="Arial" w:hAnsi="Arial" w:cs="Arial"/>
        </w:rPr>
        <w:fldChar w:fldCharType="separate"/>
      </w:r>
      <w:r w:rsidR="00FB3C46" w:rsidRPr="00FB3C46">
        <w:rPr>
          <w:rFonts w:ascii="Arial" w:hAnsi="Arial" w:cs="Arial"/>
        </w:rPr>
        <w:t xml:space="preserve">Figure </w:t>
      </w:r>
      <w:r w:rsidR="00FB3C46" w:rsidRPr="00FB3C46">
        <w:rPr>
          <w:rFonts w:ascii="Arial" w:hAnsi="Arial" w:cs="Arial"/>
          <w:noProof/>
        </w:rPr>
        <w:t>5</w:t>
      </w:r>
      <w:r w:rsidRPr="006B4C18">
        <w:rPr>
          <w:rFonts w:ascii="Arial" w:hAnsi="Arial" w:cs="Arial"/>
        </w:rPr>
        <w:fldChar w:fldCharType="end"/>
      </w:r>
      <w:r>
        <w:rPr>
          <w:rFonts w:ascii="Arial" w:hAnsi="Arial" w:cs="Arial"/>
        </w:rPr>
        <w:t>. For each case, the pressure range increases with decreasing dent depth.</w:t>
      </w:r>
    </w:p>
    <w:p w14:paraId="72CBE095" w14:textId="486C080C" w:rsidR="00BD13D9" w:rsidRDefault="00BD13D9" w:rsidP="00BD13D9">
      <w:pPr>
        <w:pStyle w:val="BodyText"/>
        <w:rPr>
          <w:rFonts w:ascii="Arial" w:hAnsi="Arial" w:cs="Arial"/>
        </w:rPr>
      </w:pPr>
      <w:r>
        <w:rPr>
          <w:rFonts w:ascii="Arial" w:hAnsi="Arial" w:cs="Arial"/>
        </w:rPr>
        <w:t xml:space="preserve">Between plain pipe, seam welds and girth welds, the changes in calculated pressure cycle for dents of the same size mirror those observed in </w:t>
      </w:r>
      <w:r w:rsidRPr="006B4C18">
        <w:rPr>
          <w:rFonts w:ascii="Arial" w:hAnsi="Arial" w:cs="Arial"/>
        </w:rPr>
        <w:fldChar w:fldCharType="begin"/>
      </w:r>
      <w:r w:rsidRPr="006B4C18">
        <w:rPr>
          <w:rFonts w:ascii="Arial" w:hAnsi="Arial" w:cs="Arial"/>
        </w:rPr>
        <w:instrText xml:space="preserve"> REF _Ref508023451 \h  \* MERGEFORMAT </w:instrText>
      </w:r>
      <w:r w:rsidRPr="006B4C18">
        <w:rPr>
          <w:rFonts w:ascii="Arial" w:hAnsi="Arial" w:cs="Arial"/>
        </w:rPr>
      </w:r>
      <w:r w:rsidRPr="006B4C18">
        <w:rPr>
          <w:rFonts w:ascii="Arial" w:hAnsi="Arial" w:cs="Arial"/>
        </w:rPr>
        <w:fldChar w:fldCharType="separate"/>
      </w:r>
      <w:r w:rsidR="00FB3C46" w:rsidRPr="00FB3C46">
        <w:rPr>
          <w:rFonts w:ascii="Arial" w:hAnsi="Arial" w:cs="Arial"/>
        </w:rPr>
        <w:t xml:space="preserve">Figure </w:t>
      </w:r>
      <w:r w:rsidR="00FB3C46" w:rsidRPr="00FB3C46">
        <w:rPr>
          <w:rFonts w:ascii="Arial" w:hAnsi="Arial" w:cs="Arial"/>
          <w:noProof/>
        </w:rPr>
        <w:t>4</w:t>
      </w:r>
      <w:r w:rsidRPr="006B4C18">
        <w:rPr>
          <w:rFonts w:ascii="Arial" w:hAnsi="Arial" w:cs="Arial"/>
        </w:rPr>
        <w:fldChar w:fldCharType="end"/>
      </w:r>
      <w:r>
        <w:rPr>
          <w:rFonts w:ascii="Arial" w:hAnsi="Arial" w:cs="Arial"/>
        </w:rPr>
        <w:t xml:space="preserve"> and </w:t>
      </w:r>
      <w:r w:rsidRPr="006B4C18">
        <w:rPr>
          <w:rFonts w:ascii="Arial" w:hAnsi="Arial" w:cs="Arial"/>
        </w:rPr>
        <w:fldChar w:fldCharType="begin"/>
      </w:r>
      <w:r w:rsidRPr="006B4C18">
        <w:rPr>
          <w:rFonts w:ascii="Arial" w:hAnsi="Arial" w:cs="Arial"/>
        </w:rPr>
        <w:instrText xml:space="preserve"> REF _Ref508023845 \h  \* MERGEFORMAT </w:instrText>
      </w:r>
      <w:r w:rsidRPr="006B4C18">
        <w:rPr>
          <w:rFonts w:ascii="Arial" w:hAnsi="Arial" w:cs="Arial"/>
        </w:rPr>
      </w:r>
      <w:r w:rsidRPr="006B4C18">
        <w:rPr>
          <w:rFonts w:ascii="Arial" w:hAnsi="Arial" w:cs="Arial"/>
        </w:rPr>
        <w:fldChar w:fldCharType="separate"/>
      </w:r>
      <w:r w:rsidR="00FB3C46" w:rsidRPr="00FB3C46">
        <w:rPr>
          <w:rFonts w:ascii="Arial" w:hAnsi="Arial" w:cs="Arial"/>
        </w:rPr>
        <w:t xml:space="preserve">Figure </w:t>
      </w:r>
      <w:r w:rsidR="00FB3C46" w:rsidRPr="00FB3C46">
        <w:rPr>
          <w:rFonts w:ascii="Arial" w:hAnsi="Arial" w:cs="Arial"/>
          <w:noProof/>
        </w:rPr>
        <w:t>5</w:t>
      </w:r>
      <w:r w:rsidRPr="006B4C18">
        <w:rPr>
          <w:rFonts w:ascii="Arial" w:hAnsi="Arial" w:cs="Arial"/>
        </w:rPr>
        <w:fldChar w:fldCharType="end"/>
      </w:r>
      <w:r>
        <w:rPr>
          <w:rFonts w:ascii="Arial" w:hAnsi="Arial" w:cs="Arial"/>
        </w:rPr>
        <w:t xml:space="preserve">, with a reduction in the cycle size moving from plain pipe to seam welds to girth welds. </w:t>
      </w:r>
    </w:p>
    <w:p w14:paraId="12739F0E" w14:textId="1BA48B84" w:rsidR="00BD13D9" w:rsidRDefault="00BD13D9" w:rsidP="00BD13D9">
      <w:pPr>
        <w:pStyle w:val="BodyText"/>
        <w:rPr>
          <w:rFonts w:ascii="Arial" w:hAnsi="Arial" w:cs="Arial"/>
        </w:rPr>
      </w:pPr>
      <w:r>
        <w:rPr>
          <w:rFonts w:ascii="Arial" w:hAnsi="Arial" w:cs="Arial"/>
        </w:rPr>
        <w:t xml:space="preserve">As with </w:t>
      </w:r>
      <w:r w:rsidRPr="006B4C18">
        <w:rPr>
          <w:rFonts w:ascii="Arial" w:hAnsi="Arial" w:cs="Arial"/>
        </w:rPr>
        <w:fldChar w:fldCharType="begin"/>
      </w:r>
      <w:r w:rsidRPr="006B4C18">
        <w:rPr>
          <w:rFonts w:ascii="Arial" w:hAnsi="Arial" w:cs="Arial"/>
        </w:rPr>
        <w:instrText xml:space="preserve"> REF _Ref508023845 \h  \* MERGEFORMAT </w:instrText>
      </w:r>
      <w:r w:rsidRPr="006B4C18">
        <w:rPr>
          <w:rFonts w:ascii="Arial" w:hAnsi="Arial" w:cs="Arial"/>
        </w:rPr>
      </w:r>
      <w:r w:rsidRPr="006B4C18">
        <w:rPr>
          <w:rFonts w:ascii="Arial" w:hAnsi="Arial" w:cs="Arial"/>
        </w:rPr>
        <w:fldChar w:fldCharType="separate"/>
      </w:r>
      <w:r w:rsidR="00FB3C46" w:rsidRPr="00FB3C46">
        <w:rPr>
          <w:rFonts w:ascii="Arial" w:hAnsi="Arial" w:cs="Arial"/>
        </w:rPr>
        <w:t xml:space="preserve">Figure </w:t>
      </w:r>
      <w:r w:rsidR="00FB3C46" w:rsidRPr="00FB3C46">
        <w:rPr>
          <w:rFonts w:ascii="Arial" w:hAnsi="Arial" w:cs="Arial"/>
          <w:noProof/>
        </w:rPr>
        <w:t>5</w:t>
      </w:r>
      <w:r w:rsidRPr="006B4C18">
        <w:rPr>
          <w:rFonts w:ascii="Arial" w:hAnsi="Arial" w:cs="Arial"/>
        </w:rPr>
        <w:fldChar w:fldCharType="end"/>
      </w:r>
      <w:r>
        <w:rPr>
          <w:rFonts w:ascii="Arial" w:hAnsi="Arial" w:cs="Arial"/>
        </w:rPr>
        <w:t>, the application of a safety factor results in a reduction in the calculated pressure cycle values of 1.77 for dents in plain pipe, 2.15 for dents on seam welds and 2.11 for dents on girth welds.</w:t>
      </w:r>
    </w:p>
    <w:p w14:paraId="78A9975A" w14:textId="134007FD" w:rsidR="00BD13D9" w:rsidRDefault="00BD13D9" w:rsidP="00BD13D9">
      <w:pPr>
        <w:pStyle w:val="Heading1"/>
      </w:pPr>
      <w:bookmarkStart w:id="24" w:name="_Toc457918"/>
      <w:r>
        <w:lastRenderedPageBreak/>
        <w:t xml:space="preserve">Pipeline </w:t>
      </w:r>
      <w:r w:rsidR="00E962DF">
        <w:t>d</w:t>
      </w:r>
      <w:r>
        <w:t xml:space="preserve">ents and </w:t>
      </w:r>
      <w:r w:rsidR="00E962DF">
        <w:t>t</w:t>
      </w:r>
      <w:r>
        <w:t xml:space="preserve">he IGEM/TD/1 </w:t>
      </w:r>
      <w:r w:rsidR="00E962DF">
        <w:t>e</w:t>
      </w:r>
      <w:r>
        <w:t xml:space="preserve">ndurance </w:t>
      </w:r>
      <w:r w:rsidR="00E962DF">
        <w:t>l</w:t>
      </w:r>
      <w:r>
        <w:t>imit</w:t>
      </w:r>
      <w:bookmarkEnd w:id="24"/>
    </w:p>
    <w:p w14:paraId="1D204B89" w14:textId="77777777" w:rsidR="00BD13D9" w:rsidRPr="005E07B0" w:rsidRDefault="00BD13D9" w:rsidP="00BD13D9">
      <w:pPr>
        <w:pStyle w:val="BodyText"/>
      </w:pPr>
      <w:r w:rsidRPr="005E07B0">
        <w:t xml:space="preserve">As noted in </w:t>
      </w:r>
      <w:r>
        <w:t>S</w:t>
      </w:r>
      <w:r w:rsidRPr="005E07B0">
        <w:t>ection 6, although the fatigue life of pipeline dents has been studied extensively, little of the research has directly addressed the endurance limit associated with the dents. A consequence of this is that there exists no guidance for pipeline operators as to whether, once a dent is discovered, a pipeline remains able to withstand the cyclic stresses experienced during operation, or if a fatigue assessment is required.</w:t>
      </w:r>
    </w:p>
    <w:p w14:paraId="7AFE99B6" w14:textId="343FB6DC" w:rsidR="00BD13D9" w:rsidRDefault="00BD13D9" w:rsidP="00BD13D9">
      <w:pPr>
        <w:pStyle w:val="BodyText"/>
      </w:pPr>
      <w:r w:rsidRPr="005E07B0">
        <w:t xml:space="preserve">In the absence of such guidance, an assumption could potentially be made that the endurance limit </w:t>
      </w:r>
      <w:r>
        <w:t xml:space="preserve">given in the design S-N curve </w:t>
      </w:r>
      <w:r w:rsidRPr="005E07B0">
        <w:t xml:space="preserve">in IGEM/TD/1, </w:t>
      </w:r>
      <w:r>
        <w:t>can be</w:t>
      </w:r>
      <w:r w:rsidRPr="005E07B0">
        <w:t xml:space="preserve"> appli</w:t>
      </w:r>
      <w:r>
        <w:t xml:space="preserve">ed to determine the requirement for a fatigue analysis (for example a check of the loading history of the pipeline to determine if any completed cycles exceed the stated limits). </w:t>
      </w:r>
      <w:r w:rsidRPr="00B63827">
        <w:t>In this section the endurance limit stated in IGEM/TD/1</w:t>
      </w:r>
      <w:r>
        <w:t xml:space="preserve"> is</w:t>
      </w:r>
      <w:r w:rsidRPr="00B63827">
        <w:t xml:space="preserve"> considered to </w:t>
      </w:r>
      <w:r>
        <w:t>ascertain</w:t>
      </w:r>
      <w:r w:rsidRPr="00B63827">
        <w:t xml:space="preserve"> whether th</w:t>
      </w:r>
      <w:r>
        <w:t>is assumption</w:t>
      </w:r>
      <w:r w:rsidRPr="00B63827">
        <w:t xml:space="preserve"> </w:t>
      </w:r>
      <w:r>
        <w:t>is</w:t>
      </w:r>
      <w:r w:rsidRPr="00B63827">
        <w:t xml:space="preserve"> appropriate.</w:t>
      </w:r>
      <w:r>
        <w:t xml:space="preserve"> The endurance limit stated in IGEM/TD/1 is 35 Nmm</w:t>
      </w:r>
      <w:r w:rsidRPr="00E2546D">
        <w:rPr>
          <w:vertAlign w:val="superscript"/>
        </w:rPr>
        <w:t>-2</w:t>
      </w:r>
      <w:r>
        <w:t xml:space="preserve">, as indicated in </w:t>
      </w:r>
      <w:r w:rsidRPr="002331EE">
        <w:fldChar w:fldCharType="begin"/>
      </w:r>
      <w:r w:rsidRPr="00E2546D">
        <w:instrText xml:space="preserve"> REF _Ref506886289 \h  \* MERGEFORMAT </w:instrText>
      </w:r>
      <w:r w:rsidRPr="002331EE">
        <w:fldChar w:fldCharType="separate"/>
      </w:r>
      <w:r w:rsidR="00FB3C46" w:rsidRPr="00F66F56">
        <w:t xml:space="preserve">Figure </w:t>
      </w:r>
      <w:r w:rsidR="00FB3C46">
        <w:rPr>
          <w:noProof/>
        </w:rPr>
        <w:t>2</w:t>
      </w:r>
      <w:r w:rsidRPr="002331EE">
        <w:fldChar w:fldCharType="end"/>
      </w:r>
      <w:r>
        <w:t>. This would be equivalent to a pressure cycle of 15.3 bar in a 323.9 mm outside diameter, 7.1 mm wall thickness pipeline</w:t>
      </w:r>
      <w:r>
        <w:rPr>
          <w:rStyle w:val="FootnoteReference"/>
          <w:rFonts w:ascii="Arial" w:hAnsi="Arial" w:cs="Arial"/>
        </w:rPr>
        <w:footnoteReference w:id="1"/>
      </w:r>
      <w:r>
        <w:t>.</w:t>
      </w:r>
    </w:p>
    <w:p w14:paraId="145BDE3F" w14:textId="04FE7BAC" w:rsidR="00BD13D9" w:rsidRDefault="00BD13D9" w:rsidP="00BD13D9">
      <w:pPr>
        <w:pStyle w:val="BodyText"/>
      </w:pPr>
      <w:r>
        <w:t xml:space="preserve">From the analysis in Section 5 </w:t>
      </w:r>
      <w:r w:rsidRPr="00F76FA1">
        <w:t>it can be seen that</w:t>
      </w:r>
      <w:r>
        <w:t xml:space="preserve"> if a safety factor is not applied (</w:t>
      </w:r>
      <w:r w:rsidRPr="00895299">
        <w:fldChar w:fldCharType="begin"/>
      </w:r>
      <w:r w:rsidRPr="00895299">
        <w:instrText xml:space="preserve"> REF _Ref508023451 \h  \* MERGEFORMAT </w:instrText>
      </w:r>
      <w:r w:rsidRPr="00895299">
        <w:fldChar w:fldCharType="separate"/>
      </w:r>
      <w:r w:rsidR="00FB3C46" w:rsidRPr="00E62EEC">
        <w:t xml:space="preserve">Figure </w:t>
      </w:r>
      <w:r w:rsidR="00FB3C46">
        <w:rPr>
          <w:noProof/>
        </w:rPr>
        <w:t>4</w:t>
      </w:r>
      <w:r w:rsidRPr="00895299">
        <w:fldChar w:fldCharType="end"/>
      </w:r>
      <w:r>
        <w:t xml:space="preserve"> and </w:t>
      </w:r>
      <w:r w:rsidRPr="00895299">
        <w:fldChar w:fldCharType="begin"/>
      </w:r>
      <w:r w:rsidRPr="00895299">
        <w:instrText xml:space="preserve"> REF _Ref507591710 \h  \* MERGEFORMAT </w:instrText>
      </w:r>
      <w:r w:rsidRPr="00895299">
        <w:fldChar w:fldCharType="separate"/>
      </w:r>
      <w:r w:rsidR="00FB3C46" w:rsidRPr="00D976E7">
        <w:t xml:space="preserve">Table </w:t>
      </w:r>
      <w:r w:rsidR="00FB3C46">
        <w:rPr>
          <w:noProof/>
        </w:rPr>
        <w:t>3</w:t>
      </w:r>
      <w:r w:rsidRPr="00895299">
        <w:fldChar w:fldCharType="end"/>
      </w:r>
      <w:r>
        <w:t>)</w:t>
      </w:r>
      <w:r w:rsidRPr="00F76FA1">
        <w:t xml:space="preserve"> the calculated endurance limits for dented pipelines</w:t>
      </w:r>
      <w:r>
        <w:t xml:space="preserve"> are in</w:t>
      </w:r>
      <w:r w:rsidRPr="00F76FA1">
        <w:t xml:space="preserve"> exce</w:t>
      </w:r>
      <w:r>
        <w:t>ss of</w:t>
      </w:r>
      <w:r w:rsidRPr="00F76FA1">
        <w:t xml:space="preserve"> the 35 Nmm</w:t>
      </w:r>
      <w:r w:rsidRPr="00F76FA1">
        <w:rPr>
          <w:vertAlign w:val="superscript"/>
        </w:rPr>
        <w:t>-2</w:t>
      </w:r>
      <w:r w:rsidRPr="00F76FA1">
        <w:t xml:space="preserve"> endurance limit stated in IGEM/TD/1 in only two cases. These cases correspond to dents of depth 1% OD and 2% OD located in plain pipe.</w:t>
      </w:r>
      <w:r>
        <w:t xml:space="preserve"> Furthermore, under the application of a safety factor of 10 (</w:t>
      </w:r>
      <w:r w:rsidRPr="00895299">
        <w:fldChar w:fldCharType="begin"/>
      </w:r>
      <w:r w:rsidRPr="00895299">
        <w:instrText xml:space="preserve"> REF _Ref508023845 \h  \* MERGEFORMAT </w:instrText>
      </w:r>
      <w:r w:rsidRPr="00895299">
        <w:fldChar w:fldCharType="separate"/>
      </w:r>
      <w:r w:rsidR="00FB3C46" w:rsidRPr="00E62EEC">
        <w:t xml:space="preserve">Figure </w:t>
      </w:r>
      <w:r w:rsidR="00FB3C46">
        <w:rPr>
          <w:noProof/>
        </w:rPr>
        <w:t>5</w:t>
      </w:r>
      <w:r w:rsidRPr="00895299">
        <w:fldChar w:fldCharType="end"/>
      </w:r>
      <w:r>
        <w:t xml:space="preserve"> and </w:t>
      </w:r>
      <w:r w:rsidRPr="00895299">
        <w:fldChar w:fldCharType="begin"/>
      </w:r>
      <w:r w:rsidRPr="00895299">
        <w:instrText xml:space="preserve"> REF _Ref507676036 \h  \* MERGEFORMAT </w:instrText>
      </w:r>
      <w:r w:rsidRPr="00895299">
        <w:fldChar w:fldCharType="separate"/>
      </w:r>
      <w:r w:rsidR="00FB3C46" w:rsidRPr="00D976E7">
        <w:t xml:space="preserve">Table </w:t>
      </w:r>
      <w:r w:rsidR="00FB3C46">
        <w:rPr>
          <w:noProof/>
        </w:rPr>
        <w:t>5</w:t>
      </w:r>
      <w:r w:rsidRPr="00895299">
        <w:fldChar w:fldCharType="end"/>
      </w:r>
      <w:r>
        <w:t>), none of the calculated endurance limits for dented pipelines are in excess of the IGEM/TD/1 endurance limit.</w:t>
      </w:r>
    </w:p>
    <w:p w14:paraId="2369C592" w14:textId="77777777" w:rsidR="00BD13D9" w:rsidRDefault="00BD13D9" w:rsidP="00BD13D9">
      <w:pPr>
        <w:pStyle w:val="BodyText"/>
      </w:pPr>
      <w:r>
        <w:t>It can therefore be concluded that for a dented pipeline, certain stress cycles below the IGEM/TD/1 endurance limit can cause fatigue damage. The use of the IGEM/TD/1 endurance limit to determine the necessity for a fatigue assessment could therefore potentially result in a situation whereby a dent is passed as fit for continued operation but continues to suffer from fatigue damage.</w:t>
      </w:r>
    </w:p>
    <w:p w14:paraId="2BCD2BBC" w14:textId="1B14D945" w:rsidR="00BD13D9" w:rsidRDefault="00BD13D9" w:rsidP="00BD13D9">
      <w:pPr>
        <w:pStyle w:val="BodyText"/>
      </w:pPr>
      <w:r>
        <w:t xml:space="preserve">The severity of any fatigue </w:t>
      </w:r>
      <w:r w:rsidR="006800D4">
        <w:t>damage,</w:t>
      </w:r>
      <w:r>
        <w:t xml:space="preserve"> however, must be considered with respect to the projected operating life of the pipeline. A dent which suffers fatigue damage but whose fatigue life exceeds that of the pipeline would not necessarily be cause for concern. </w:t>
      </w:r>
      <w:r w:rsidRPr="00C6613D">
        <w:t>To ascertain whether the</w:t>
      </w:r>
      <w:r>
        <w:t xml:space="preserve"> IGEM/TD/1</w:t>
      </w:r>
      <w:r w:rsidRPr="00C6613D">
        <w:t xml:space="preserve"> endurance limit can be applied to determine the requirement for a fatigue analysis in a dented pipeline, </w:t>
      </w:r>
      <w:r>
        <w:t xml:space="preserve">the </w:t>
      </w:r>
      <w:r w:rsidRPr="00C6613D">
        <w:t>dent fatigue life must be considered.</w:t>
      </w:r>
      <w:r>
        <w:t xml:space="preserve"> </w:t>
      </w:r>
    </w:p>
    <w:p w14:paraId="79139FE3" w14:textId="77777777" w:rsidR="00BD13D9" w:rsidRDefault="00BD13D9" w:rsidP="00BD13D9">
      <w:pPr>
        <w:pStyle w:val="BodyText"/>
      </w:pPr>
      <w:r>
        <w:t xml:space="preserve">Assuming the limit </w:t>
      </w:r>
      <w:r w:rsidRPr="00E2546D">
        <w:t>were</w:t>
      </w:r>
      <w:r>
        <w:t xml:space="preserve"> applicable</w:t>
      </w:r>
      <w:r w:rsidRPr="00C6613D">
        <w:t>, a fatigue analysis would be required if the cycle loading of the pipeline were to exceed that limit. In this case, the shortest acceptable dent fatigue li</w:t>
      </w:r>
      <w:r>
        <w:t>fe</w:t>
      </w:r>
      <w:r w:rsidRPr="00C6613D">
        <w:t xml:space="preserve"> would be th</w:t>
      </w:r>
      <w:r>
        <w:t>at</w:t>
      </w:r>
      <w:r w:rsidRPr="00C6613D">
        <w:t xml:space="preserve"> for which continuous stress cycling is experienced at the endurance limit value.</w:t>
      </w:r>
      <w:r>
        <w:t xml:space="preserve"> If this fatigue life were acceptable with regards to the operating life of the pipeline, then the IGEM/TD/1 endurance limit would be considered acceptable to determine the requirement for a fatigue analysis of a dented pipeline.</w:t>
      </w:r>
    </w:p>
    <w:p w14:paraId="00E9CA72" w14:textId="237C34E5" w:rsidR="00BD13D9" w:rsidRDefault="00BD13D9" w:rsidP="00BD13D9">
      <w:pPr>
        <w:pStyle w:val="BodyText"/>
      </w:pPr>
      <w:r>
        <w:t xml:space="preserve">In accordance with the UKOPA </w:t>
      </w:r>
      <w:r w:rsidR="005B2DC4">
        <w:t>dent management strategy</w:t>
      </w:r>
      <w:r>
        <w:t>, the most accurate representation of dent fatigue life is determined by applying the S-N curves from BS 7608 in combination with an appropriate SCF. An accurate representation of the fatigue lives of dents under constant cyclic loading at the IGEM/TD/1 endurance limit can therefore be calculated using this method. The form of the S-N curve with the SCF is (equation (2)):</w:t>
      </w:r>
    </w:p>
    <w:p w14:paraId="24081803" w14:textId="7A5276A3" w:rsidR="00BD13D9" w:rsidRDefault="00BD13D9" w:rsidP="00016331">
      <w:pPr>
        <w:pStyle w:val="BodyText"/>
        <w:jc w:val="center"/>
        <w:rPr>
          <w:rFonts w:eastAsiaTheme="minorEastAsia"/>
        </w:rPr>
      </w:pPr>
      <m:oMathPara>
        <m:oMath>
          <m:r>
            <w:rPr>
              <w:rFonts w:ascii="Cambria Math" w:hAnsi="Cambria Math"/>
            </w:rPr>
            <m:t>C=</m:t>
          </m:r>
          <m:sSup>
            <m:sSupPr>
              <m:ctrlPr>
                <w:rPr>
                  <w:rFonts w:ascii="Cambria Math" w:hAnsi="Cambria Math"/>
                  <w:i/>
                </w:rPr>
              </m:ctrlPr>
            </m:sSupPr>
            <m:e>
              <m:r>
                <w:rPr>
                  <w:rFonts w:ascii="Cambria Math" w:hAnsi="Cambria Math"/>
                </w:rPr>
                <m:t>(SCF.∆σ)</m:t>
              </m:r>
            </m:e>
            <m:sup>
              <m:r>
                <w:rPr>
                  <w:rFonts w:ascii="Cambria Math" w:hAnsi="Cambria Math"/>
                </w:rPr>
                <m:t>m</m:t>
              </m:r>
            </m:sup>
          </m:sSup>
          <m:r>
            <w:rPr>
              <w:rFonts w:ascii="Cambria Math" w:hAnsi="Cambria Math"/>
            </w:rPr>
            <m:t>.N</m:t>
          </m:r>
        </m:oMath>
      </m:oMathPara>
    </w:p>
    <w:p w14:paraId="658DDF17" w14:textId="77777777" w:rsidR="00BD13D9" w:rsidRDefault="00BD13D9" w:rsidP="00BD13D9">
      <w:pPr>
        <w:pStyle w:val="BodyText"/>
      </w:pPr>
      <w:r>
        <w:lastRenderedPageBreak/>
        <w:t xml:space="preserve">Rearranging equation (2) for </w:t>
      </w:r>
      <w:r w:rsidRPr="000637ED">
        <w:rPr>
          <w:rFonts w:ascii="Cambria Math" w:hAnsi="Cambria Math"/>
          <w:i/>
        </w:rPr>
        <w:t>N</w:t>
      </w:r>
      <w:r>
        <w:t xml:space="preserve"> gives:</w:t>
      </w:r>
    </w:p>
    <w:p w14:paraId="0EB45CF2" w14:textId="77777777" w:rsidR="00BD13D9" w:rsidRDefault="00BD13D9" w:rsidP="00016331">
      <w:pPr>
        <w:pStyle w:val="BodyText"/>
        <w:jc w:val="center"/>
        <w:rPr>
          <w:rFonts w:eastAsiaTheme="minorEastAsia"/>
        </w:rPr>
      </w:pPr>
      <m:oMath>
        <m:r>
          <w:rPr>
            <w:rFonts w:ascii="Cambria Math" w:hAnsi="Cambria Math"/>
          </w:rPr>
          <m:t>N=</m:t>
        </m:r>
        <m:f>
          <m:fPr>
            <m:ctrlPr>
              <w:rPr>
                <w:rFonts w:ascii="Cambria Math" w:hAnsi="Cambria Math"/>
                <w:i/>
              </w:rPr>
            </m:ctrlPr>
          </m:fPr>
          <m:num>
            <m:r>
              <w:rPr>
                <w:rFonts w:ascii="Cambria Math" w:hAnsi="Cambria Math"/>
              </w:rPr>
              <m:t>C</m:t>
            </m:r>
          </m:num>
          <m:den>
            <m:sSup>
              <m:sSupPr>
                <m:ctrlPr>
                  <w:rPr>
                    <w:rFonts w:ascii="Cambria Math" w:hAnsi="Cambria Math"/>
                    <w:i/>
                  </w:rPr>
                </m:ctrlPr>
              </m:sSupPr>
              <m:e>
                <m:r>
                  <w:rPr>
                    <w:rFonts w:ascii="Cambria Math" w:hAnsi="Cambria Math"/>
                  </w:rPr>
                  <m:t>(SCF.∆σ)</m:t>
                </m:r>
              </m:e>
              <m:sup>
                <m:r>
                  <w:rPr>
                    <w:rFonts w:ascii="Cambria Math" w:hAnsi="Cambria Math"/>
                  </w:rPr>
                  <m:t>m</m:t>
                </m:r>
              </m:sup>
            </m:sSup>
          </m:den>
        </m:f>
      </m:oMath>
      <w:r>
        <w:rPr>
          <w:rFonts w:eastAsiaTheme="minorEastAsia"/>
        </w:rPr>
        <w:tab/>
      </w:r>
      <w:r>
        <w:rPr>
          <w:rFonts w:eastAsiaTheme="minorEastAsia"/>
        </w:rPr>
        <w:tab/>
        <w:t>(10)</w:t>
      </w:r>
    </w:p>
    <w:p w14:paraId="385E7B25" w14:textId="55A6C126" w:rsidR="00BD13D9" w:rsidRDefault="00BD13D9" w:rsidP="00BD13D9">
      <w:pPr>
        <w:pStyle w:val="BodyText"/>
      </w:pPr>
      <w:r>
        <w:t>Equation (10) can be used to determine the number of cycles to failure and therefore the dent fatigue life. In equation (10),</w:t>
      </w:r>
      <w:r w:rsidRPr="00FC27E8">
        <w:rPr>
          <w:rFonts w:ascii="Cambria Math" w:hAnsi="Cambria Math"/>
        </w:rPr>
        <w:t xml:space="preserve"> </w:t>
      </w:r>
      <w:proofErr w:type="spellStart"/>
      <w:r w:rsidRPr="00A532D3">
        <w:rPr>
          <w:rFonts w:ascii="Cambria Math" w:hAnsi="Cambria Math"/>
        </w:rPr>
        <w:t>Δσ</w:t>
      </w:r>
      <w:proofErr w:type="spellEnd"/>
      <w:r>
        <w:t xml:space="preserve"> is the cycle magnitude, which in this case is a constant value of 35 Nmm</w:t>
      </w:r>
      <w:r w:rsidRPr="00A532D3">
        <w:rPr>
          <w:vertAlign w:val="superscript"/>
        </w:rPr>
        <w:t>-2</w:t>
      </w:r>
      <w:r>
        <w:t xml:space="preserve"> (the IGEM/TD/1 endurance limit), and the SCF, which is dependent on dent depth, is given by</w:t>
      </w:r>
      <w:r w:rsidRPr="00FC27E8">
        <w:t xml:space="preserve"> </w:t>
      </w:r>
      <w:r>
        <w:t xml:space="preserve">equation (1). The values of </w:t>
      </w:r>
      <w:r w:rsidRPr="00E2546D">
        <w:rPr>
          <w:rFonts w:ascii="Cambria Math" w:hAnsi="Cambria Math"/>
          <w:i/>
        </w:rPr>
        <w:t>C</w:t>
      </w:r>
      <w:r>
        <w:t xml:space="preserve"> and </w:t>
      </w:r>
      <w:r w:rsidRPr="00E2546D">
        <w:rPr>
          <w:rFonts w:ascii="Cambria Math" w:hAnsi="Cambria Math"/>
          <w:i/>
        </w:rPr>
        <w:t>m</w:t>
      </w:r>
      <w:r>
        <w:t xml:space="preserve"> depend on the S-N curve class, which is determined by dent location. The class B, E and F curves are used for dents in plain pipe, seam welds and girth welds respectively, and the values are given in Table 1.  As noted in Section 5, the UKOPA </w:t>
      </w:r>
      <w:r w:rsidR="005B2DC4">
        <w:t>dent management strategy</w:t>
      </w:r>
      <w:r>
        <w:t xml:space="preserve"> also indicates that a safety factor of 10 must also be applied to the value of </w:t>
      </w:r>
      <w:r w:rsidRPr="006A64FA">
        <w:rPr>
          <w:rFonts w:ascii="Cambria Math" w:hAnsi="Cambria Math"/>
          <w:i/>
        </w:rPr>
        <w:t>N</w:t>
      </w:r>
      <w:r>
        <w:t>.</w:t>
      </w:r>
    </w:p>
    <w:p w14:paraId="1BA6FC02" w14:textId="22A8E3E7" w:rsidR="00BD13D9" w:rsidRPr="000B624C" w:rsidRDefault="00BD13D9" w:rsidP="00BD13D9">
      <w:pPr>
        <w:pStyle w:val="BodyText"/>
      </w:pPr>
      <w:r w:rsidRPr="00EA6762">
        <w:rPr>
          <w:highlight w:val="yellow"/>
        </w:rPr>
        <w:fldChar w:fldCharType="begin"/>
      </w:r>
      <w:r w:rsidRPr="00EA6762">
        <w:instrText xml:space="preserve"> REF _Ref508612450 \h </w:instrText>
      </w:r>
      <w:r w:rsidRPr="00EA6762">
        <w:rPr>
          <w:highlight w:val="yellow"/>
        </w:rPr>
        <w:instrText xml:space="preserve"> \* MERGEFORMAT </w:instrText>
      </w:r>
      <w:r w:rsidRPr="00EA6762">
        <w:rPr>
          <w:highlight w:val="yellow"/>
        </w:rPr>
      </w:r>
      <w:r w:rsidRPr="00EA6762">
        <w:rPr>
          <w:highlight w:val="yellow"/>
        </w:rPr>
        <w:fldChar w:fldCharType="separate"/>
      </w:r>
      <w:r w:rsidR="00FB3C46" w:rsidRPr="00D976E7">
        <w:t xml:space="preserve">Table </w:t>
      </w:r>
      <w:r w:rsidR="00FB3C46">
        <w:rPr>
          <w:noProof/>
        </w:rPr>
        <w:t>7</w:t>
      </w:r>
      <w:r w:rsidRPr="00EA6762">
        <w:rPr>
          <w:highlight w:val="yellow"/>
        </w:rPr>
        <w:fldChar w:fldCharType="end"/>
      </w:r>
      <w:r>
        <w:t xml:space="preserve"> shows the calculated fatigue lives for dents up to 7% OD under continuous cyclic loading at the IGEM/TD/1 endurance limit, in terms of the number of cycles to failure. A factor of 10 reduction in the value of </w:t>
      </w:r>
      <w:r w:rsidRPr="00E2546D">
        <w:rPr>
          <w:rFonts w:ascii="Cambria Math" w:hAnsi="Cambria Math"/>
        </w:rPr>
        <w:t>N</w:t>
      </w:r>
      <w:r>
        <w:t xml:space="preserve"> has been applied.</w:t>
      </w:r>
    </w:p>
    <w:tbl>
      <w:tblPr>
        <w:tblStyle w:val="TableGrid"/>
        <w:tblW w:w="6210" w:type="dxa"/>
        <w:tblLook w:val="04A0" w:firstRow="1" w:lastRow="0" w:firstColumn="1" w:lastColumn="0" w:noHBand="0" w:noVBand="1"/>
      </w:tblPr>
      <w:tblGrid>
        <w:gridCol w:w="1340"/>
        <w:gridCol w:w="617"/>
        <w:gridCol w:w="1418"/>
        <w:gridCol w:w="1417"/>
        <w:gridCol w:w="1418"/>
      </w:tblGrid>
      <w:tr w:rsidR="00BD13D9" w:rsidRPr="00083AE2" w14:paraId="530B5F62" w14:textId="77777777" w:rsidTr="00543DD5">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957" w:type="dxa"/>
            <w:gridSpan w:val="2"/>
            <w:tcBorders>
              <w:top w:val="nil"/>
              <w:left w:val="nil"/>
            </w:tcBorders>
            <w:noWrap/>
            <w:hideMark/>
          </w:tcPr>
          <w:p w14:paraId="701E89BA" w14:textId="77777777" w:rsidR="00BD13D9" w:rsidRPr="00083AE2" w:rsidRDefault="00BD13D9" w:rsidP="00083AE2"/>
        </w:tc>
        <w:tc>
          <w:tcPr>
            <w:tcW w:w="4253" w:type="dxa"/>
            <w:gridSpan w:val="3"/>
            <w:shd w:val="clear" w:color="auto" w:fill="E5E0DB" w:themeFill="background1" w:themeFillShade="E6"/>
          </w:tcPr>
          <w:p w14:paraId="5E969CD4" w14:textId="2110DE75" w:rsidR="00BD13D9" w:rsidRPr="00083AE2" w:rsidRDefault="00BD13D9" w:rsidP="00083AE2">
            <w:pPr>
              <w:cnfStyle w:val="100000000000" w:firstRow="1" w:lastRow="0" w:firstColumn="0" w:lastColumn="0" w:oddVBand="0" w:evenVBand="0" w:oddHBand="0" w:evenHBand="0" w:firstRowFirstColumn="0" w:firstRowLastColumn="0" w:lastRowFirstColumn="0" w:lastRowLastColumn="0"/>
            </w:pPr>
            <w:r w:rsidRPr="00083AE2">
              <w:t xml:space="preserve">Cycles to </w:t>
            </w:r>
            <w:r w:rsidR="00A44974">
              <w:t>f</w:t>
            </w:r>
            <w:r w:rsidRPr="00083AE2">
              <w:t xml:space="preserve">ailure under </w:t>
            </w:r>
            <w:r w:rsidR="00A44974">
              <w:t>c</w:t>
            </w:r>
            <w:r w:rsidRPr="00083AE2">
              <w:t xml:space="preserve">onstant </w:t>
            </w:r>
            <w:r w:rsidR="00A44974">
              <w:t>c</w:t>
            </w:r>
            <w:r w:rsidRPr="00083AE2">
              <w:t xml:space="preserve">ycling at the IGEM/TD/1 </w:t>
            </w:r>
            <w:r w:rsidR="00A44974">
              <w:t>e</w:t>
            </w:r>
            <w:r w:rsidRPr="00083AE2">
              <w:t xml:space="preserve">ndurance </w:t>
            </w:r>
            <w:r w:rsidR="00A44974">
              <w:t>l</w:t>
            </w:r>
            <w:r w:rsidRPr="00083AE2">
              <w:t>imit</w:t>
            </w:r>
          </w:p>
        </w:tc>
      </w:tr>
      <w:tr w:rsidR="00BD13D9" w:rsidRPr="00083AE2" w14:paraId="1C084229" w14:textId="77777777" w:rsidTr="00543DD5">
        <w:trPr>
          <w:trHeight w:val="300"/>
        </w:trPr>
        <w:tc>
          <w:tcPr>
            <w:cnfStyle w:val="001000000000" w:firstRow="0" w:lastRow="0" w:firstColumn="1" w:lastColumn="0" w:oddVBand="0" w:evenVBand="0" w:oddHBand="0" w:evenHBand="0" w:firstRowFirstColumn="0" w:firstRowLastColumn="0" w:lastRowFirstColumn="0" w:lastRowLastColumn="0"/>
            <w:tcW w:w="1340" w:type="dxa"/>
            <w:shd w:val="clear" w:color="auto" w:fill="E5E0DB" w:themeFill="background1" w:themeFillShade="E6"/>
            <w:noWrap/>
            <w:hideMark/>
          </w:tcPr>
          <w:p w14:paraId="4A5A7932" w14:textId="77777777" w:rsidR="00A44974" w:rsidRDefault="00BD13D9" w:rsidP="00A44974">
            <w:pPr>
              <w:jc w:val="center"/>
              <w:rPr>
                <w:b/>
              </w:rPr>
            </w:pPr>
            <w:r w:rsidRPr="00543DD5">
              <w:rPr>
                <w:b/>
              </w:rPr>
              <w:t xml:space="preserve">Dent </w:t>
            </w:r>
            <w:r w:rsidR="00A44974">
              <w:rPr>
                <w:b/>
              </w:rPr>
              <w:t>d</w:t>
            </w:r>
            <w:r w:rsidRPr="00543DD5">
              <w:rPr>
                <w:b/>
              </w:rPr>
              <w:t>epth</w:t>
            </w:r>
          </w:p>
          <w:p w14:paraId="765721CB" w14:textId="3A6ED8DF" w:rsidR="00BD13D9" w:rsidRPr="00543DD5" w:rsidRDefault="00BD13D9" w:rsidP="00F4572D">
            <w:pPr>
              <w:jc w:val="center"/>
              <w:rPr>
                <w:b/>
              </w:rPr>
            </w:pPr>
            <w:r w:rsidRPr="00543DD5">
              <w:rPr>
                <w:b/>
              </w:rPr>
              <w:t>(% OD)</w:t>
            </w:r>
          </w:p>
        </w:tc>
        <w:tc>
          <w:tcPr>
            <w:tcW w:w="617" w:type="dxa"/>
            <w:shd w:val="clear" w:color="auto" w:fill="E5E0DB" w:themeFill="background1" w:themeFillShade="E6"/>
            <w:noWrap/>
            <w:hideMark/>
          </w:tcPr>
          <w:p w14:paraId="07B857DE" w14:textId="77777777" w:rsidR="00BD13D9" w:rsidRPr="00543DD5" w:rsidRDefault="00BD13D9" w:rsidP="00083AE2">
            <w:pPr>
              <w:cnfStyle w:val="000000000000" w:firstRow="0" w:lastRow="0" w:firstColumn="0" w:lastColumn="0" w:oddVBand="0" w:evenVBand="0" w:oddHBand="0" w:evenHBand="0" w:firstRowFirstColumn="0" w:firstRowLastColumn="0" w:lastRowFirstColumn="0" w:lastRowLastColumn="0"/>
              <w:rPr>
                <w:b/>
              </w:rPr>
            </w:pPr>
            <w:r w:rsidRPr="00543DD5">
              <w:rPr>
                <w:b/>
              </w:rPr>
              <w:t>SCF</w:t>
            </w:r>
          </w:p>
        </w:tc>
        <w:tc>
          <w:tcPr>
            <w:tcW w:w="1418" w:type="dxa"/>
            <w:tcBorders>
              <w:bottom w:val="single" w:sz="4" w:space="0" w:color="auto"/>
            </w:tcBorders>
            <w:shd w:val="clear" w:color="auto" w:fill="E5E0DB" w:themeFill="background1" w:themeFillShade="E6"/>
            <w:noWrap/>
            <w:hideMark/>
          </w:tcPr>
          <w:p w14:paraId="0C23F031" w14:textId="77777777" w:rsidR="00A44974" w:rsidRDefault="00BD13D9" w:rsidP="00083AE2">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Class B </w:t>
            </w:r>
          </w:p>
          <w:p w14:paraId="460FA183" w14:textId="5BB06D63" w:rsidR="00BD13D9" w:rsidRPr="00543DD5" w:rsidRDefault="00BD13D9" w:rsidP="00083AE2">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(Plain </w:t>
            </w:r>
            <w:r w:rsidR="00A44974">
              <w:rPr>
                <w:b/>
              </w:rPr>
              <w:t>p</w:t>
            </w:r>
            <w:r w:rsidRPr="00543DD5">
              <w:rPr>
                <w:b/>
              </w:rPr>
              <w:t>ipe)</w:t>
            </w:r>
          </w:p>
        </w:tc>
        <w:tc>
          <w:tcPr>
            <w:tcW w:w="1417" w:type="dxa"/>
            <w:tcBorders>
              <w:bottom w:val="single" w:sz="4" w:space="0" w:color="auto"/>
            </w:tcBorders>
            <w:shd w:val="clear" w:color="auto" w:fill="E5E0DB" w:themeFill="background1" w:themeFillShade="E6"/>
            <w:noWrap/>
            <w:hideMark/>
          </w:tcPr>
          <w:p w14:paraId="0AA60E56" w14:textId="77777777" w:rsidR="00A44974" w:rsidRDefault="00BD13D9" w:rsidP="00083AE2">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Class E </w:t>
            </w:r>
          </w:p>
          <w:p w14:paraId="60B3EB77" w14:textId="7B866BB8" w:rsidR="00BD13D9" w:rsidRPr="00543DD5" w:rsidRDefault="00BD13D9" w:rsidP="00083AE2">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(Seam </w:t>
            </w:r>
            <w:r w:rsidR="00A44974">
              <w:rPr>
                <w:b/>
              </w:rPr>
              <w:t>w</w:t>
            </w:r>
            <w:r w:rsidRPr="00543DD5">
              <w:rPr>
                <w:b/>
              </w:rPr>
              <w:t>eld)</w:t>
            </w:r>
          </w:p>
        </w:tc>
        <w:tc>
          <w:tcPr>
            <w:tcW w:w="1418" w:type="dxa"/>
            <w:tcBorders>
              <w:bottom w:val="single" w:sz="4" w:space="0" w:color="auto"/>
            </w:tcBorders>
            <w:shd w:val="clear" w:color="auto" w:fill="E5E0DB" w:themeFill="background1" w:themeFillShade="E6"/>
            <w:noWrap/>
            <w:hideMark/>
          </w:tcPr>
          <w:p w14:paraId="4DE6F284" w14:textId="77777777" w:rsidR="00A44974" w:rsidRDefault="00BD13D9" w:rsidP="00083AE2">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Class F </w:t>
            </w:r>
          </w:p>
          <w:p w14:paraId="715D1C01" w14:textId="67736B4D" w:rsidR="00BD13D9" w:rsidRPr="00543DD5" w:rsidRDefault="00BD13D9" w:rsidP="00083AE2">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(Girth </w:t>
            </w:r>
            <w:r w:rsidR="00A44974">
              <w:rPr>
                <w:b/>
              </w:rPr>
              <w:t>w</w:t>
            </w:r>
            <w:r w:rsidRPr="00543DD5">
              <w:rPr>
                <w:b/>
              </w:rPr>
              <w:t>eld)</w:t>
            </w:r>
          </w:p>
        </w:tc>
      </w:tr>
      <w:tr w:rsidR="00BD13D9" w:rsidRPr="00083AE2" w14:paraId="524D8694"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3DED2AD" w14:textId="77777777" w:rsidR="00BD13D9" w:rsidRPr="00543DD5" w:rsidRDefault="00BD13D9" w:rsidP="00083AE2">
            <w:pPr>
              <w:jc w:val="center"/>
              <w:rPr>
                <w:b/>
              </w:rPr>
            </w:pPr>
            <w:r w:rsidRPr="00543DD5">
              <w:rPr>
                <w:b/>
              </w:rPr>
              <w:t>1</w:t>
            </w:r>
          </w:p>
        </w:tc>
        <w:tc>
          <w:tcPr>
            <w:tcW w:w="617" w:type="dxa"/>
            <w:noWrap/>
            <w:hideMark/>
          </w:tcPr>
          <w:p w14:paraId="1644D7AB"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2.14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A128406"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3231536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35FD044"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248799</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DC5A4BB"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151433</w:t>
            </w:r>
          </w:p>
        </w:tc>
      </w:tr>
      <w:tr w:rsidR="00BD13D9" w:rsidRPr="00083AE2" w14:paraId="054B62DE"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330C44B" w14:textId="77777777" w:rsidR="00BD13D9" w:rsidRPr="00543DD5" w:rsidRDefault="00BD13D9" w:rsidP="00083AE2">
            <w:pPr>
              <w:jc w:val="center"/>
              <w:rPr>
                <w:b/>
              </w:rPr>
            </w:pPr>
            <w:r w:rsidRPr="00543DD5">
              <w:rPr>
                <w:b/>
              </w:rPr>
              <w:t>2</w:t>
            </w:r>
          </w:p>
        </w:tc>
        <w:tc>
          <w:tcPr>
            <w:tcW w:w="617" w:type="dxa"/>
            <w:noWrap/>
            <w:hideMark/>
          </w:tcPr>
          <w:p w14:paraId="00E733A3"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2.83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0B4A525"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1053151</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D305E5D"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107315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3A11263"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65318</w:t>
            </w:r>
          </w:p>
        </w:tc>
      </w:tr>
      <w:tr w:rsidR="00BD13D9" w:rsidRPr="00083AE2" w14:paraId="3FFAB34C"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381C9EB7" w14:textId="77777777" w:rsidR="00BD13D9" w:rsidRPr="00543DD5" w:rsidRDefault="00BD13D9" w:rsidP="00083AE2">
            <w:pPr>
              <w:jc w:val="center"/>
              <w:rPr>
                <w:b/>
              </w:rPr>
            </w:pPr>
            <w:r w:rsidRPr="00543DD5">
              <w:rPr>
                <w:b/>
              </w:rPr>
              <w:t>3</w:t>
            </w:r>
          </w:p>
        </w:tc>
        <w:tc>
          <w:tcPr>
            <w:tcW w:w="617" w:type="dxa"/>
            <w:noWrap/>
            <w:hideMark/>
          </w:tcPr>
          <w:p w14:paraId="3D019192"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3.33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03A65A2"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550281</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5B59B84A"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65952</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1BFFD0D1"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40142</w:t>
            </w:r>
          </w:p>
        </w:tc>
      </w:tr>
      <w:tr w:rsidR="00BD13D9" w:rsidRPr="00083AE2" w14:paraId="7AD316B1"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FBD4E7E" w14:textId="77777777" w:rsidR="00BD13D9" w:rsidRPr="00543DD5" w:rsidRDefault="00BD13D9" w:rsidP="00083AE2">
            <w:pPr>
              <w:jc w:val="center"/>
              <w:rPr>
                <w:b/>
              </w:rPr>
            </w:pPr>
            <w:r w:rsidRPr="00543DD5">
              <w:rPr>
                <w:b/>
              </w:rPr>
              <w:t>4</w:t>
            </w:r>
          </w:p>
        </w:tc>
        <w:tc>
          <w:tcPr>
            <w:tcW w:w="617" w:type="dxa"/>
            <w:noWrap/>
            <w:hideMark/>
          </w:tcPr>
          <w:p w14:paraId="6C78F01E"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3.72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6A09F83"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353235</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0B146518"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47298</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287710FA"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28788</w:t>
            </w:r>
          </w:p>
        </w:tc>
      </w:tr>
      <w:tr w:rsidR="00BD13D9" w:rsidRPr="00083AE2" w14:paraId="6DA08B93"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F1A7645" w14:textId="77777777" w:rsidR="00BD13D9" w:rsidRPr="00543DD5" w:rsidRDefault="00BD13D9" w:rsidP="00083AE2">
            <w:pPr>
              <w:jc w:val="center"/>
              <w:rPr>
                <w:b/>
              </w:rPr>
            </w:pPr>
            <w:r w:rsidRPr="00543DD5">
              <w:rPr>
                <w:b/>
              </w:rPr>
              <w:t>5</w:t>
            </w:r>
          </w:p>
        </w:tc>
        <w:tc>
          <w:tcPr>
            <w:tcW w:w="617" w:type="dxa"/>
            <w:noWrap/>
            <w:hideMark/>
          </w:tcPr>
          <w:p w14:paraId="0537F330"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4.04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E791BCE"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253777</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172C7D7D"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36909</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20D6DB1C"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22465</w:t>
            </w:r>
          </w:p>
        </w:tc>
      </w:tr>
      <w:tr w:rsidR="00BD13D9" w:rsidRPr="00083AE2" w14:paraId="1CDDCF81"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43176E67" w14:textId="77777777" w:rsidR="00BD13D9" w:rsidRPr="00543DD5" w:rsidRDefault="00BD13D9" w:rsidP="00083AE2">
            <w:pPr>
              <w:jc w:val="center"/>
              <w:rPr>
                <w:b/>
              </w:rPr>
            </w:pPr>
            <w:r w:rsidRPr="00543DD5">
              <w:rPr>
                <w:b/>
              </w:rPr>
              <w:t>6</w:t>
            </w:r>
          </w:p>
        </w:tc>
        <w:tc>
          <w:tcPr>
            <w:tcW w:w="617" w:type="dxa"/>
            <w:noWrap/>
            <w:hideMark/>
          </w:tcPr>
          <w:p w14:paraId="74F343C0"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4.31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37B10E4"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195543</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1343C349"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30355</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29A793CC"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18475</w:t>
            </w:r>
          </w:p>
        </w:tc>
      </w:tr>
      <w:tr w:rsidR="00BD13D9" w:rsidRPr="00083AE2" w14:paraId="57668ADF"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046E4BE7" w14:textId="77777777" w:rsidR="00BD13D9" w:rsidRPr="00543DD5" w:rsidRDefault="00BD13D9" w:rsidP="00083AE2">
            <w:pPr>
              <w:jc w:val="center"/>
              <w:rPr>
                <w:b/>
              </w:rPr>
            </w:pPr>
            <w:r w:rsidRPr="00543DD5">
              <w:rPr>
                <w:b/>
              </w:rPr>
              <w:t>7</w:t>
            </w:r>
          </w:p>
        </w:tc>
        <w:tc>
          <w:tcPr>
            <w:tcW w:w="617" w:type="dxa"/>
            <w:noWrap/>
            <w:hideMark/>
          </w:tcPr>
          <w:p w14:paraId="16628DB3"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4.54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DE2C904"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157963</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6046991C"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25865</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0F6CAE47"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15743</w:t>
            </w:r>
          </w:p>
        </w:tc>
      </w:tr>
    </w:tbl>
    <w:p w14:paraId="13EA65E1" w14:textId="792AC2ED" w:rsidR="00BD13D9" w:rsidRPr="00D976E7" w:rsidRDefault="00BD13D9" w:rsidP="00083AE2">
      <w:pPr>
        <w:pStyle w:val="Caption"/>
        <w:rPr>
          <w:i/>
        </w:rPr>
      </w:pPr>
      <w:bookmarkStart w:id="25" w:name="_Ref508612450"/>
      <w:r w:rsidRPr="00D976E7">
        <w:t xml:space="preserve">Table </w:t>
      </w:r>
      <w:fldSimple w:instr=" SEQ Table \* ARABIC ">
        <w:r w:rsidR="00FB3C46">
          <w:rPr>
            <w:noProof/>
          </w:rPr>
          <w:t>7</w:t>
        </w:r>
      </w:fldSimple>
      <w:bookmarkEnd w:id="25"/>
      <w:r>
        <w:t xml:space="preserve"> – Dent </w:t>
      </w:r>
      <w:r w:rsidR="006800D4">
        <w:t>f</w:t>
      </w:r>
      <w:r>
        <w:t xml:space="preserve">atigue </w:t>
      </w:r>
      <w:r w:rsidR="006800D4">
        <w:t>l</w:t>
      </w:r>
      <w:r>
        <w:t xml:space="preserve">ives </w:t>
      </w:r>
      <w:r w:rsidR="006800D4">
        <w:t>u</w:t>
      </w:r>
      <w:r>
        <w:t xml:space="preserve">nder </w:t>
      </w:r>
      <w:r w:rsidR="006800D4">
        <w:t>c</w:t>
      </w:r>
      <w:r>
        <w:t xml:space="preserve">ontinuous </w:t>
      </w:r>
      <w:r w:rsidR="006800D4">
        <w:t>c</w:t>
      </w:r>
      <w:r>
        <w:t xml:space="preserve">ycling at the IGEM/TD/1 </w:t>
      </w:r>
      <w:r w:rsidR="006800D4">
        <w:t>e</w:t>
      </w:r>
      <w:r>
        <w:t xml:space="preserve">ndurance </w:t>
      </w:r>
      <w:r w:rsidR="006800D4">
        <w:t>l</w:t>
      </w:r>
      <w:r>
        <w:t xml:space="preserve">imit – </w:t>
      </w:r>
      <w:r w:rsidR="006800D4">
        <w:t>t</w:t>
      </w:r>
      <w:r>
        <w:t xml:space="preserve">otal </w:t>
      </w:r>
      <w:r w:rsidR="006800D4">
        <w:t>N</w:t>
      </w:r>
      <w:r>
        <w:t xml:space="preserve">o. of </w:t>
      </w:r>
      <w:r w:rsidR="006800D4">
        <w:t>c</w:t>
      </w:r>
      <w:r>
        <w:t xml:space="preserve">ycles to </w:t>
      </w:r>
      <w:r w:rsidR="006800D4">
        <w:t>f</w:t>
      </w:r>
      <w:r>
        <w:t>ailure</w:t>
      </w:r>
      <w:r>
        <w:rPr>
          <w:rStyle w:val="FootnoteReference"/>
          <w:rFonts w:ascii="Arial" w:hAnsi="Arial" w:cs="Arial"/>
          <w:b w:val="0"/>
        </w:rPr>
        <w:footnoteReference w:id="2"/>
      </w:r>
    </w:p>
    <w:p w14:paraId="22532C8D" w14:textId="0F363FAB" w:rsidR="00BD13D9" w:rsidRDefault="00BD13D9" w:rsidP="00BD13D9">
      <w:pPr>
        <w:pStyle w:val="BodyText"/>
      </w:pPr>
      <w:r>
        <w:t>Cyclic loading of pipelines is generally considered in terms of the number of cycles completed per day. If it is assumed that one complete cycle</w:t>
      </w:r>
      <w:r w:rsidRPr="00C727E0">
        <w:t xml:space="preserve"> </w:t>
      </w:r>
      <w:r>
        <w:t xml:space="preserve">takes place per day at the IGEM/TD/1 endurance limit, then the fatigue lives for dents in terms of the number of years to failure can be calculated from </w:t>
      </w:r>
      <w:r w:rsidRPr="00EA6762">
        <w:rPr>
          <w:highlight w:val="yellow"/>
        </w:rPr>
        <w:fldChar w:fldCharType="begin"/>
      </w:r>
      <w:r w:rsidRPr="00EA6762">
        <w:instrText xml:space="preserve"> REF _Ref508612450 \h </w:instrText>
      </w:r>
      <w:r w:rsidRPr="00EA6762">
        <w:rPr>
          <w:highlight w:val="yellow"/>
        </w:rPr>
        <w:instrText xml:space="preserve"> \* MERGEFORMAT </w:instrText>
      </w:r>
      <w:r w:rsidRPr="00EA6762">
        <w:rPr>
          <w:highlight w:val="yellow"/>
        </w:rPr>
      </w:r>
      <w:r w:rsidRPr="00EA6762">
        <w:rPr>
          <w:highlight w:val="yellow"/>
        </w:rPr>
        <w:fldChar w:fldCharType="separate"/>
      </w:r>
      <w:r w:rsidR="00FB3C46" w:rsidRPr="00D976E7">
        <w:t xml:space="preserve">Table </w:t>
      </w:r>
      <w:r w:rsidR="00FB3C46">
        <w:rPr>
          <w:noProof/>
        </w:rPr>
        <w:t>7</w:t>
      </w:r>
      <w:r w:rsidRPr="00EA6762">
        <w:rPr>
          <w:highlight w:val="yellow"/>
        </w:rPr>
        <w:fldChar w:fldCharType="end"/>
      </w:r>
      <w:r w:rsidRPr="00C727E0">
        <w:t xml:space="preserve">. These values are shown in </w:t>
      </w:r>
      <w:r w:rsidRPr="00A15362">
        <w:fldChar w:fldCharType="begin"/>
      </w:r>
      <w:r w:rsidRPr="00A15362">
        <w:instrText xml:space="preserve"> REF _Ref508617715 \h  \* MERGEFORMAT </w:instrText>
      </w:r>
      <w:r w:rsidRPr="00A15362">
        <w:fldChar w:fldCharType="separate"/>
      </w:r>
      <w:r w:rsidR="00FB3C46" w:rsidRPr="00D976E7">
        <w:t xml:space="preserve">Table </w:t>
      </w:r>
      <w:r w:rsidR="00FB3C46">
        <w:rPr>
          <w:noProof/>
        </w:rPr>
        <w:t>8</w:t>
      </w:r>
      <w:r w:rsidRPr="00A15362">
        <w:fldChar w:fldCharType="end"/>
      </w:r>
      <w:r w:rsidRPr="00C727E0">
        <w:t>.</w:t>
      </w:r>
    </w:p>
    <w:p w14:paraId="6BE0DF75" w14:textId="77777777" w:rsidR="00BD13D9" w:rsidRDefault="00BD13D9" w:rsidP="00BD13D9">
      <w:pPr>
        <w:pStyle w:val="BodyText"/>
      </w:pPr>
      <w:r>
        <w:br w:type="page"/>
      </w:r>
    </w:p>
    <w:tbl>
      <w:tblPr>
        <w:tblStyle w:val="TableGrid"/>
        <w:tblW w:w="6210" w:type="dxa"/>
        <w:tblLook w:val="04A0" w:firstRow="1" w:lastRow="0" w:firstColumn="1" w:lastColumn="0" w:noHBand="0" w:noVBand="1"/>
      </w:tblPr>
      <w:tblGrid>
        <w:gridCol w:w="1340"/>
        <w:gridCol w:w="617"/>
        <w:gridCol w:w="1418"/>
        <w:gridCol w:w="1417"/>
        <w:gridCol w:w="1418"/>
      </w:tblGrid>
      <w:tr w:rsidR="00BD13D9" w:rsidRPr="00083AE2" w14:paraId="66C2DB6A" w14:textId="77777777" w:rsidTr="00543DD5">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957" w:type="dxa"/>
            <w:gridSpan w:val="2"/>
            <w:tcBorders>
              <w:top w:val="nil"/>
              <w:left w:val="nil"/>
            </w:tcBorders>
            <w:noWrap/>
            <w:hideMark/>
          </w:tcPr>
          <w:p w14:paraId="14290CF5" w14:textId="77777777" w:rsidR="00BD13D9" w:rsidRPr="00083AE2" w:rsidRDefault="00BD13D9" w:rsidP="00083AE2"/>
        </w:tc>
        <w:tc>
          <w:tcPr>
            <w:tcW w:w="4253" w:type="dxa"/>
            <w:gridSpan w:val="3"/>
            <w:shd w:val="clear" w:color="auto" w:fill="E5E0DB" w:themeFill="background1" w:themeFillShade="E6"/>
          </w:tcPr>
          <w:p w14:paraId="05E2BEEA" w14:textId="4042D8E3" w:rsidR="00BD13D9" w:rsidRPr="00083AE2" w:rsidRDefault="00BD13D9" w:rsidP="00083AE2">
            <w:pPr>
              <w:cnfStyle w:val="100000000000" w:firstRow="1" w:lastRow="0" w:firstColumn="0" w:lastColumn="0" w:oddVBand="0" w:evenVBand="0" w:oddHBand="0" w:evenHBand="0" w:firstRowFirstColumn="0" w:firstRowLastColumn="0" w:lastRowFirstColumn="0" w:lastRowLastColumn="0"/>
            </w:pPr>
            <w:r w:rsidRPr="00083AE2">
              <w:t xml:space="preserve">Years to </w:t>
            </w:r>
            <w:r w:rsidR="00A44974">
              <w:t>f</w:t>
            </w:r>
            <w:r w:rsidRPr="00083AE2">
              <w:t xml:space="preserve">ailure under </w:t>
            </w:r>
            <w:r w:rsidR="00A44974">
              <w:t>c</w:t>
            </w:r>
            <w:r w:rsidRPr="00083AE2">
              <w:t xml:space="preserve">onstant </w:t>
            </w:r>
            <w:r w:rsidR="00A44974">
              <w:t>c</w:t>
            </w:r>
            <w:r w:rsidRPr="00083AE2">
              <w:t xml:space="preserve">ycling at the IGEM/TD/1 </w:t>
            </w:r>
            <w:r w:rsidR="00A44974">
              <w:t>e</w:t>
            </w:r>
            <w:r w:rsidRPr="00083AE2">
              <w:t xml:space="preserve">ndurance </w:t>
            </w:r>
            <w:r w:rsidR="00A44974">
              <w:t>l</w:t>
            </w:r>
            <w:r w:rsidRPr="00083AE2">
              <w:t>imit</w:t>
            </w:r>
          </w:p>
        </w:tc>
      </w:tr>
      <w:tr w:rsidR="00BD13D9" w:rsidRPr="00083AE2" w14:paraId="241B3144" w14:textId="77777777" w:rsidTr="00543DD5">
        <w:trPr>
          <w:trHeight w:val="300"/>
        </w:trPr>
        <w:tc>
          <w:tcPr>
            <w:cnfStyle w:val="001000000000" w:firstRow="0" w:lastRow="0" w:firstColumn="1" w:lastColumn="0" w:oddVBand="0" w:evenVBand="0" w:oddHBand="0" w:evenHBand="0" w:firstRowFirstColumn="0" w:firstRowLastColumn="0" w:lastRowFirstColumn="0" w:lastRowLastColumn="0"/>
            <w:tcW w:w="1340" w:type="dxa"/>
            <w:shd w:val="clear" w:color="auto" w:fill="E5E0DB" w:themeFill="background1" w:themeFillShade="E6"/>
            <w:noWrap/>
            <w:hideMark/>
          </w:tcPr>
          <w:p w14:paraId="47C77DD7" w14:textId="77777777" w:rsidR="00A44974" w:rsidRDefault="00BD13D9" w:rsidP="00543DD5">
            <w:pPr>
              <w:jc w:val="center"/>
              <w:rPr>
                <w:b/>
              </w:rPr>
            </w:pPr>
            <w:r w:rsidRPr="00543DD5">
              <w:rPr>
                <w:b/>
              </w:rPr>
              <w:t xml:space="preserve">Dent </w:t>
            </w:r>
            <w:r w:rsidR="00A44974">
              <w:rPr>
                <w:b/>
              </w:rPr>
              <w:t>d</w:t>
            </w:r>
            <w:r w:rsidRPr="00543DD5">
              <w:rPr>
                <w:b/>
              </w:rPr>
              <w:t xml:space="preserve">epth </w:t>
            </w:r>
          </w:p>
          <w:p w14:paraId="5C686B7D" w14:textId="53037C61" w:rsidR="00BD13D9" w:rsidRPr="00543DD5" w:rsidRDefault="00BD13D9" w:rsidP="00543DD5">
            <w:pPr>
              <w:jc w:val="center"/>
              <w:rPr>
                <w:b/>
              </w:rPr>
            </w:pPr>
            <w:r w:rsidRPr="00543DD5">
              <w:rPr>
                <w:b/>
              </w:rPr>
              <w:t>(% OD)</w:t>
            </w:r>
          </w:p>
        </w:tc>
        <w:tc>
          <w:tcPr>
            <w:tcW w:w="617" w:type="dxa"/>
            <w:shd w:val="clear" w:color="auto" w:fill="E5E0DB" w:themeFill="background1" w:themeFillShade="E6"/>
            <w:noWrap/>
            <w:hideMark/>
          </w:tcPr>
          <w:p w14:paraId="2CF08F86" w14:textId="77777777" w:rsidR="00BD13D9" w:rsidRPr="00543DD5" w:rsidRDefault="00BD13D9" w:rsidP="00543DD5">
            <w:pPr>
              <w:cnfStyle w:val="000000000000" w:firstRow="0" w:lastRow="0" w:firstColumn="0" w:lastColumn="0" w:oddVBand="0" w:evenVBand="0" w:oddHBand="0" w:evenHBand="0" w:firstRowFirstColumn="0" w:firstRowLastColumn="0" w:lastRowFirstColumn="0" w:lastRowLastColumn="0"/>
              <w:rPr>
                <w:b/>
              </w:rPr>
            </w:pPr>
            <w:r w:rsidRPr="00543DD5">
              <w:rPr>
                <w:b/>
              </w:rPr>
              <w:t>SCF</w:t>
            </w:r>
          </w:p>
        </w:tc>
        <w:tc>
          <w:tcPr>
            <w:tcW w:w="1418" w:type="dxa"/>
            <w:tcBorders>
              <w:bottom w:val="single" w:sz="4" w:space="0" w:color="auto"/>
            </w:tcBorders>
            <w:shd w:val="clear" w:color="auto" w:fill="E5E0DB" w:themeFill="background1" w:themeFillShade="E6"/>
            <w:noWrap/>
            <w:hideMark/>
          </w:tcPr>
          <w:p w14:paraId="7A27FE63" w14:textId="77777777" w:rsidR="00A44974" w:rsidRDefault="00BD13D9" w:rsidP="00543DD5">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Class B </w:t>
            </w:r>
          </w:p>
          <w:p w14:paraId="23BEDDD9" w14:textId="34F54336" w:rsidR="00BD13D9" w:rsidRPr="00543DD5" w:rsidRDefault="00BD13D9" w:rsidP="00543DD5">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(Plain </w:t>
            </w:r>
            <w:r w:rsidR="00A44974">
              <w:rPr>
                <w:b/>
              </w:rPr>
              <w:t>p</w:t>
            </w:r>
            <w:r w:rsidRPr="00543DD5">
              <w:rPr>
                <w:b/>
              </w:rPr>
              <w:t>ipe)</w:t>
            </w:r>
          </w:p>
        </w:tc>
        <w:tc>
          <w:tcPr>
            <w:tcW w:w="1417" w:type="dxa"/>
            <w:tcBorders>
              <w:bottom w:val="single" w:sz="4" w:space="0" w:color="auto"/>
            </w:tcBorders>
            <w:shd w:val="clear" w:color="auto" w:fill="E5E0DB" w:themeFill="background1" w:themeFillShade="E6"/>
            <w:noWrap/>
            <w:hideMark/>
          </w:tcPr>
          <w:p w14:paraId="27030982" w14:textId="77777777" w:rsidR="00A44974" w:rsidRDefault="00BD13D9" w:rsidP="00543DD5">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Class E </w:t>
            </w:r>
          </w:p>
          <w:p w14:paraId="6C51A353" w14:textId="24E0E0AB" w:rsidR="00BD13D9" w:rsidRPr="00543DD5" w:rsidRDefault="00BD13D9" w:rsidP="00543DD5">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(Seam </w:t>
            </w:r>
            <w:r w:rsidR="00A44974">
              <w:rPr>
                <w:b/>
              </w:rPr>
              <w:t>w</w:t>
            </w:r>
            <w:r w:rsidRPr="00543DD5">
              <w:rPr>
                <w:b/>
              </w:rPr>
              <w:t>eld)</w:t>
            </w:r>
          </w:p>
        </w:tc>
        <w:tc>
          <w:tcPr>
            <w:tcW w:w="1418" w:type="dxa"/>
            <w:tcBorders>
              <w:bottom w:val="single" w:sz="4" w:space="0" w:color="auto"/>
            </w:tcBorders>
            <w:shd w:val="clear" w:color="auto" w:fill="E5E0DB" w:themeFill="background1" w:themeFillShade="E6"/>
            <w:noWrap/>
            <w:hideMark/>
          </w:tcPr>
          <w:p w14:paraId="6B007EA9" w14:textId="77777777" w:rsidR="00A44974" w:rsidRDefault="00BD13D9" w:rsidP="00543DD5">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Class F </w:t>
            </w:r>
          </w:p>
          <w:p w14:paraId="12F38AA9" w14:textId="11C6248B" w:rsidR="00BD13D9" w:rsidRPr="00543DD5" w:rsidRDefault="00BD13D9" w:rsidP="00543DD5">
            <w:pPr>
              <w:cnfStyle w:val="000000000000" w:firstRow="0" w:lastRow="0" w:firstColumn="0" w:lastColumn="0" w:oddVBand="0" w:evenVBand="0" w:oddHBand="0" w:evenHBand="0" w:firstRowFirstColumn="0" w:firstRowLastColumn="0" w:lastRowFirstColumn="0" w:lastRowLastColumn="0"/>
              <w:rPr>
                <w:b/>
              </w:rPr>
            </w:pPr>
            <w:r w:rsidRPr="00543DD5">
              <w:rPr>
                <w:b/>
              </w:rPr>
              <w:t xml:space="preserve">(Girth </w:t>
            </w:r>
            <w:r w:rsidR="00A44974">
              <w:rPr>
                <w:b/>
              </w:rPr>
              <w:t>w</w:t>
            </w:r>
            <w:r w:rsidRPr="00543DD5">
              <w:rPr>
                <w:b/>
              </w:rPr>
              <w:t>eld)</w:t>
            </w:r>
          </w:p>
        </w:tc>
      </w:tr>
      <w:tr w:rsidR="00BD13D9" w:rsidRPr="00083AE2" w14:paraId="0C9E4753"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423DB633" w14:textId="77777777" w:rsidR="00BD13D9" w:rsidRPr="00543DD5" w:rsidRDefault="00BD13D9" w:rsidP="00083AE2">
            <w:pPr>
              <w:jc w:val="center"/>
              <w:rPr>
                <w:b/>
              </w:rPr>
            </w:pPr>
            <w:r w:rsidRPr="00543DD5">
              <w:rPr>
                <w:b/>
              </w:rPr>
              <w:t>1</w:t>
            </w:r>
          </w:p>
        </w:tc>
        <w:tc>
          <w:tcPr>
            <w:tcW w:w="617" w:type="dxa"/>
            <w:noWrap/>
            <w:hideMark/>
          </w:tcPr>
          <w:p w14:paraId="54839AB8"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2.14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7D356AA"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8847</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1B09F15"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681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FD3D4F9"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415</w:t>
            </w:r>
          </w:p>
        </w:tc>
      </w:tr>
      <w:tr w:rsidR="00BD13D9" w:rsidRPr="00083AE2" w14:paraId="7BFED509"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2F230016" w14:textId="77777777" w:rsidR="00BD13D9" w:rsidRPr="00543DD5" w:rsidRDefault="00BD13D9" w:rsidP="00083AE2">
            <w:pPr>
              <w:jc w:val="center"/>
              <w:rPr>
                <w:b/>
              </w:rPr>
            </w:pPr>
            <w:r w:rsidRPr="00543DD5">
              <w:rPr>
                <w:b/>
              </w:rPr>
              <w:t>2</w:t>
            </w:r>
          </w:p>
        </w:tc>
        <w:tc>
          <w:tcPr>
            <w:tcW w:w="617" w:type="dxa"/>
            <w:noWrap/>
            <w:hideMark/>
          </w:tcPr>
          <w:p w14:paraId="6CC72A06"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2.83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FA426CF"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2883</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4771AC24"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294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EE5ABDB"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179</w:t>
            </w:r>
          </w:p>
        </w:tc>
      </w:tr>
      <w:tr w:rsidR="00BD13D9" w:rsidRPr="00083AE2" w14:paraId="41421682"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7A3FAA6F" w14:textId="77777777" w:rsidR="00BD13D9" w:rsidRPr="00543DD5" w:rsidRDefault="00BD13D9" w:rsidP="00083AE2">
            <w:pPr>
              <w:jc w:val="center"/>
              <w:rPr>
                <w:b/>
              </w:rPr>
            </w:pPr>
            <w:r w:rsidRPr="00543DD5">
              <w:rPr>
                <w:b/>
              </w:rPr>
              <w:t>3</w:t>
            </w:r>
          </w:p>
        </w:tc>
        <w:tc>
          <w:tcPr>
            <w:tcW w:w="617" w:type="dxa"/>
            <w:noWrap/>
            <w:hideMark/>
          </w:tcPr>
          <w:p w14:paraId="777A6160"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3.33</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CF6A639"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1507</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0D53A669"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181</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5D23CB7B"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110</w:t>
            </w:r>
          </w:p>
        </w:tc>
      </w:tr>
      <w:tr w:rsidR="00BD13D9" w:rsidRPr="00083AE2" w14:paraId="0A36C33A"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1F66577D" w14:textId="77777777" w:rsidR="00BD13D9" w:rsidRPr="00543DD5" w:rsidRDefault="00BD13D9" w:rsidP="00083AE2">
            <w:pPr>
              <w:jc w:val="center"/>
              <w:rPr>
                <w:b/>
              </w:rPr>
            </w:pPr>
            <w:r w:rsidRPr="00543DD5">
              <w:rPr>
                <w:b/>
              </w:rPr>
              <w:t>4</w:t>
            </w:r>
          </w:p>
        </w:tc>
        <w:tc>
          <w:tcPr>
            <w:tcW w:w="617" w:type="dxa"/>
            <w:noWrap/>
            <w:hideMark/>
          </w:tcPr>
          <w:p w14:paraId="34371D38"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3.72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168B9C5"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967</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69AB9EE5"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129</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77FB9958"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79</w:t>
            </w:r>
          </w:p>
        </w:tc>
      </w:tr>
      <w:tr w:rsidR="00BD13D9" w:rsidRPr="00083AE2" w14:paraId="738C882C"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71EC3E17" w14:textId="77777777" w:rsidR="00BD13D9" w:rsidRPr="00543DD5" w:rsidRDefault="00BD13D9" w:rsidP="00083AE2">
            <w:pPr>
              <w:jc w:val="center"/>
              <w:rPr>
                <w:b/>
              </w:rPr>
            </w:pPr>
            <w:r w:rsidRPr="00543DD5">
              <w:rPr>
                <w:b/>
              </w:rPr>
              <w:t>5</w:t>
            </w:r>
          </w:p>
        </w:tc>
        <w:tc>
          <w:tcPr>
            <w:tcW w:w="617" w:type="dxa"/>
            <w:noWrap/>
            <w:hideMark/>
          </w:tcPr>
          <w:p w14:paraId="0F16F723"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4.04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F13BA13"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695</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32D66C3B"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101</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6702DAB0"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62</w:t>
            </w:r>
          </w:p>
        </w:tc>
      </w:tr>
      <w:tr w:rsidR="00BD13D9" w:rsidRPr="00083AE2" w14:paraId="6023E0CA"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7150F1F3" w14:textId="77777777" w:rsidR="00BD13D9" w:rsidRPr="00543DD5" w:rsidRDefault="00BD13D9" w:rsidP="00083AE2">
            <w:pPr>
              <w:jc w:val="center"/>
              <w:rPr>
                <w:b/>
              </w:rPr>
            </w:pPr>
            <w:r w:rsidRPr="00543DD5">
              <w:rPr>
                <w:b/>
              </w:rPr>
              <w:t>6</w:t>
            </w:r>
          </w:p>
        </w:tc>
        <w:tc>
          <w:tcPr>
            <w:tcW w:w="617" w:type="dxa"/>
            <w:noWrap/>
            <w:hideMark/>
          </w:tcPr>
          <w:p w14:paraId="495EDBC2"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4.31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7216B48"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535</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381D7FC6"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83</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5EBBA7DE"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51</w:t>
            </w:r>
          </w:p>
        </w:tc>
      </w:tr>
      <w:tr w:rsidR="00BD13D9" w:rsidRPr="00083AE2" w14:paraId="61741F61" w14:textId="77777777" w:rsidTr="00BD13D9">
        <w:trPr>
          <w:trHeight w:val="300"/>
        </w:trPr>
        <w:tc>
          <w:tcPr>
            <w:cnfStyle w:val="001000000000" w:firstRow="0" w:lastRow="0" w:firstColumn="1" w:lastColumn="0" w:oddVBand="0" w:evenVBand="0" w:oddHBand="0" w:evenHBand="0" w:firstRowFirstColumn="0" w:firstRowLastColumn="0" w:lastRowFirstColumn="0" w:lastRowLastColumn="0"/>
            <w:tcW w:w="1340" w:type="dxa"/>
            <w:noWrap/>
            <w:hideMark/>
          </w:tcPr>
          <w:p w14:paraId="5B7389DC" w14:textId="77777777" w:rsidR="00BD13D9" w:rsidRPr="00543DD5" w:rsidRDefault="00BD13D9" w:rsidP="00083AE2">
            <w:pPr>
              <w:jc w:val="center"/>
              <w:rPr>
                <w:b/>
              </w:rPr>
            </w:pPr>
            <w:r w:rsidRPr="00543DD5">
              <w:rPr>
                <w:b/>
              </w:rPr>
              <w:t>7</w:t>
            </w:r>
          </w:p>
        </w:tc>
        <w:tc>
          <w:tcPr>
            <w:tcW w:w="617" w:type="dxa"/>
            <w:noWrap/>
            <w:hideMark/>
          </w:tcPr>
          <w:p w14:paraId="7A7CAD03"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4.54</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06421B"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432</w:t>
            </w:r>
          </w:p>
        </w:tc>
        <w:tc>
          <w:tcPr>
            <w:tcW w:w="1417" w:type="dxa"/>
            <w:tcBorders>
              <w:top w:val="single" w:sz="4" w:space="0" w:color="auto"/>
              <w:left w:val="single" w:sz="4" w:space="0" w:color="auto"/>
              <w:bottom w:val="single" w:sz="4" w:space="0" w:color="auto"/>
              <w:right w:val="single" w:sz="4" w:space="0" w:color="auto"/>
            </w:tcBorders>
            <w:shd w:val="clear" w:color="auto" w:fill="FF7C80"/>
            <w:noWrap/>
            <w:hideMark/>
          </w:tcPr>
          <w:p w14:paraId="3722BC95"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71</w:t>
            </w:r>
          </w:p>
        </w:tc>
        <w:tc>
          <w:tcPr>
            <w:tcW w:w="1418" w:type="dxa"/>
            <w:tcBorders>
              <w:top w:val="single" w:sz="4" w:space="0" w:color="auto"/>
              <w:left w:val="single" w:sz="4" w:space="0" w:color="auto"/>
              <w:bottom w:val="single" w:sz="4" w:space="0" w:color="auto"/>
              <w:right w:val="single" w:sz="4" w:space="0" w:color="auto"/>
            </w:tcBorders>
            <w:shd w:val="clear" w:color="auto" w:fill="FF7C80"/>
            <w:noWrap/>
            <w:hideMark/>
          </w:tcPr>
          <w:p w14:paraId="4AA97180" w14:textId="77777777" w:rsidR="00BD13D9" w:rsidRPr="00083AE2" w:rsidRDefault="00BD13D9" w:rsidP="00083AE2">
            <w:pPr>
              <w:cnfStyle w:val="000000000000" w:firstRow="0" w:lastRow="0" w:firstColumn="0" w:lastColumn="0" w:oddVBand="0" w:evenVBand="0" w:oddHBand="0" w:evenHBand="0" w:firstRowFirstColumn="0" w:firstRowLastColumn="0" w:lastRowFirstColumn="0" w:lastRowLastColumn="0"/>
            </w:pPr>
            <w:r w:rsidRPr="00083AE2">
              <w:t>43</w:t>
            </w:r>
          </w:p>
        </w:tc>
      </w:tr>
    </w:tbl>
    <w:p w14:paraId="3EE4AAF3" w14:textId="7EEC015E" w:rsidR="00BD13D9" w:rsidRPr="00D976E7" w:rsidRDefault="00BD13D9" w:rsidP="00083AE2">
      <w:pPr>
        <w:pStyle w:val="Caption"/>
        <w:rPr>
          <w:i/>
        </w:rPr>
      </w:pPr>
      <w:bookmarkStart w:id="26" w:name="_Ref508617715"/>
      <w:r w:rsidRPr="00D976E7">
        <w:t xml:space="preserve">Table </w:t>
      </w:r>
      <w:fldSimple w:instr=" SEQ Table \* ARABIC ">
        <w:r w:rsidR="00FB3C46">
          <w:rPr>
            <w:noProof/>
          </w:rPr>
          <w:t>8</w:t>
        </w:r>
      </w:fldSimple>
      <w:bookmarkEnd w:id="26"/>
      <w:r>
        <w:t xml:space="preserve"> – Dent </w:t>
      </w:r>
      <w:r w:rsidR="006800D4">
        <w:t>f</w:t>
      </w:r>
      <w:r>
        <w:t xml:space="preserve">atigue </w:t>
      </w:r>
      <w:r w:rsidR="006800D4">
        <w:t>l</w:t>
      </w:r>
      <w:r>
        <w:t xml:space="preserve">ives </w:t>
      </w:r>
      <w:r w:rsidR="006800D4">
        <w:t>u</w:t>
      </w:r>
      <w:r>
        <w:t xml:space="preserve">nder </w:t>
      </w:r>
      <w:r w:rsidR="006800D4">
        <w:t>c</w:t>
      </w:r>
      <w:r>
        <w:t xml:space="preserve">ontinuous </w:t>
      </w:r>
      <w:r w:rsidR="006800D4">
        <w:t>c</w:t>
      </w:r>
      <w:r>
        <w:t xml:space="preserve">ycling at the IGEM/TD/1 </w:t>
      </w:r>
      <w:r w:rsidR="006800D4">
        <w:t>e</w:t>
      </w:r>
      <w:r>
        <w:t xml:space="preserve">ndurance </w:t>
      </w:r>
      <w:r w:rsidR="006800D4">
        <w:t>l</w:t>
      </w:r>
      <w:r>
        <w:t xml:space="preserve">imit – </w:t>
      </w:r>
      <w:r w:rsidR="006800D4">
        <w:t>t</w:t>
      </w:r>
      <w:r>
        <w:t xml:space="preserve">otal No. of </w:t>
      </w:r>
      <w:r w:rsidR="006800D4">
        <w:t>y</w:t>
      </w:r>
      <w:r>
        <w:t xml:space="preserve">ears to </w:t>
      </w:r>
      <w:r w:rsidR="006800D4">
        <w:t>f</w:t>
      </w:r>
      <w:r>
        <w:t>ailure</w:t>
      </w:r>
      <w:r>
        <w:rPr>
          <w:rStyle w:val="FootnoteReference"/>
          <w:rFonts w:ascii="Arial" w:hAnsi="Arial" w:cs="Arial"/>
          <w:b w:val="0"/>
        </w:rPr>
        <w:footnoteReference w:id="3"/>
      </w:r>
    </w:p>
    <w:p w14:paraId="52C49978" w14:textId="34911F31" w:rsidR="00BD13D9" w:rsidRDefault="00BD13D9" w:rsidP="00BD13D9">
      <w:pPr>
        <w:pStyle w:val="BodyText"/>
      </w:pPr>
      <w:r w:rsidRPr="00A15362">
        <w:fldChar w:fldCharType="begin"/>
      </w:r>
      <w:r w:rsidRPr="00A15362">
        <w:instrText xml:space="preserve"> REF _Ref508617715 \h  \* MERGEFORMAT </w:instrText>
      </w:r>
      <w:r w:rsidRPr="00A15362">
        <w:fldChar w:fldCharType="separate"/>
      </w:r>
      <w:r w:rsidR="00FB3C46" w:rsidRPr="00D976E7">
        <w:t xml:space="preserve">Table </w:t>
      </w:r>
      <w:r w:rsidR="00FB3C46">
        <w:rPr>
          <w:noProof/>
        </w:rPr>
        <w:t>8</w:t>
      </w:r>
      <w:r w:rsidRPr="00A15362">
        <w:fldChar w:fldCharType="end"/>
      </w:r>
      <w:r>
        <w:t xml:space="preserve"> indicates that under constant daily cycles at the IGEM/TD/1 endurance limit, the fatigue life of a dented pipeline will range from 8847 to 43 years depending on the depth and location of the dent. Within each curve class, the fatigue life increases with decreasing dent depth.</w:t>
      </w:r>
      <w:r w:rsidRPr="00286659">
        <w:t xml:space="preserve"> </w:t>
      </w:r>
      <w:r>
        <w:t>At each dent depth, the shortest fatigue lives are observed for dents in girth welds (Class F), and the calculated fatigue life decreases going from plain pipe to seam weld to girth weld.</w:t>
      </w:r>
      <w:r w:rsidR="00543DD5">
        <w:t xml:space="preserve"> </w:t>
      </w:r>
      <w:r>
        <w:t xml:space="preserve">IGEM/TD/1 assumes the nominal operating life of a pipeline to be 40 years. A comparison between the values in </w:t>
      </w:r>
      <w:r w:rsidRPr="00A15362">
        <w:fldChar w:fldCharType="begin"/>
      </w:r>
      <w:r w:rsidRPr="00A15362">
        <w:instrText xml:space="preserve"> REF _Ref508617715 \h  \* MERGEFORMAT </w:instrText>
      </w:r>
      <w:r w:rsidRPr="00A15362">
        <w:fldChar w:fldCharType="separate"/>
      </w:r>
      <w:r w:rsidR="00FB3C46" w:rsidRPr="00D976E7">
        <w:t xml:space="preserve">Table </w:t>
      </w:r>
      <w:r w:rsidR="00FB3C46">
        <w:rPr>
          <w:noProof/>
        </w:rPr>
        <w:t>8</w:t>
      </w:r>
      <w:r w:rsidRPr="00A15362">
        <w:fldChar w:fldCharType="end"/>
      </w:r>
      <w:r>
        <w:t xml:space="preserve"> and a 40 year operating life should therefore provide a reasonable indication as to the severity of the potential fatigue damage which could be sustained if the requirement for a fatigue analysis of a dented pipeline is judged on the basis of the historical cyclic loading exceeding the IGEM/TD/1 endurance limit. </w:t>
      </w:r>
    </w:p>
    <w:p w14:paraId="5B40772B" w14:textId="0C9297C1" w:rsidR="00BD13D9" w:rsidRDefault="00BD13D9" w:rsidP="00BD13D9">
      <w:pPr>
        <w:pStyle w:val="BodyText"/>
      </w:pPr>
      <w:r>
        <w:t xml:space="preserve">The IGEM/TD/1 endurance limit will only be appropriate to determine the requirement for a fatigue analysis if the fatigue lives of all dents up to 7% OD in plain pipe and 2% OD in welds exceed the operating life of the pipeline. It is assumed that in accordance with the UKOPA </w:t>
      </w:r>
      <w:r w:rsidR="005B2DC4">
        <w:t>dent management strategy</w:t>
      </w:r>
      <w:r>
        <w:t xml:space="preserve"> that any dent exceeding 7% OD in plain pipe or 2% OD on welds will be repaired without consideration of the fatigue life. </w:t>
      </w:r>
    </w:p>
    <w:p w14:paraId="5328A003" w14:textId="63811A83" w:rsidR="00BD13D9" w:rsidRDefault="00BD13D9" w:rsidP="00BD13D9">
      <w:pPr>
        <w:pStyle w:val="BodyText"/>
      </w:pPr>
      <w:r>
        <w:t xml:space="preserve">On this basis, the values in </w:t>
      </w:r>
      <w:r w:rsidRPr="00A15362">
        <w:fldChar w:fldCharType="begin"/>
      </w:r>
      <w:r w:rsidRPr="00A15362">
        <w:instrText xml:space="preserve"> REF _Ref508617715 \h  \* MERGEFORMAT </w:instrText>
      </w:r>
      <w:r w:rsidRPr="00A15362">
        <w:fldChar w:fldCharType="separate"/>
      </w:r>
      <w:r w:rsidR="00FB3C46" w:rsidRPr="00D976E7">
        <w:t xml:space="preserve">Table </w:t>
      </w:r>
      <w:r w:rsidR="00FB3C46">
        <w:rPr>
          <w:noProof/>
        </w:rPr>
        <w:t>8</w:t>
      </w:r>
      <w:r w:rsidRPr="00A15362">
        <w:fldChar w:fldCharType="end"/>
      </w:r>
      <w:r>
        <w:t xml:space="preserve"> indicate that it is appropriate to apply the endurance limit from IGEM/TD/1 to determine the requirement for a fatigue analysis. In plain pipe the shortest fatigue life is that of a 7% OD dent, which is calculated as 432 years, which is more than 10 times the assumed nominal operating life. In seam welds, the shortest relevant fatigue life is that of a 2% OD dent, which is calculated as 294 years or approximately 7 times the assumed nominal operating life. In girth welds the shortest relevant fatigue life is that of a 2% OD dent, which is calculated at 179 years or approximately 4.5 times the assumed nominal operating life.</w:t>
      </w:r>
    </w:p>
    <w:p w14:paraId="588F6270" w14:textId="77777777" w:rsidR="00BD13D9" w:rsidRDefault="00BD13D9" w:rsidP="00BD13D9">
      <w:pPr>
        <w:pStyle w:val="BodyText"/>
      </w:pPr>
      <w:r>
        <w:t>It is noted that the applicability of the IGEM/TD/1 endurance limit to determine the requirement for the fatigue analysis of a dented pipeline is dependent upon the cyclic loading of the pipeline not exceeding one cycle per day at 35 Nmm</w:t>
      </w:r>
      <w:r w:rsidRPr="00B800C2">
        <w:rPr>
          <w:vertAlign w:val="superscript"/>
        </w:rPr>
        <w:t>-2</w:t>
      </w:r>
      <w:r>
        <w:t>.</w:t>
      </w:r>
    </w:p>
    <w:p w14:paraId="0FC04A3E" w14:textId="461C7C2C" w:rsidR="00BD13D9" w:rsidRDefault="00BD13D9" w:rsidP="00BD13D9">
      <w:pPr>
        <w:pStyle w:val="Heading1"/>
      </w:pPr>
      <w:bookmarkStart w:id="27" w:name="_Toc457919"/>
      <w:r>
        <w:lastRenderedPageBreak/>
        <w:t>Conclusions</w:t>
      </w:r>
      <w:bookmarkEnd w:id="27"/>
    </w:p>
    <w:p w14:paraId="5EECE10C" w14:textId="6AE82813" w:rsidR="00BD13D9" w:rsidRDefault="00BD13D9" w:rsidP="00E962DF">
      <w:pPr>
        <w:pStyle w:val="BodyText"/>
      </w:pPr>
      <w:r>
        <w:t>This note has considered the</w:t>
      </w:r>
      <w:r w:rsidRPr="00B800C2">
        <w:t xml:space="preserve"> </w:t>
      </w:r>
      <w:r>
        <w:t>determination of</w:t>
      </w:r>
      <w:r w:rsidRPr="00F91056">
        <w:t xml:space="preserve"> a</w:t>
      </w:r>
      <w:r>
        <w:t xml:space="preserve"> reasonable</w:t>
      </w:r>
      <w:r w:rsidRPr="00F91056">
        <w:t xml:space="preserve"> lower bound threshold</w:t>
      </w:r>
      <w:r>
        <w:t xml:space="preserve"> of cyclic stress</w:t>
      </w:r>
      <w:r w:rsidRPr="00F91056">
        <w:t xml:space="preserve"> </w:t>
      </w:r>
      <w:r>
        <w:t>at</w:t>
      </w:r>
      <w:r w:rsidRPr="00F91056">
        <w:t xml:space="preserve"> which a fatigue assessment is required for pipeline dents</w:t>
      </w:r>
      <w:r>
        <w:t xml:space="preserve"> that would not otherwise be repaired</w:t>
      </w:r>
      <w:r w:rsidRPr="00F91056">
        <w:t xml:space="preserve"> </w:t>
      </w:r>
      <w:r>
        <w:t>as part of</w:t>
      </w:r>
      <w:r w:rsidRPr="00F91056">
        <w:t xml:space="preserve"> </w:t>
      </w:r>
      <w:r>
        <w:t>t</w:t>
      </w:r>
      <w:r w:rsidRPr="00F91056">
        <w:t xml:space="preserve">he UKOPA </w:t>
      </w:r>
      <w:r w:rsidR="005B2DC4">
        <w:t>dent management strategy</w:t>
      </w:r>
      <w:r>
        <w:t>. The following conclusions can be made:</w:t>
      </w:r>
    </w:p>
    <w:p w14:paraId="40826FDD" w14:textId="77777777" w:rsidR="00BD13D9" w:rsidRDefault="00BD13D9" w:rsidP="00F4572D">
      <w:pPr>
        <w:pStyle w:val="BodyText"/>
        <w:numPr>
          <w:ilvl w:val="0"/>
          <w:numId w:val="19"/>
        </w:numPr>
      </w:pPr>
      <w:r>
        <w:t>The design S-N curves from BS 7608 in combination with a SCF to account for the presence of the dent can be used to give a reasonable idea as to the endurance limit (the stress range below which no fatigue damage will occur) of a dented pipeline.</w:t>
      </w:r>
    </w:p>
    <w:p w14:paraId="670A3757" w14:textId="77777777" w:rsidR="00BD13D9" w:rsidRDefault="00BD13D9" w:rsidP="00F4572D">
      <w:pPr>
        <w:pStyle w:val="BodyText"/>
        <w:numPr>
          <w:ilvl w:val="0"/>
          <w:numId w:val="19"/>
        </w:numPr>
      </w:pPr>
      <w:r>
        <w:t xml:space="preserve">The endurance limit of a dented pipeline is dependent upon the location of the dent (plain pipe, seam weld or girth weld) and the depth of the dent. </w:t>
      </w:r>
    </w:p>
    <w:p w14:paraId="0DF9FE71" w14:textId="77777777" w:rsidR="00BD13D9" w:rsidRDefault="00BD13D9" w:rsidP="00F4572D">
      <w:pPr>
        <w:pStyle w:val="BodyText"/>
        <w:numPr>
          <w:ilvl w:val="0"/>
          <w:numId w:val="19"/>
        </w:numPr>
      </w:pPr>
      <w:r>
        <w:t xml:space="preserve">The endurance limit of a dented pipeline decreases with increasing dent depth. </w:t>
      </w:r>
    </w:p>
    <w:p w14:paraId="4AA2F5DD" w14:textId="77777777" w:rsidR="00BD13D9" w:rsidRDefault="00BD13D9" w:rsidP="00F4572D">
      <w:pPr>
        <w:pStyle w:val="BodyText"/>
        <w:numPr>
          <w:ilvl w:val="0"/>
          <w:numId w:val="19"/>
        </w:numPr>
      </w:pPr>
      <w:r>
        <w:t>The endurance limit of a dented pipeline decreases when comparing a dent in plain pipe to a dent in a seam weld and comparing a dent in a seam weld to a dent in a girth weld.</w:t>
      </w:r>
    </w:p>
    <w:p w14:paraId="68BEFDB1" w14:textId="77777777" w:rsidR="00BD13D9" w:rsidRDefault="00BD13D9" w:rsidP="00F4572D">
      <w:pPr>
        <w:pStyle w:val="BodyText"/>
        <w:numPr>
          <w:ilvl w:val="0"/>
          <w:numId w:val="19"/>
        </w:numPr>
      </w:pPr>
      <w:r>
        <w:t>Under the application of a safety factor, none of the endurance limits for pipelines with dents up to 7% OD are in excess of the endurance limit for pipelines at the design stage stated in IGEM/TD/1. Certain stress cycles below the IGEM/TD/1 endurance limit could therefore cause fatigue damage in dented pipelines.</w:t>
      </w:r>
    </w:p>
    <w:p w14:paraId="02176A69" w14:textId="77777777" w:rsidR="00BD13D9" w:rsidRDefault="00BD13D9" w:rsidP="00F4572D">
      <w:pPr>
        <w:pStyle w:val="BodyText"/>
        <w:numPr>
          <w:ilvl w:val="0"/>
          <w:numId w:val="19"/>
        </w:numPr>
      </w:pPr>
      <w:r>
        <w:t>An assumption that the endurance limit stated for pipelines at the design stage in IGEM/TD/1 can be used to determine the requirement for a fatigue analysis of a dented pipeline may result in a situation whereby a dent is passed as fit for continued operation but continues to suffer from fatigue damage.</w:t>
      </w:r>
    </w:p>
    <w:p w14:paraId="575A0254" w14:textId="77777777" w:rsidR="00BD13D9" w:rsidRPr="00B800C2" w:rsidRDefault="00BD13D9" w:rsidP="00F4572D">
      <w:pPr>
        <w:pStyle w:val="BodyText"/>
        <w:numPr>
          <w:ilvl w:val="0"/>
          <w:numId w:val="19"/>
        </w:numPr>
      </w:pPr>
      <w:r>
        <w:t>Consideration of the potential severity of the fatigue damage resulting from the assumption outlined above in comparison to pipeline operating life indicates that the IGEM/TD/1 endurance limit is appropriate as a lower bound threshold of cyclic stress</w:t>
      </w:r>
      <w:r w:rsidRPr="00F91056">
        <w:t xml:space="preserve"> </w:t>
      </w:r>
      <w:r>
        <w:t>to determine if</w:t>
      </w:r>
      <w:r w:rsidRPr="00F91056">
        <w:t xml:space="preserve"> a fatigue assessment is required for pipeline dents</w:t>
      </w:r>
      <w:r>
        <w:t>.</w:t>
      </w:r>
    </w:p>
    <w:p w14:paraId="33183599" w14:textId="77777777" w:rsidR="00BD13D9" w:rsidRDefault="00BD13D9" w:rsidP="00F4572D">
      <w:pPr>
        <w:pStyle w:val="BodyText"/>
        <w:numPr>
          <w:ilvl w:val="0"/>
          <w:numId w:val="19"/>
        </w:numPr>
      </w:pPr>
      <w:r>
        <w:t>The use of the IGEM/TD/1 endurance limit is dependent upon the cyclic loading of the pipeline not exceeding one cycle per day at 35 Nmm</w:t>
      </w:r>
      <w:r w:rsidRPr="00B800C2">
        <w:rPr>
          <w:vertAlign w:val="superscript"/>
        </w:rPr>
        <w:t>-2</w:t>
      </w:r>
      <w:r>
        <w:t xml:space="preserve"> and any dents exceeding 7% OD in plain pipe or 2% OD in welds being repaired.</w:t>
      </w:r>
    </w:p>
    <w:p w14:paraId="42CCFA56" w14:textId="77777777" w:rsidR="00BD13D9" w:rsidRPr="00E2546D" w:rsidRDefault="00BD13D9" w:rsidP="00BD13D9">
      <w:pPr>
        <w:rPr>
          <w:rFonts w:ascii="Arial" w:hAnsi="Arial" w:cs="Arial"/>
        </w:rPr>
      </w:pPr>
      <w:r>
        <w:rPr>
          <w:rFonts w:ascii="Arial" w:hAnsi="Arial" w:cs="Arial"/>
        </w:rPr>
        <w:br w:type="page"/>
      </w:r>
    </w:p>
    <w:bookmarkStart w:id="28" w:name="_Toc457920" w:displacedByCustomXml="next"/>
    <w:sdt>
      <w:sdtPr>
        <w:rPr>
          <w:rFonts w:asciiTheme="minorHAnsi" w:hAnsiTheme="minorHAnsi"/>
          <w:b w:val="0"/>
          <w:caps w:val="0"/>
          <w:noProof w:val="0"/>
          <w:color w:val="auto"/>
          <w:kern w:val="0"/>
          <w:sz w:val="20"/>
        </w:rPr>
        <w:id w:val="869187470"/>
        <w:docPartObj>
          <w:docPartGallery w:val="Bibliographies"/>
          <w:docPartUnique/>
        </w:docPartObj>
      </w:sdtPr>
      <w:sdtEndPr/>
      <w:sdtContent>
        <w:p w14:paraId="7ACC5435" w14:textId="4D2EDD2A" w:rsidR="006B48B6" w:rsidRDefault="006B48B6">
          <w:pPr>
            <w:pStyle w:val="Heading1"/>
          </w:pPr>
          <w:r>
            <w:t>References</w:t>
          </w:r>
          <w:bookmarkEnd w:id="28"/>
        </w:p>
        <w:sdt>
          <w:sdtPr>
            <w:id w:val="-573587230"/>
            <w:bibliography/>
          </w:sdtPr>
          <w:sdtEndPr/>
          <w:sdtContent>
            <w:p w14:paraId="41BE1683" w14:textId="77777777" w:rsidR="00B27C7C" w:rsidRDefault="006B48B6">
              <w:pPr>
                <w:rPr>
                  <w:rFonts w:ascii="Times New Roman" w:hAnsi="Times New Roman"/>
                  <w:noProof/>
                  <w:lang w:eastAsia="en-GB"/>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664"/>
              </w:tblGrid>
              <w:tr w:rsidR="00B27C7C" w14:paraId="7726D308" w14:textId="77777777">
                <w:trPr>
                  <w:divId w:val="1506364161"/>
                  <w:tblCellSpacing w:w="15" w:type="dxa"/>
                </w:trPr>
                <w:tc>
                  <w:tcPr>
                    <w:tcW w:w="50" w:type="pct"/>
                    <w:hideMark/>
                  </w:tcPr>
                  <w:p w14:paraId="7564C99F" w14:textId="6ED0223B" w:rsidR="00B27C7C" w:rsidRDefault="00B27C7C">
                    <w:pPr>
                      <w:pStyle w:val="Bibliography"/>
                      <w:rPr>
                        <w:noProof/>
                        <w:sz w:val="24"/>
                        <w:szCs w:val="24"/>
                      </w:rPr>
                    </w:pPr>
                    <w:r>
                      <w:rPr>
                        <w:noProof/>
                      </w:rPr>
                      <w:t xml:space="preserve">[1] </w:t>
                    </w:r>
                  </w:p>
                </w:tc>
                <w:tc>
                  <w:tcPr>
                    <w:tcW w:w="0" w:type="auto"/>
                    <w:hideMark/>
                  </w:tcPr>
                  <w:p w14:paraId="3697C329" w14:textId="77777777" w:rsidR="00B27C7C" w:rsidRDefault="00B27C7C">
                    <w:pPr>
                      <w:pStyle w:val="Bibliography"/>
                      <w:rPr>
                        <w:noProof/>
                      </w:rPr>
                    </w:pPr>
                    <w:r>
                      <w:rPr>
                        <w:noProof/>
                      </w:rPr>
                      <w:t xml:space="preserve">IGEM, IGEM/TD/1 Ed 5 Steel pipelines for high pressure gas transmission, IGEM, 2008. </w:t>
                    </w:r>
                  </w:p>
                </w:tc>
              </w:tr>
              <w:tr w:rsidR="00B27C7C" w14:paraId="0428C0B8" w14:textId="77777777">
                <w:trPr>
                  <w:divId w:val="1506364161"/>
                  <w:tblCellSpacing w:w="15" w:type="dxa"/>
                </w:trPr>
                <w:tc>
                  <w:tcPr>
                    <w:tcW w:w="50" w:type="pct"/>
                    <w:hideMark/>
                  </w:tcPr>
                  <w:p w14:paraId="277AE3A0" w14:textId="77777777" w:rsidR="00B27C7C" w:rsidRDefault="00B27C7C">
                    <w:pPr>
                      <w:pStyle w:val="Bibliography"/>
                      <w:rPr>
                        <w:noProof/>
                      </w:rPr>
                    </w:pPr>
                    <w:r>
                      <w:rPr>
                        <w:noProof/>
                      </w:rPr>
                      <w:t xml:space="preserve">[2] </w:t>
                    </w:r>
                  </w:p>
                </w:tc>
                <w:tc>
                  <w:tcPr>
                    <w:tcW w:w="0" w:type="auto"/>
                    <w:hideMark/>
                  </w:tcPr>
                  <w:p w14:paraId="307B4592" w14:textId="77777777" w:rsidR="00B27C7C" w:rsidRDefault="00B27C7C">
                    <w:pPr>
                      <w:pStyle w:val="Bibliography"/>
                      <w:rPr>
                        <w:noProof/>
                      </w:rPr>
                    </w:pPr>
                    <w:r>
                      <w:rPr>
                        <w:noProof/>
                      </w:rPr>
                      <w:t xml:space="preserve">The British Standards Institution. BS 7608:2014 Guide to Fatigue Design and Assessment of Steel Products, BSI Standards Limited,, 2014. </w:t>
                    </w:r>
                  </w:p>
                </w:tc>
              </w:tr>
              <w:tr w:rsidR="00B27C7C" w14:paraId="754950C8" w14:textId="77777777">
                <w:trPr>
                  <w:divId w:val="1506364161"/>
                  <w:tblCellSpacing w:w="15" w:type="dxa"/>
                </w:trPr>
                <w:tc>
                  <w:tcPr>
                    <w:tcW w:w="50" w:type="pct"/>
                    <w:hideMark/>
                  </w:tcPr>
                  <w:p w14:paraId="2A75FBAE" w14:textId="77777777" w:rsidR="00B27C7C" w:rsidRDefault="00B27C7C">
                    <w:pPr>
                      <w:pStyle w:val="Bibliography"/>
                      <w:rPr>
                        <w:noProof/>
                      </w:rPr>
                    </w:pPr>
                    <w:r>
                      <w:rPr>
                        <w:noProof/>
                      </w:rPr>
                      <w:t xml:space="preserve">[3] </w:t>
                    </w:r>
                  </w:p>
                </w:tc>
                <w:tc>
                  <w:tcPr>
                    <w:tcW w:w="0" w:type="auto"/>
                    <w:hideMark/>
                  </w:tcPr>
                  <w:p w14:paraId="0B451BD4" w14:textId="77777777" w:rsidR="00B27C7C" w:rsidRDefault="00B27C7C">
                    <w:pPr>
                      <w:pStyle w:val="Bibliography"/>
                      <w:rPr>
                        <w:noProof/>
                      </w:rPr>
                    </w:pPr>
                    <w:r>
                      <w:rPr>
                        <w:noProof/>
                      </w:rPr>
                      <w:t xml:space="preserve">The British Standards Institution, BS 7910:2013+A1:2015 Guide to Methods for Assessing the Acceptability of Flaws in Metallic Structures, BSI Standards Limited, 2015. </w:t>
                    </w:r>
                  </w:p>
                </w:tc>
              </w:tr>
              <w:tr w:rsidR="00B27C7C" w14:paraId="4E4CA9F2" w14:textId="77777777">
                <w:trPr>
                  <w:divId w:val="1506364161"/>
                  <w:tblCellSpacing w:w="15" w:type="dxa"/>
                </w:trPr>
                <w:tc>
                  <w:tcPr>
                    <w:tcW w:w="50" w:type="pct"/>
                    <w:hideMark/>
                  </w:tcPr>
                  <w:p w14:paraId="18ACEE69" w14:textId="77777777" w:rsidR="00B27C7C" w:rsidRDefault="00B27C7C">
                    <w:pPr>
                      <w:pStyle w:val="Bibliography"/>
                      <w:rPr>
                        <w:noProof/>
                      </w:rPr>
                    </w:pPr>
                    <w:r>
                      <w:rPr>
                        <w:noProof/>
                      </w:rPr>
                      <w:t xml:space="preserve">[4] </w:t>
                    </w:r>
                  </w:p>
                </w:tc>
                <w:tc>
                  <w:tcPr>
                    <w:tcW w:w="0" w:type="auto"/>
                    <w:hideMark/>
                  </w:tcPr>
                  <w:p w14:paraId="3D42FF65" w14:textId="77777777" w:rsidR="00B27C7C" w:rsidRDefault="00B27C7C">
                    <w:pPr>
                      <w:pStyle w:val="Bibliography"/>
                      <w:rPr>
                        <w:noProof/>
                      </w:rPr>
                    </w:pPr>
                    <w:r>
                      <w:rPr>
                        <w:noProof/>
                      </w:rPr>
                      <w:t>A. Cosham, “Assessment Methods for Dents in Pipelines, A Report to The Pipeline Defect Assessment Manual Joint Industry Project, NR99014/4238.1.74/R3,” Penspen Limited, Newcastle upon Tyne, 2001.</w:t>
                    </w:r>
                  </w:p>
                </w:tc>
              </w:tr>
              <w:tr w:rsidR="00B27C7C" w14:paraId="61D62570" w14:textId="77777777">
                <w:trPr>
                  <w:divId w:val="1506364161"/>
                  <w:tblCellSpacing w:w="15" w:type="dxa"/>
                </w:trPr>
                <w:tc>
                  <w:tcPr>
                    <w:tcW w:w="50" w:type="pct"/>
                    <w:hideMark/>
                  </w:tcPr>
                  <w:p w14:paraId="6E208419" w14:textId="77777777" w:rsidR="00B27C7C" w:rsidRDefault="00B27C7C">
                    <w:pPr>
                      <w:pStyle w:val="Bibliography"/>
                      <w:rPr>
                        <w:noProof/>
                      </w:rPr>
                    </w:pPr>
                    <w:r>
                      <w:rPr>
                        <w:noProof/>
                      </w:rPr>
                      <w:t xml:space="preserve">[5] </w:t>
                    </w:r>
                  </w:p>
                </w:tc>
                <w:tc>
                  <w:tcPr>
                    <w:tcW w:w="0" w:type="auto"/>
                    <w:hideMark/>
                  </w:tcPr>
                  <w:p w14:paraId="7078B574" w14:textId="77777777" w:rsidR="00B27C7C" w:rsidRDefault="00B27C7C">
                    <w:pPr>
                      <w:pStyle w:val="Bibliography"/>
                      <w:rPr>
                        <w:noProof/>
                      </w:rPr>
                    </w:pPr>
                    <w:r>
                      <w:rPr>
                        <w:noProof/>
                      </w:rPr>
                      <w:t>J. H. Liu, “Feasibility Study: Fatigue Assessment of Plain Dent Damage, Report Number: 12505 Issue 1.0,” GL Noble Denton, Loughborough, Leicestershire,, 2013.</w:t>
                    </w:r>
                  </w:p>
                </w:tc>
              </w:tr>
              <w:tr w:rsidR="00B27C7C" w14:paraId="171FDC0A" w14:textId="77777777">
                <w:trPr>
                  <w:divId w:val="1506364161"/>
                  <w:tblCellSpacing w:w="15" w:type="dxa"/>
                </w:trPr>
                <w:tc>
                  <w:tcPr>
                    <w:tcW w:w="50" w:type="pct"/>
                    <w:hideMark/>
                  </w:tcPr>
                  <w:p w14:paraId="6F673518" w14:textId="77777777" w:rsidR="00B27C7C" w:rsidRDefault="00B27C7C">
                    <w:pPr>
                      <w:pStyle w:val="Bibliography"/>
                      <w:rPr>
                        <w:noProof/>
                      </w:rPr>
                    </w:pPr>
                    <w:r>
                      <w:rPr>
                        <w:noProof/>
                      </w:rPr>
                      <w:t xml:space="preserve">[6] </w:t>
                    </w:r>
                  </w:p>
                </w:tc>
                <w:tc>
                  <w:tcPr>
                    <w:tcW w:w="0" w:type="auto"/>
                    <w:hideMark/>
                  </w:tcPr>
                  <w:p w14:paraId="656CB9C6" w14:textId="77777777" w:rsidR="00B27C7C" w:rsidRDefault="00B27C7C">
                    <w:pPr>
                      <w:pStyle w:val="Bibliography"/>
                      <w:rPr>
                        <w:noProof/>
                      </w:rPr>
                    </w:pPr>
                    <w:r>
                      <w:rPr>
                        <w:noProof/>
                      </w:rPr>
                      <w:t>“UK Onshore Pipeline Operators’ Association, Industry Good Practice Guide, Managing Pipeline Dents, UKOPA/GP/004, Edition 1,” UKOPA, Ambergate, 2016.</w:t>
                    </w:r>
                  </w:p>
                </w:tc>
              </w:tr>
              <w:tr w:rsidR="00B27C7C" w14:paraId="786FE379" w14:textId="77777777">
                <w:trPr>
                  <w:divId w:val="1506364161"/>
                  <w:tblCellSpacing w:w="15" w:type="dxa"/>
                </w:trPr>
                <w:tc>
                  <w:tcPr>
                    <w:tcW w:w="50" w:type="pct"/>
                    <w:hideMark/>
                  </w:tcPr>
                  <w:p w14:paraId="3C492FD1" w14:textId="77777777" w:rsidR="00B27C7C" w:rsidRDefault="00B27C7C">
                    <w:pPr>
                      <w:pStyle w:val="Bibliography"/>
                      <w:rPr>
                        <w:noProof/>
                      </w:rPr>
                    </w:pPr>
                    <w:r>
                      <w:rPr>
                        <w:noProof/>
                      </w:rPr>
                      <w:t xml:space="preserve">[7] </w:t>
                    </w:r>
                  </w:p>
                </w:tc>
                <w:tc>
                  <w:tcPr>
                    <w:tcW w:w="0" w:type="auto"/>
                    <w:hideMark/>
                  </w:tcPr>
                  <w:p w14:paraId="5EBC4A01" w14:textId="77777777" w:rsidR="00B27C7C" w:rsidRDefault="00B27C7C">
                    <w:pPr>
                      <w:pStyle w:val="Bibliography"/>
                      <w:rPr>
                        <w:noProof/>
                      </w:rPr>
                    </w:pPr>
                    <w:r>
                      <w:rPr>
                        <w:noProof/>
                      </w:rPr>
                      <w:t>“UK Onshore Pipeline Operators’ Association, Application of S-N Curves to Fatigue Assessment of Pipeline Dents, UKOPA Technical Note PIWG/16/032,,” UKOPA, Ambergate, 2016.</w:t>
                    </w:r>
                  </w:p>
                </w:tc>
              </w:tr>
              <w:tr w:rsidR="00B27C7C" w14:paraId="32057A02" w14:textId="77777777">
                <w:trPr>
                  <w:divId w:val="1506364161"/>
                  <w:tblCellSpacing w:w="15" w:type="dxa"/>
                </w:trPr>
                <w:tc>
                  <w:tcPr>
                    <w:tcW w:w="50" w:type="pct"/>
                    <w:hideMark/>
                  </w:tcPr>
                  <w:p w14:paraId="7776945C" w14:textId="77777777" w:rsidR="00B27C7C" w:rsidRDefault="00B27C7C">
                    <w:pPr>
                      <w:pStyle w:val="Bibliography"/>
                      <w:rPr>
                        <w:noProof/>
                      </w:rPr>
                    </w:pPr>
                    <w:r>
                      <w:rPr>
                        <w:noProof/>
                      </w:rPr>
                      <w:t xml:space="preserve">[8] </w:t>
                    </w:r>
                  </w:p>
                </w:tc>
                <w:tc>
                  <w:tcPr>
                    <w:tcW w:w="0" w:type="auto"/>
                    <w:hideMark/>
                  </w:tcPr>
                  <w:p w14:paraId="1B2693EC" w14:textId="77777777" w:rsidR="00B27C7C" w:rsidRDefault="00B27C7C">
                    <w:pPr>
                      <w:pStyle w:val="Bibliography"/>
                      <w:rPr>
                        <w:noProof/>
                      </w:rPr>
                    </w:pPr>
                    <w:r>
                      <w:rPr>
                        <w:noProof/>
                      </w:rPr>
                      <w:t xml:space="preserve">J. E. Shigley and C. R. Mirshke, Mechanical Engineering Design, 6th Edition, Chapter 12., New York,: McGraw-Hill, 2001. </w:t>
                    </w:r>
                  </w:p>
                </w:tc>
              </w:tr>
              <w:tr w:rsidR="00B27C7C" w14:paraId="01DC4986" w14:textId="77777777">
                <w:trPr>
                  <w:divId w:val="1506364161"/>
                  <w:tblCellSpacing w:w="15" w:type="dxa"/>
                </w:trPr>
                <w:tc>
                  <w:tcPr>
                    <w:tcW w:w="50" w:type="pct"/>
                    <w:hideMark/>
                  </w:tcPr>
                  <w:p w14:paraId="17267E30" w14:textId="77777777" w:rsidR="00B27C7C" w:rsidRDefault="00B27C7C">
                    <w:pPr>
                      <w:pStyle w:val="Bibliography"/>
                      <w:rPr>
                        <w:noProof/>
                      </w:rPr>
                    </w:pPr>
                    <w:r>
                      <w:rPr>
                        <w:noProof/>
                      </w:rPr>
                      <w:t xml:space="preserve">[9] </w:t>
                    </w:r>
                  </w:p>
                </w:tc>
                <w:tc>
                  <w:tcPr>
                    <w:tcW w:w="0" w:type="auto"/>
                    <w:hideMark/>
                  </w:tcPr>
                  <w:p w14:paraId="3AC3BAA6" w14:textId="77777777" w:rsidR="00B27C7C" w:rsidRDefault="00B27C7C">
                    <w:pPr>
                      <w:pStyle w:val="Bibliography"/>
                      <w:rPr>
                        <w:noProof/>
                      </w:rPr>
                    </w:pPr>
                    <w:r>
                      <w:rPr>
                        <w:noProof/>
                      </w:rPr>
                      <w:t xml:space="preserve">F. C. Campbell, Elements of Metallurgy and Engineering Alloys, Materials Park, Ohio: ASM International, 2008. </w:t>
                    </w:r>
                  </w:p>
                </w:tc>
              </w:tr>
              <w:tr w:rsidR="00B27C7C" w14:paraId="0607C04F" w14:textId="77777777">
                <w:trPr>
                  <w:divId w:val="1506364161"/>
                  <w:tblCellSpacing w:w="15" w:type="dxa"/>
                </w:trPr>
                <w:tc>
                  <w:tcPr>
                    <w:tcW w:w="50" w:type="pct"/>
                    <w:hideMark/>
                  </w:tcPr>
                  <w:p w14:paraId="7AFD5DA3" w14:textId="77777777" w:rsidR="00B27C7C" w:rsidRDefault="00B27C7C">
                    <w:pPr>
                      <w:pStyle w:val="Bibliography"/>
                      <w:rPr>
                        <w:noProof/>
                      </w:rPr>
                    </w:pPr>
                    <w:r>
                      <w:rPr>
                        <w:noProof/>
                      </w:rPr>
                      <w:t xml:space="preserve">[10] </w:t>
                    </w:r>
                  </w:p>
                </w:tc>
                <w:tc>
                  <w:tcPr>
                    <w:tcW w:w="0" w:type="auto"/>
                    <w:hideMark/>
                  </w:tcPr>
                  <w:p w14:paraId="64FE2CC0" w14:textId="77777777" w:rsidR="00B27C7C" w:rsidRDefault="00B27C7C">
                    <w:pPr>
                      <w:pStyle w:val="Bibliography"/>
                      <w:rPr>
                        <w:noProof/>
                      </w:rPr>
                    </w:pPr>
                    <w:r>
                      <w:rPr>
                        <w:noProof/>
                      </w:rPr>
                      <w:t>I. Corder and P. Chatain, “EPRG Recommendations for The Assessment of The Resistance of Pipelines to External Damage, Proceedings of the EPRG/PRC 10th Biennial Joint Technical Meeting on Line Pipe Research,” Cambridge, 1995.</w:t>
                    </w:r>
                  </w:p>
                </w:tc>
              </w:tr>
              <w:tr w:rsidR="00B27C7C" w14:paraId="0767C0FC" w14:textId="77777777">
                <w:trPr>
                  <w:divId w:val="1506364161"/>
                  <w:tblCellSpacing w:w="15" w:type="dxa"/>
                </w:trPr>
                <w:tc>
                  <w:tcPr>
                    <w:tcW w:w="50" w:type="pct"/>
                    <w:hideMark/>
                  </w:tcPr>
                  <w:p w14:paraId="72694228" w14:textId="77777777" w:rsidR="00B27C7C" w:rsidRDefault="00B27C7C">
                    <w:pPr>
                      <w:pStyle w:val="Bibliography"/>
                      <w:rPr>
                        <w:noProof/>
                      </w:rPr>
                    </w:pPr>
                    <w:r>
                      <w:rPr>
                        <w:noProof/>
                      </w:rPr>
                      <w:t xml:space="preserve">[11] </w:t>
                    </w:r>
                  </w:p>
                </w:tc>
                <w:tc>
                  <w:tcPr>
                    <w:tcW w:w="0" w:type="auto"/>
                    <w:hideMark/>
                  </w:tcPr>
                  <w:p w14:paraId="4B1BDFDB" w14:textId="77777777" w:rsidR="00B27C7C" w:rsidRDefault="00B27C7C">
                    <w:pPr>
                      <w:pStyle w:val="Bibliography"/>
                      <w:rPr>
                        <w:noProof/>
                      </w:rPr>
                    </w:pPr>
                    <w:r>
                      <w:rPr>
                        <w:noProof/>
                      </w:rPr>
                      <w:t>J. R. Fowler, C. R. Alexander, P. J. Kovach and L. M. Connelly, “Cyclic Pressure Fatigue Life of Pipelines with Plain Dents, Dents with Gouges, and Dents with Welds, PRCI Report PR-201-927/201-9324,” PRCI Catalog Number L51705e, 1994.</w:t>
                    </w:r>
                  </w:p>
                </w:tc>
              </w:tr>
              <w:tr w:rsidR="00B27C7C" w14:paraId="337305E1" w14:textId="77777777">
                <w:trPr>
                  <w:divId w:val="1506364161"/>
                  <w:tblCellSpacing w:w="15" w:type="dxa"/>
                </w:trPr>
                <w:tc>
                  <w:tcPr>
                    <w:tcW w:w="50" w:type="pct"/>
                    <w:hideMark/>
                  </w:tcPr>
                  <w:p w14:paraId="326330A8" w14:textId="77777777" w:rsidR="00B27C7C" w:rsidRDefault="00B27C7C">
                    <w:pPr>
                      <w:pStyle w:val="Bibliography"/>
                      <w:rPr>
                        <w:noProof/>
                      </w:rPr>
                    </w:pPr>
                    <w:r>
                      <w:rPr>
                        <w:noProof/>
                      </w:rPr>
                      <w:t xml:space="preserve">[12] </w:t>
                    </w:r>
                  </w:p>
                </w:tc>
                <w:tc>
                  <w:tcPr>
                    <w:tcW w:w="0" w:type="auto"/>
                    <w:hideMark/>
                  </w:tcPr>
                  <w:p w14:paraId="224E5DD9" w14:textId="77777777" w:rsidR="00B27C7C" w:rsidRDefault="00B27C7C">
                    <w:pPr>
                      <w:pStyle w:val="Bibliography"/>
                      <w:rPr>
                        <w:noProof/>
                      </w:rPr>
                    </w:pPr>
                    <w:r>
                      <w:rPr>
                        <w:noProof/>
                      </w:rPr>
                      <w:t xml:space="preserve">C. R. Alexander and J. F. Kiefner, Effects of Smooth and Rock Dents on Liquid Petroleum Pipelines, API Publication 1156, 1997. </w:t>
                    </w:r>
                  </w:p>
                </w:tc>
              </w:tr>
            </w:tbl>
            <w:p w14:paraId="5EB55D7B" w14:textId="77777777" w:rsidR="00B27C7C" w:rsidRDefault="00B27C7C">
              <w:pPr>
                <w:divId w:val="1506364161"/>
                <w:rPr>
                  <w:noProof/>
                </w:rPr>
              </w:pPr>
            </w:p>
            <w:p w14:paraId="0BC775E9" w14:textId="37658868" w:rsidR="006B48B6" w:rsidRDefault="006B48B6">
              <w:r>
                <w:rPr>
                  <w:b/>
                  <w:bCs/>
                  <w:noProof/>
                </w:rPr>
                <w:fldChar w:fldCharType="end"/>
              </w:r>
            </w:p>
          </w:sdtContent>
        </w:sdt>
      </w:sdtContent>
    </w:sdt>
    <w:sectPr w:rsidR="006B48B6" w:rsidSect="007D70C0">
      <w:footerReference w:type="default" r:id="rId29"/>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5C0D" w14:textId="77777777" w:rsidR="00A44974" w:rsidRDefault="00A44974" w:rsidP="007D7FDC"/>
  </w:endnote>
  <w:endnote w:type="continuationSeparator" w:id="0">
    <w:p w14:paraId="7074F1E2" w14:textId="77777777" w:rsidR="00A44974" w:rsidRDefault="00A44974"/>
  </w:endnote>
  <w:endnote w:type="continuationNotice" w:id="1">
    <w:p w14:paraId="5D1FABB4" w14:textId="77777777" w:rsidR="00A44974" w:rsidRDefault="00A44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75DC" w14:textId="77777777" w:rsidR="00A44974" w:rsidRDefault="00A44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D4A5169" w14:textId="77777777" w:rsidR="00A44974" w:rsidRDefault="00A449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30CF3" w14:textId="77777777" w:rsidR="00A44974" w:rsidRPr="006E4D29" w:rsidRDefault="00A44974" w:rsidP="006E4D29">
    <w:pPr>
      <w:pStyle w:val="Footer"/>
      <w:pBdr>
        <w:top w:val="none" w:sz="0" w:space="0" w:color="auto"/>
      </w:pBdr>
      <w:spacing w:before="120"/>
      <w:jc w:val="center"/>
      <w:rPr>
        <w:sz w:val="20"/>
      </w:rPr>
    </w:pPr>
    <w:r>
      <w:rPr>
        <w:noProof/>
        <w:lang w:eastAsia="en-GB"/>
      </w:rPr>
      <mc:AlternateContent>
        <mc:Choice Requires="wps">
          <w:drawing>
            <wp:anchor distT="0" distB="0" distL="114300" distR="114300" simplePos="0" relativeHeight="251660288" behindDoc="0" locked="0" layoutInCell="1" allowOverlap="1" wp14:anchorId="38348798" wp14:editId="524295A7">
              <wp:simplePos x="0" y="0"/>
              <wp:positionH relativeFrom="column">
                <wp:posOffset>-466725</wp:posOffset>
              </wp:positionH>
              <wp:positionV relativeFrom="paragraph">
                <wp:posOffset>224790</wp:posOffset>
              </wp:positionV>
              <wp:extent cx="7568565" cy="61341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AA99412" w14:textId="77777777" w:rsidR="00A44974" w:rsidRDefault="00A44974"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348798" id="_x0000_t202" coordsize="21600,21600" o:spt="202" path="m,l,21600r21600,l21600,xe">
              <v:stroke joinstyle="miter"/>
              <v:path gradientshapeok="t" o:connecttype="rect"/>
            </v:shapetype>
            <v:shape id="Text Box 5" o:spid="_x0000_s1027" type="#_x0000_t202" style="position:absolute;left:0;text-align:left;margin-left:-36.75pt;margin-top:17.7pt;width:595.95pt;height:4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" fillcolor="#bebfc1 [1942]" stroked="f">
              <v:textbox>
                <w:txbxContent>
                  <w:p w14:paraId="6AA99412" w14:textId="77777777" w:rsidR="00A44974" w:rsidRDefault="00A44974" w:rsidP="006E4D29"/>
                </w:txbxContent>
              </v:textbox>
              <w10:wrap type="square"/>
            </v:shape>
          </w:pict>
        </mc:Fallback>
      </mc:AlternateContent>
    </w:r>
    <w:r w:rsidRPr="00D93473">
      <w:rPr>
        <w:sz w:val="20"/>
      </w:rPr>
      <w:t>Technical Briefing Notes (TBNs) are for internal use for UKOPA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63FB" w14:textId="3E0482B3" w:rsidR="00A44974" w:rsidRPr="008F1518" w:rsidRDefault="00A44974" w:rsidP="008F1518">
    <w:pPr>
      <w:pStyle w:val="Footer"/>
    </w:pPr>
    <w:r>
      <w:tab/>
    </w:r>
    <w:r>
      <w:tab/>
    </w:r>
    <w:fldSimple w:instr=" COMMENTS \* MERGEFORMAT ">
      <w:r w:rsidR="00FB3C46">
        <w:t>UKOPA/TBN/XXX Edition 0.2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F287" w14:textId="606EDE87" w:rsidR="00A44974" w:rsidRPr="00F44755" w:rsidRDefault="00A44974"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7176D3">
          <w:rPr>
            <w:color w:val="00243A"/>
          </w:rPr>
          <w:t>UKOPA/TBN/010 Edition 1</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5C50" w14:textId="6CC86632" w:rsidR="00A44974" w:rsidRDefault="00F66A3B" w:rsidP="008F1518">
    <w:pPr>
      <w:pStyle w:val="Footer"/>
    </w:pPr>
    <w:fldSimple w:instr=" STYLEREF &quot;Heading 1&quot; \* MERGEFORMAT ">
      <w:r w:rsidR="00377F06">
        <w:rPr>
          <w:noProof/>
        </w:rPr>
        <w:t>References</w:t>
      </w:r>
    </w:fldSimple>
    <w:bookmarkStart w:id="29" w:name="Contents"/>
    <w:r w:rsidR="00A44974">
      <w:tab/>
    </w:r>
    <w:r w:rsidR="00A44974">
      <w:rPr>
        <w:rStyle w:val="PageNumber"/>
        <w:snapToGrid w:val="0"/>
      </w:rPr>
      <w:t xml:space="preserve">Page </w:t>
    </w:r>
    <w:r w:rsidR="00A44974">
      <w:rPr>
        <w:rStyle w:val="PageNumber"/>
      </w:rPr>
      <w:fldChar w:fldCharType="begin"/>
    </w:r>
    <w:r w:rsidR="00A44974">
      <w:rPr>
        <w:rStyle w:val="PageNumber"/>
      </w:rPr>
      <w:instrText xml:space="preserve"> PAGE </w:instrText>
    </w:r>
    <w:r w:rsidR="00A44974">
      <w:rPr>
        <w:rStyle w:val="PageNumber"/>
      </w:rPr>
      <w:fldChar w:fldCharType="separate"/>
    </w:r>
    <w:r w:rsidR="00A44974">
      <w:rPr>
        <w:rStyle w:val="PageNumber"/>
        <w:noProof/>
      </w:rPr>
      <w:t>7</w:t>
    </w:r>
    <w:r w:rsidR="00A44974">
      <w:rPr>
        <w:rStyle w:val="PageNumber"/>
      </w:rPr>
      <w:fldChar w:fldCharType="end"/>
    </w:r>
    <w:r w:rsidR="00A44974">
      <w:rPr>
        <w:rStyle w:val="PageNumber"/>
        <w:snapToGrid w:val="0"/>
      </w:rPr>
      <w:t xml:space="preserve"> of </w:t>
    </w:r>
    <w:fldSimple w:instr=" SECTIONPAGES   \* MERGEFORMAT ">
      <w:r w:rsidR="00377F06" w:rsidRPr="00377F06">
        <w:rPr>
          <w:rStyle w:val="PageNumber"/>
          <w:noProof/>
          <w:snapToGrid w:val="0"/>
        </w:rPr>
        <w:t>21</w:t>
      </w:r>
    </w:fldSimple>
    <w:r w:rsidR="00A44974">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7176D3">
          <w:t>UKOPA/TBN/010 Edition 1</w:t>
        </w:r>
      </w:sdtContent>
    </w:sdt>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270A4" w14:textId="77777777" w:rsidR="00A44974" w:rsidRDefault="00A44974" w:rsidP="005855C5">
      <w:pPr>
        <w:ind w:left="851"/>
      </w:pPr>
      <w:r>
        <w:separator/>
      </w:r>
    </w:p>
  </w:footnote>
  <w:footnote w:type="continuationSeparator" w:id="0">
    <w:p w14:paraId="3B287D5A" w14:textId="77777777" w:rsidR="00A44974" w:rsidRDefault="00A44974">
      <w:r>
        <w:continuationSeparator/>
      </w:r>
    </w:p>
  </w:footnote>
  <w:footnote w:id="1">
    <w:p w14:paraId="623F7518" w14:textId="77777777" w:rsidR="00A44974" w:rsidRDefault="00A44974" w:rsidP="00BD13D9">
      <w:pPr>
        <w:pStyle w:val="FootnoteText"/>
      </w:pPr>
      <w:r>
        <w:rPr>
          <w:rStyle w:val="FootnoteReference"/>
        </w:rPr>
        <w:footnoteRef/>
      </w:r>
      <w:r>
        <w:t xml:space="preserve"> Note that the pressure cycle would differ for pipelines of different diameter and wall thickness in accordance with Barlow’s formula.</w:t>
      </w:r>
    </w:p>
  </w:footnote>
  <w:footnote w:id="2">
    <w:p w14:paraId="377BF8E1" w14:textId="77777777" w:rsidR="00A44974" w:rsidRDefault="00A44974" w:rsidP="00BD13D9">
      <w:pPr>
        <w:pStyle w:val="FootnoteText"/>
      </w:pPr>
      <w:r>
        <w:rPr>
          <w:rStyle w:val="FootnoteReference"/>
        </w:rPr>
        <w:footnoteRef/>
      </w:r>
      <w:r>
        <w:t xml:space="preserve"> </w:t>
      </w:r>
      <w:r w:rsidRPr="00B800C2">
        <w:t>Red shading indicates dents which would be repaired regardless of fatigue life in accordance with the UKOPA Dent Management Strategy</w:t>
      </w:r>
      <w:r>
        <w:t>.</w:t>
      </w:r>
    </w:p>
  </w:footnote>
  <w:footnote w:id="3">
    <w:p w14:paraId="2A079D71" w14:textId="77777777" w:rsidR="00A44974" w:rsidRDefault="00A44974" w:rsidP="00BD13D9">
      <w:pPr>
        <w:pStyle w:val="FootnoteText"/>
      </w:pPr>
      <w:r>
        <w:rPr>
          <w:rStyle w:val="FootnoteReference"/>
        </w:rPr>
        <w:footnoteRef/>
      </w:r>
      <w:r>
        <w:t xml:space="preserve"> </w:t>
      </w:r>
      <w:r w:rsidRPr="00B800C2">
        <w:t>Red shading indicates dents which would be repaired regardless of fatigue life in accordance with the UKOPA Dent Management Strategy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80531" w14:textId="77777777" w:rsidR="00A44974" w:rsidRDefault="00A44974" w:rsidP="008D636A">
    <w:pPr>
      <w:pStyle w:val="Header"/>
      <w:pBdr>
        <w:top w:val="none" w:sz="0" w:space="0" w:color="auto"/>
        <w:bottom w:val="none" w:sz="0" w:space="0" w:color="auto"/>
      </w:pBdr>
      <w:spacing w:after="0"/>
      <w:jc w:val="left"/>
    </w:pPr>
    <w:r>
      <w:rPr>
        <w:noProof/>
        <w:lang w:eastAsia="en-GB"/>
      </w:rPr>
      <mc:AlternateContent>
        <mc:Choice Requires="wps">
          <w:drawing>
            <wp:anchor distT="0" distB="0" distL="114300" distR="114300" simplePos="0" relativeHeight="251658240" behindDoc="0" locked="0" layoutInCell="1" allowOverlap="1" wp14:anchorId="42609BC1" wp14:editId="0F44103C">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E4B422" w14:textId="77777777" w:rsidR="00A44974" w:rsidRDefault="00A44974"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609BC1"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" fillcolor="#bebfc1 [1942]" stroked="f">
              <v:textbox>
                <w:txbxContent>
                  <w:p w14:paraId="46E4B422" w14:textId="77777777" w:rsidR="00A44974" w:rsidRDefault="00A44974" w:rsidP="006E4D29"/>
                </w:txbxContent>
              </v:textbox>
              <w10:wrap type="square"/>
            </v:shape>
          </w:pict>
        </mc:Fallback>
      </mc:AlternateContent>
    </w:r>
    <w:r>
      <w:rPr>
        <w:noProof/>
        <w:lang w:eastAsia="en-GB"/>
      </w:rPr>
      <w:drawing>
        <wp:inline distT="0" distB="0" distL="0" distR="0" wp14:anchorId="412F8E76" wp14:editId="58791557">
          <wp:extent cx="6647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3AEC2362" w14:textId="77777777" w:rsidR="00A44974" w:rsidRDefault="00A44974"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F3041" w14:textId="77777777" w:rsidR="00A44974" w:rsidRPr="00003254" w:rsidRDefault="00A44974"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0A82" w14:textId="666EACFE" w:rsidR="00A44974" w:rsidRPr="00301585" w:rsidRDefault="00A44974" w:rsidP="00301585">
    <w:pPr>
      <w:pStyle w:val="Header"/>
    </w:pPr>
    <w:r w:rsidRPr="00AF5EBD">
      <w:rPr>
        <w:noProof/>
        <w:lang w:eastAsia="en-GB"/>
      </w:rPr>
      <w:drawing>
        <wp:anchor distT="0" distB="0" distL="114300" distR="114300" simplePos="0" relativeHeight="251659776" behindDoc="0" locked="0" layoutInCell="1" allowOverlap="1" wp14:anchorId="5F7413CA" wp14:editId="03280A59">
          <wp:simplePos x="0" y="0"/>
          <wp:positionH relativeFrom="column">
            <wp:posOffset>0</wp:posOffset>
          </wp:positionH>
          <wp:positionV relativeFrom="line">
            <wp:posOffset>144145</wp:posOffset>
          </wp:positionV>
          <wp:extent cx="1371600" cy="28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45F8FBDC" w14:textId="06D5F708" w:rsidR="00A44974" w:rsidRPr="00301585" w:rsidRDefault="00F66A3B" w:rsidP="00301585">
    <w:pPr>
      <w:pStyle w:val="Header"/>
    </w:pPr>
    <w:fldSimple w:instr=" TITLE  \* MERGEFORMAT ">
      <w:r w:rsidR="00FB3C46">
        <w:t>Technical Briefing Note</w:t>
      </w:r>
    </w:fldSimple>
  </w:p>
  <w:p w14:paraId="7BE31091" w14:textId="1CC5C85D" w:rsidR="00A44974" w:rsidRPr="00301585" w:rsidRDefault="00F66A3B" w:rsidP="00003254">
    <w:pPr>
      <w:pStyle w:val="Header"/>
      <w:spacing w:after="0"/>
    </w:pPr>
    <w:fldSimple w:instr=" SUBJECT  \* MERGEFORMAT ">
      <w:r w:rsidR="00FB3C46">
        <w:t>Lower bound for required fatigue assessment of pipeline dents</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E4FA5" w14:textId="77777777" w:rsidR="00A44974" w:rsidRDefault="00A44974" w:rsidP="00406430">
    <w:pPr>
      <w:pStyle w:val="Header"/>
    </w:pPr>
  </w:p>
  <w:p w14:paraId="7A3252FE" w14:textId="77777777" w:rsidR="00A44974" w:rsidRDefault="00A44974" w:rsidP="00406430">
    <w:pPr>
      <w:pStyle w:val="Header"/>
    </w:pPr>
  </w:p>
  <w:p w14:paraId="77A6C33F" w14:textId="77777777" w:rsidR="00A44974" w:rsidRPr="00406430" w:rsidRDefault="00A44974" w:rsidP="0040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CE81" w14:textId="77777777" w:rsidR="00A44974" w:rsidRPr="00F44755" w:rsidRDefault="00A44974" w:rsidP="00406430">
    <w:pPr>
      <w:pStyle w:val="Header"/>
      <w:spacing w:line="480" w:lineRule="auto"/>
      <w:rPr>
        <w:color w:val="00243A"/>
      </w:rPr>
    </w:pPr>
    <w:r w:rsidRPr="00BF7AD5">
      <w:rPr>
        <w:noProof/>
        <w:color w:val="003656" w:themeColor="accent4" w:themeTint="E6"/>
        <w:lang w:eastAsia="en-GB"/>
      </w:rPr>
      <mc:AlternateContent>
        <mc:Choice Requires="wps">
          <w:drawing>
            <wp:anchor distT="0" distB="0" distL="114300" distR="114300" simplePos="0" relativeHeight="251668992" behindDoc="0" locked="0" layoutInCell="1" allowOverlap="1" wp14:anchorId="3221A344" wp14:editId="7960CD28">
              <wp:simplePos x="0" y="0"/>
              <wp:positionH relativeFrom="column">
                <wp:posOffset>-219946</wp:posOffset>
              </wp:positionH>
              <wp:positionV relativeFrom="paragraph">
                <wp:posOffset>102678</wp:posOffset>
              </wp:positionV>
              <wp:extent cx="1911928" cy="510363"/>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10363"/>
                      </a:xfrm>
                      <a:prstGeom prst="rect">
                        <a:avLst/>
                      </a:prstGeom>
                      <a:noFill/>
                      <a:ln w="9525">
                        <a:noFill/>
                        <a:miter lim="800000"/>
                        <a:headEnd/>
                        <a:tailEnd/>
                      </a:ln>
                    </wps:spPr>
                    <wps:txbx>
                      <w:txbxContent>
                        <w:p w14:paraId="20FA30F9" w14:textId="77777777" w:rsidR="00A44974" w:rsidRDefault="00A44974" w:rsidP="00F90A73">
                          <w:pPr>
                            <w:jc w:val="center"/>
                          </w:pPr>
                          <w:r>
                            <w:rPr>
                              <w:noProof/>
                              <w:lang w:eastAsia="en-GB"/>
                            </w:rPr>
                            <w:drawing>
                              <wp:inline distT="0" distB="0" distL="0" distR="0" wp14:anchorId="4747DA33" wp14:editId="2A8AB0E4">
                                <wp:extent cx="1416894" cy="324000"/>
                                <wp:effectExtent l="0" t="0" r="0" b="0"/>
                                <wp:docPr id="13" name="Picture 13"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1A344" id="_x0000_t202" coordsize="21600,21600" o:spt="202" path="m,l,21600r21600,l21600,xe">
              <v:stroke joinstyle="miter"/>
              <v:path gradientshapeok="t" o:connecttype="rect"/>
            </v:shapetype>
            <v:shape id="Text Box 2" o:spid="_x0000_s1028" type="#_x0000_t202" style="position:absolute;left:0;text-align:left;margin-left:-17.3pt;margin-top:8.1pt;width:150.55pt;height:40.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" filled="f" stroked="f">
              <v:textbox>
                <w:txbxContent>
                  <w:p w14:paraId="20FA30F9" w14:textId="77777777" w:rsidR="00A44974" w:rsidRDefault="00A44974" w:rsidP="00F90A73">
                    <w:pPr>
                      <w:jc w:val="center"/>
                    </w:pPr>
                    <w:r>
                      <w:rPr>
                        <w:noProof/>
                        <w:lang w:eastAsia="en-GB"/>
                      </w:rPr>
                      <w:drawing>
                        <wp:inline distT="0" distB="0" distL="0" distR="0" wp14:anchorId="4747DA33" wp14:editId="2A8AB0E4">
                          <wp:extent cx="1416894" cy="324000"/>
                          <wp:effectExtent l="0" t="0" r="0" b="0"/>
                          <wp:docPr id="13" name="Picture 13"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582066857"/>
        <w:placeholder>
          <w:docPart w:val="AC6E3F84874C413089D82DAEE416451A"/>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973564701"/>
      <w:placeholder>
        <w:docPart w:val="4B5B0B12C65841D696B3CC9485EB50B1"/>
      </w:placeholder>
      <w:dataBinding w:prefixMappings="xmlns:ns0='http://purl.org/dc/elements/1.1/' xmlns:ns1='http://schemas.openxmlformats.org/package/2006/metadata/core-properties' " w:xpath="/ns1:coreProperties[1]/ns0:subject[1]" w:storeItemID="{6C3C8BC8-F283-45AE-878A-BAB7291924A1}"/>
      <w:text/>
    </w:sdtPr>
    <w:sdtEndPr/>
    <w:sdtContent>
      <w:p w14:paraId="418CFAE3" w14:textId="3EF92EA0" w:rsidR="00A44974" w:rsidRPr="00F44755" w:rsidRDefault="003174A2" w:rsidP="00406430">
        <w:pPr>
          <w:pStyle w:val="Header"/>
          <w:spacing w:before="60" w:after="60"/>
          <w:rPr>
            <w:color w:val="00243A"/>
          </w:rPr>
        </w:pPr>
        <w:r>
          <w:rPr>
            <w:color w:val="00243A"/>
          </w:rPr>
          <w:t>Lower bound for required fatigue assessment of pipeline dents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9BCA43E4"/>
    <w:lvl w:ilvl="0">
      <w:numFmt w:val="decimal"/>
      <w:pStyle w:val="List-"/>
      <w:lvlText w:val="*"/>
      <w:lvlJc w:val="left"/>
    </w:lvl>
  </w:abstractNum>
  <w:abstractNum w:abstractNumId="10"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2"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14"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16" w15:restartNumberingAfterBreak="0">
    <w:nsid w:val="4ACF32B7"/>
    <w:multiLevelType w:val="hybridMultilevel"/>
    <w:tmpl w:val="9BA0E24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18" w15:restartNumberingAfterBreak="0">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num w:numId="1">
    <w:abstractNumId w:val="13"/>
  </w:num>
  <w:num w:numId="2">
    <w:abstractNumId w:val="6"/>
  </w:num>
  <w:num w:numId="3">
    <w:abstractNumId w:val="5"/>
  </w:num>
  <w:num w:numId="4">
    <w:abstractNumId w:val="4"/>
  </w:num>
  <w:num w:numId="5">
    <w:abstractNumId w:val="8"/>
  </w:num>
  <w:num w:numId="6">
    <w:abstractNumId w:val="15"/>
  </w:num>
  <w:num w:numId="7">
    <w:abstractNumId w:val="17"/>
  </w:num>
  <w:num w:numId="8">
    <w:abstractNumId w:val="11"/>
  </w:num>
  <w:num w:numId="9">
    <w:abstractNumId w:val="12"/>
  </w:num>
  <w:num w:numId="10">
    <w:abstractNumId w:val="10"/>
  </w:num>
  <w:num w:numId="11">
    <w:abstractNumId w:val="9"/>
  </w:num>
  <w:num w:numId="12">
    <w:abstractNumId w:val="14"/>
  </w:num>
  <w:num w:numId="13">
    <w:abstractNumId w:val="7"/>
  </w:num>
  <w:num w:numId="14">
    <w:abstractNumId w:val="3"/>
  </w:num>
  <w:num w:numId="15">
    <w:abstractNumId w:val="2"/>
  </w:num>
  <w:num w:numId="16">
    <w:abstractNumId w:val="1"/>
  </w:num>
  <w:num w:numId="17">
    <w:abstractNumId w:val="0"/>
  </w:num>
  <w:num w:numId="18">
    <w:abstractNumId w:val="18"/>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D2"/>
    <w:rsid w:val="00003254"/>
    <w:rsid w:val="00005A28"/>
    <w:rsid w:val="00012F42"/>
    <w:rsid w:val="00013BC1"/>
    <w:rsid w:val="00016331"/>
    <w:rsid w:val="00042D13"/>
    <w:rsid w:val="00045052"/>
    <w:rsid w:val="000455A3"/>
    <w:rsid w:val="00056389"/>
    <w:rsid w:val="000623F9"/>
    <w:rsid w:val="0006544B"/>
    <w:rsid w:val="000706FA"/>
    <w:rsid w:val="0007338D"/>
    <w:rsid w:val="00080B92"/>
    <w:rsid w:val="00083A92"/>
    <w:rsid w:val="00083AE2"/>
    <w:rsid w:val="0008619B"/>
    <w:rsid w:val="000901B6"/>
    <w:rsid w:val="00090732"/>
    <w:rsid w:val="000939C5"/>
    <w:rsid w:val="00095172"/>
    <w:rsid w:val="000A2272"/>
    <w:rsid w:val="000A786D"/>
    <w:rsid w:val="000C789E"/>
    <w:rsid w:val="000D5A97"/>
    <w:rsid w:val="000D7706"/>
    <w:rsid w:val="000D7982"/>
    <w:rsid w:val="000E7207"/>
    <w:rsid w:val="000F177D"/>
    <w:rsid w:val="000F6DB6"/>
    <w:rsid w:val="00101463"/>
    <w:rsid w:val="0011093D"/>
    <w:rsid w:val="0011195D"/>
    <w:rsid w:val="001135E9"/>
    <w:rsid w:val="001154CA"/>
    <w:rsid w:val="00115EB4"/>
    <w:rsid w:val="001167E6"/>
    <w:rsid w:val="00123B56"/>
    <w:rsid w:val="00125213"/>
    <w:rsid w:val="00134F1E"/>
    <w:rsid w:val="00135352"/>
    <w:rsid w:val="0016010F"/>
    <w:rsid w:val="0016400F"/>
    <w:rsid w:val="00165B44"/>
    <w:rsid w:val="00171716"/>
    <w:rsid w:val="00171B5C"/>
    <w:rsid w:val="00175244"/>
    <w:rsid w:val="00184727"/>
    <w:rsid w:val="001931EC"/>
    <w:rsid w:val="001965BC"/>
    <w:rsid w:val="0019743F"/>
    <w:rsid w:val="001A1EE3"/>
    <w:rsid w:val="001A79B1"/>
    <w:rsid w:val="001B1FDE"/>
    <w:rsid w:val="001B2C54"/>
    <w:rsid w:val="001B516A"/>
    <w:rsid w:val="001C5BE5"/>
    <w:rsid w:val="001C7D64"/>
    <w:rsid w:val="001C7D94"/>
    <w:rsid w:val="001D2D21"/>
    <w:rsid w:val="001E4D56"/>
    <w:rsid w:val="001F2169"/>
    <w:rsid w:val="001F5367"/>
    <w:rsid w:val="00200B84"/>
    <w:rsid w:val="00201C7E"/>
    <w:rsid w:val="00211BF8"/>
    <w:rsid w:val="002226B7"/>
    <w:rsid w:val="0022538E"/>
    <w:rsid w:val="00236F3B"/>
    <w:rsid w:val="0024038F"/>
    <w:rsid w:val="002507ED"/>
    <w:rsid w:val="00251D27"/>
    <w:rsid w:val="0025302B"/>
    <w:rsid w:val="00254767"/>
    <w:rsid w:val="00254B4E"/>
    <w:rsid w:val="00257378"/>
    <w:rsid w:val="00260144"/>
    <w:rsid w:val="002714DD"/>
    <w:rsid w:val="00273442"/>
    <w:rsid w:val="002823CB"/>
    <w:rsid w:val="00286156"/>
    <w:rsid w:val="00287085"/>
    <w:rsid w:val="00287657"/>
    <w:rsid w:val="0029456F"/>
    <w:rsid w:val="00295EE5"/>
    <w:rsid w:val="002A7991"/>
    <w:rsid w:val="002B1228"/>
    <w:rsid w:val="002B6494"/>
    <w:rsid w:val="002C2A2E"/>
    <w:rsid w:val="002C5005"/>
    <w:rsid w:val="002D4DA1"/>
    <w:rsid w:val="002D5C87"/>
    <w:rsid w:val="002E499F"/>
    <w:rsid w:val="002F1438"/>
    <w:rsid w:val="002F63B5"/>
    <w:rsid w:val="00301585"/>
    <w:rsid w:val="003043BB"/>
    <w:rsid w:val="00314C49"/>
    <w:rsid w:val="003174A2"/>
    <w:rsid w:val="00327726"/>
    <w:rsid w:val="00344DA1"/>
    <w:rsid w:val="00351101"/>
    <w:rsid w:val="00351B14"/>
    <w:rsid w:val="00357561"/>
    <w:rsid w:val="00357FD4"/>
    <w:rsid w:val="0036378D"/>
    <w:rsid w:val="003677E5"/>
    <w:rsid w:val="0037487B"/>
    <w:rsid w:val="00377F06"/>
    <w:rsid w:val="00380AE7"/>
    <w:rsid w:val="00380F45"/>
    <w:rsid w:val="0038301B"/>
    <w:rsid w:val="00383209"/>
    <w:rsid w:val="00393F74"/>
    <w:rsid w:val="00395B86"/>
    <w:rsid w:val="00395C81"/>
    <w:rsid w:val="003B1B03"/>
    <w:rsid w:val="003B5F97"/>
    <w:rsid w:val="003C1027"/>
    <w:rsid w:val="003C23AB"/>
    <w:rsid w:val="003C404F"/>
    <w:rsid w:val="003E4465"/>
    <w:rsid w:val="003E66DC"/>
    <w:rsid w:val="003E683C"/>
    <w:rsid w:val="003E779B"/>
    <w:rsid w:val="003F7240"/>
    <w:rsid w:val="00406430"/>
    <w:rsid w:val="00407073"/>
    <w:rsid w:val="00415524"/>
    <w:rsid w:val="004211FF"/>
    <w:rsid w:val="0042459A"/>
    <w:rsid w:val="004371DA"/>
    <w:rsid w:val="00444038"/>
    <w:rsid w:val="004519E1"/>
    <w:rsid w:val="004533EF"/>
    <w:rsid w:val="00453E30"/>
    <w:rsid w:val="00456033"/>
    <w:rsid w:val="00457131"/>
    <w:rsid w:val="004732C7"/>
    <w:rsid w:val="004931C5"/>
    <w:rsid w:val="004A60A9"/>
    <w:rsid w:val="004A64A9"/>
    <w:rsid w:val="004A6EB8"/>
    <w:rsid w:val="004B605E"/>
    <w:rsid w:val="004B6385"/>
    <w:rsid w:val="004E7ABA"/>
    <w:rsid w:val="004F082B"/>
    <w:rsid w:val="004F2E2B"/>
    <w:rsid w:val="004F3227"/>
    <w:rsid w:val="004F72A9"/>
    <w:rsid w:val="004F7772"/>
    <w:rsid w:val="0051098F"/>
    <w:rsid w:val="005163E3"/>
    <w:rsid w:val="00527EC5"/>
    <w:rsid w:val="00530B8F"/>
    <w:rsid w:val="0053133D"/>
    <w:rsid w:val="0053157C"/>
    <w:rsid w:val="00533EE5"/>
    <w:rsid w:val="0053513B"/>
    <w:rsid w:val="00543DD5"/>
    <w:rsid w:val="005501E8"/>
    <w:rsid w:val="00551E8A"/>
    <w:rsid w:val="005554E4"/>
    <w:rsid w:val="00557ADC"/>
    <w:rsid w:val="005715C4"/>
    <w:rsid w:val="00572AA3"/>
    <w:rsid w:val="0057501B"/>
    <w:rsid w:val="00580EBB"/>
    <w:rsid w:val="00582604"/>
    <w:rsid w:val="005855C5"/>
    <w:rsid w:val="00585919"/>
    <w:rsid w:val="00587B5E"/>
    <w:rsid w:val="00587F3E"/>
    <w:rsid w:val="00595741"/>
    <w:rsid w:val="005968BD"/>
    <w:rsid w:val="005A0526"/>
    <w:rsid w:val="005A3A4A"/>
    <w:rsid w:val="005A4BFB"/>
    <w:rsid w:val="005B20A5"/>
    <w:rsid w:val="005B237B"/>
    <w:rsid w:val="005B2DC4"/>
    <w:rsid w:val="005C33B3"/>
    <w:rsid w:val="005C6581"/>
    <w:rsid w:val="005D0567"/>
    <w:rsid w:val="00614830"/>
    <w:rsid w:val="006278C2"/>
    <w:rsid w:val="00631044"/>
    <w:rsid w:val="0063378F"/>
    <w:rsid w:val="00644A55"/>
    <w:rsid w:val="00656B98"/>
    <w:rsid w:val="006631F8"/>
    <w:rsid w:val="00670337"/>
    <w:rsid w:val="00670E91"/>
    <w:rsid w:val="00675D04"/>
    <w:rsid w:val="006800D4"/>
    <w:rsid w:val="006801E7"/>
    <w:rsid w:val="006932DD"/>
    <w:rsid w:val="00695C0F"/>
    <w:rsid w:val="006960C6"/>
    <w:rsid w:val="00697CDD"/>
    <w:rsid w:val="006B14CE"/>
    <w:rsid w:val="006B39B0"/>
    <w:rsid w:val="006B48B6"/>
    <w:rsid w:val="006B6893"/>
    <w:rsid w:val="006C1DBA"/>
    <w:rsid w:val="006D16A3"/>
    <w:rsid w:val="006D600D"/>
    <w:rsid w:val="006E3F6D"/>
    <w:rsid w:val="006E4D29"/>
    <w:rsid w:val="006E7843"/>
    <w:rsid w:val="006F4670"/>
    <w:rsid w:val="006F57F2"/>
    <w:rsid w:val="006F5ECE"/>
    <w:rsid w:val="006F646D"/>
    <w:rsid w:val="00710F52"/>
    <w:rsid w:val="007176D3"/>
    <w:rsid w:val="0072154B"/>
    <w:rsid w:val="007225E9"/>
    <w:rsid w:val="00726B86"/>
    <w:rsid w:val="00735FAB"/>
    <w:rsid w:val="00747B71"/>
    <w:rsid w:val="0075077E"/>
    <w:rsid w:val="00762530"/>
    <w:rsid w:val="00766BB2"/>
    <w:rsid w:val="00775BF5"/>
    <w:rsid w:val="007811FD"/>
    <w:rsid w:val="00786503"/>
    <w:rsid w:val="0079644B"/>
    <w:rsid w:val="00796ADA"/>
    <w:rsid w:val="007A0553"/>
    <w:rsid w:val="007A09E5"/>
    <w:rsid w:val="007A2A80"/>
    <w:rsid w:val="007A7484"/>
    <w:rsid w:val="007A77AB"/>
    <w:rsid w:val="007B2445"/>
    <w:rsid w:val="007B5E29"/>
    <w:rsid w:val="007D3B82"/>
    <w:rsid w:val="007D70C0"/>
    <w:rsid w:val="007D7FDC"/>
    <w:rsid w:val="007E2919"/>
    <w:rsid w:val="007E48BB"/>
    <w:rsid w:val="007E7A2A"/>
    <w:rsid w:val="007F411F"/>
    <w:rsid w:val="007F5B71"/>
    <w:rsid w:val="007F616F"/>
    <w:rsid w:val="007F7805"/>
    <w:rsid w:val="00801256"/>
    <w:rsid w:val="00805A9C"/>
    <w:rsid w:val="0085346E"/>
    <w:rsid w:val="0086794B"/>
    <w:rsid w:val="00871D24"/>
    <w:rsid w:val="0087630F"/>
    <w:rsid w:val="00877F14"/>
    <w:rsid w:val="008827F4"/>
    <w:rsid w:val="008905FE"/>
    <w:rsid w:val="00890CE1"/>
    <w:rsid w:val="008968A2"/>
    <w:rsid w:val="00896F41"/>
    <w:rsid w:val="008B5C01"/>
    <w:rsid w:val="008C3664"/>
    <w:rsid w:val="008C754A"/>
    <w:rsid w:val="008D3677"/>
    <w:rsid w:val="008D3939"/>
    <w:rsid w:val="008D5976"/>
    <w:rsid w:val="008D636A"/>
    <w:rsid w:val="008E0A48"/>
    <w:rsid w:val="008E1E57"/>
    <w:rsid w:val="008E35A0"/>
    <w:rsid w:val="008F1518"/>
    <w:rsid w:val="008F15D4"/>
    <w:rsid w:val="008F1C04"/>
    <w:rsid w:val="008F5EC0"/>
    <w:rsid w:val="00906037"/>
    <w:rsid w:val="00912757"/>
    <w:rsid w:val="00916BD5"/>
    <w:rsid w:val="00920FCB"/>
    <w:rsid w:val="009243BE"/>
    <w:rsid w:val="009265D2"/>
    <w:rsid w:val="00936F3F"/>
    <w:rsid w:val="00940677"/>
    <w:rsid w:val="0095301A"/>
    <w:rsid w:val="00953084"/>
    <w:rsid w:val="00955064"/>
    <w:rsid w:val="009579D2"/>
    <w:rsid w:val="00962B01"/>
    <w:rsid w:val="00986E97"/>
    <w:rsid w:val="0099409D"/>
    <w:rsid w:val="00997863"/>
    <w:rsid w:val="009A1362"/>
    <w:rsid w:val="009C20C9"/>
    <w:rsid w:val="009D1228"/>
    <w:rsid w:val="009E2B6A"/>
    <w:rsid w:val="009E4B4A"/>
    <w:rsid w:val="009F03C5"/>
    <w:rsid w:val="009F334C"/>
    <w:rsid w:val="009F5595"/>
    <w:rsid w:val="00A124E7"/>
    <w:rsid w:val="00A12FB9"/>
    <w:rsid w:val="00A141AC"/>
    <w:rsid w:val="00A44974"/>
    <w:rsid w:val="00A5444A"/>
    <w:rsid w:val="00A60F68"/>
    <w:rsid w:val="00A62914"/>
    <w:rsid w:val="00A657E9"/>
    <w:rsid w:val="00A77603"/>
    <w:rsid w:val="00A80B8A"/>
    <w:rsid w:val="00A8178F"/>
    <w:rsid w:val="00A86549"/>
    <w:rsid w:val="00A9085C"/>
    <w:rsid w:val="00A965D5"/>
    <w:rsid w:val="00A966EC"/>
    <w:rsid w:val="00AB5309"/>
    <w:rsid w:val="00AB76FB"/>
    <w:rsid w:val="00AC5F64"/>
    <w:rsid w:val="00AD7D64"/>
    <w:rsid w:val="00AE0271"/>
    <w:rsid w:val="00AE4647"/>
    <w:rsid w:val="00AE52B7"/>
    <w:rsid w:val="00B02BD5"/>
    <w:rsid w:val="00B050A3"/>
    <w:rsid w:val="00B07AE6"/>
    <w:rsid w:val="00B1368B"/>
    <w:rsid w:val="00B1594B"/>
    <w:rsid w:val="00B16B51"/>
    <w:rsid w:val="00B27C7C"/>
    <w:rsid w:val="00B33074"/>
    <w:rsid w:val="00B449B1"/>
    <w:rsid w:val="00B5138B"/>
    <w:rsid w:val="00B5681D"/>
    <w:rsid w:val="00B6155A"/>
    <w:rsid w:val="00B659AD"/>
    <w:rsid w:val="00B773CE"/>
    <w:rsid w:val="00B83529"/>
    <w:rsid w:val="00B85F91"/>
    <w:rsid w:val="00B8671B"/>
    <w:rsid w:val="00BB4AD1"/>
    <w:rsid w:val="00BB789E"/>
    <w:rsid w:val="00BC56F0"/>
    <w:rsid w:val="00BC68C3"/>
    <w:rsid w:val="00BC7C2C"/>
    <w:rsid w:val="00BD13D9"/>
    <w:rsid w:val="00BD48FB"/>
    <w:rsid w:val="00BE404E"/>
    <w:rsid w:val="00BF0263"/>
    <w:rsid w:val="00BF7AD5"/>
    <w:rsid w:val="00C002ED"/>
    <w:rsid w:val="00C074C2"/>
    <w:rsid w:val="00C134CE"/>
    <w:rsid w:val="00C2200A"/>
    <w:rsid w:val="00C27876"/>
    <w:rsid w:val="00C346D5"/>
    <w:rsid w:val="00C37EB2"/>
    <w:rsid w:val="00C437C3"/>
    <w:rsid w:val="00C47D26"/>
    <w:rsid w:val="00C47E1E"/>
    <w:rsid w:val="00C50627"/>
    <w:rsid w:val="00C554C1"/>
    <w:rsid w:val="00C6226A"/>
    <w:rsid w:val="00C67A85"/>
    <w:rsid w:val="00C80B32"/>
    <w:rsid w:val="00C86B3B"/>
    <w:rsid w:val="00C86CEE"/>
    <w:rsid w:val="00C871D9"/>
    <w:rsid w:val="00C92D8A"/>
    <w:rsid w:val="00C95193"/>
    <w:rsid w:val="00CA1463"/>
    <w:rsid w:val="00CA3CA8"/>
    <w:rsid w:val="00CB21BA"/>
    <w:rsid w:val="00CB45F2"/>
    <w:rsid w:val="00CB65CA"/>
    <w:rsid w:val="00CC731A"/>
    <w:rsid w:val="00CE1BFF"/>
    <w:rsid w:val="00CE6520"/>
    <w:rsid w:val="00CF1BF8"/>
    <w:rsid w:val="00CF6648"/>
    <w:rsid w:val="00D02DCD"/>
    <w:rsid w:val="00D10A7A"/>
    <w:rsid w:val="00D153CB"/>
    <w:rsid w:val="00D172A2"/>
    <w:rsid w:val="00D20C9A"/>
    <w:rsid w:val="00D24585"/>
    <w:rsid w:val="00D25AD6"/>
    <w:rsid w:val="00D2680D"/>
    <w:rsid w:val="00D27824"/>
    <w:rsid w:val="00D32D8A"/>
    <w:rsid w:val="00D3348B"/>
    <w:rsid w:val="00D34425"/>
    <w:rsid w:val="00D350B2"/>
    <w:rsid w:val="00D412B0"/>
    <w:rsid w:val="00D535C0"/>
    <w:rsid w:val="00D56ACC"/>
    <w:rsid w:val="00D62119"/>
    <w:rsid w:val="00D746BC"/>
    <w:rsid w:val="00D74B63"/>
    <w:rsid w:val="00D83662"/>
    <w:rsid w:val="00D90F87"/>
    <w:rsid w:val="00D93473"/>
    <w:rsid w:val="00DA2E16"/>
    <w:rsid w:val="00DA63B2"/>
    <w:rsid w:val="00DB3C2C"/>
    <w:rsid w:val="00DB6DE6"/>
    <w:rsid w:val="00DC3950"/>
    <w:rsid w:val="00DC3B1D"/>
    <w:rsid w:val="00DC794F"/>
    <w:rsid w:val="00DD0527"/>
    <w:rsid w:val="00DE0690"/>
    <w:rsid w:val="00DE3C15"/>
    <w:rsid w:val="00DF0E46"/>
    <w:rsid w:val="00DF1713"/>
    <w:rsid w:val="00DF25EE"/>
    <w:rsid w:val="00DF2D47"/>
    <w:rsid w:val="00DF386C"/>
    <w:rsid w:val="00DF609C"/>
    <w:rsid w:val="00E02900"/>
    <w:rsid w:val="00E02C71"/>
    <w:rsid w:val="00E16F06"/>
    <w:rsid w:val="00E21F63"/>
    <w:rsid w:val="00E236BE"/>
    <w:rsid w:val="00E26FCD"/>
    <w:rsid w:val="00E42823"/>
    <w:rsid w:val="00E4585D"/>
    <w:rsid w:val="00E5002F"/>
    <w:rsid w:val="00E51B70"/>
    <w:rsid w:val="00E524DA"/>
    <w:rsid w:val="00E62AFA"/>
    <w:rsid w:val="00E63201"/>
    <w:rsid w:val="00E64ADC"/>
    <w:rsid w:val="00E655BD"/>
    <w:rsid w:val="00E71A75"/>
    <w:rsid w:val="00E82827"/>
    <w:rsid w:val="00E90598"/>
    <w:rsid w:val="00E91334"/>
    <w:rsid w:val="00E962DF"/>
    <w:rsid w:val="00EA6867"/>
    <w:rsid w:val="00EA6C06"/>
    <w:rsid w:val="00EB20E6"/>
    <w:rsid w:val="00EB4097"/>
    <w:rsid w:val="00EB5572"/>
    <w:rsid w:val="00ED63E2"/>
    <w:rsid w:val="00EF6E37"/>
    <w:rsid w:val="00F02D0F"/>
    <w:rsid w:val="00F12BCC"/>
    <w:rsid w:val="00F138A1"/>
    <w:rsid w:val="00F156BD"/>
    <w:rsid w:val="00F21DB1"/>
    <w:rsid w:val="00F237D1"/>
    <w:rsid w:val="00F239AD"/>
    <w:rsid w:val="00F3285C"/>
    <w:rsid w:val="00F34CFE"/>
    <w:rsid w:val="00F368C2"/>
    <w:rsid w:val="00F37EA0"/>
    <w:rsid w:val="00F44755"/>
    <w:rsid w:val="00F4530F"/>
    <w:rsid w:val="00F4572D"/>
    <w:rsid w:val="00F50F72"/>
    <w:rsid w:val="00F539FF"/>
    <w:rsid w:val="00F54261"/>
    <w:rsid w:val="00F626BD"/>
    <w:rsid w:val="00F66A3B"/>
    <w:rsid w:val="00F70727"/>
    <w:rsid w:val="00F744CE"/>
    <w:rsid w:val="00F90A73"/>
    <w:rsid w:val="00F94B78"/>
    <w:rsid w:val="00F95985"/>
    <w:rsid w:val="00F97F6F"/>
    <w:rsid w:val="00FA28B2"/>
    <w:rsid w:val="00FA683B"/>
    <w:rsid w:val="00FB07F1"/>
    <w:rsid w:val="00FB324D"/>
    <w:rsid w:val="00FB3C46"/>
    <w:rsid w:val="00FB4D05"/>
    <w:rsid w:val="00FB698F"/>
    <w:rsid w:val="00FD30A4"/>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FD51EB"/>
  <w15:docId w15:val="{D101BD66-4926-4219-ABCF-F929F3CC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link w:val="Heading1Char"/>
    <w:uiPriority w:val="9"/>
    <w:qFormat/>
    <w:rsid w:val="00F44755"/>
    <w:pPr>
      <w:keepNext/>
      <w:keepLines/>
      <w:pageBreakBefore/>
      <w:numPr>
        <w:numId w:val="18"/>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link w:val="Heading2Char"/>
    <w:uiPriority w:val="9"/>
    <w:qFormat/>
    <w:rsid w:val="00F44755"/>
    <w:pPr>
      <w:keepNext/>
      <w:keepLines/>
      <w:numPr>
        <w:ilvl w:val="1"/>
        <w:numId w:val="18"/>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18"/>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18"/>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8"/>
      </w:numPr>
      <w:tabs>
        <w:tab w:val="left" w:pos="2268"/>
      </w:tabs>
      <w:spacing w:before="240"/>
      <w:outlineLvl w:val="4"/>
    </w:pPr>
  </w:style>
  <w:style w:type="paragraph" w:styleId="Heading6">
    <w:name w:val="heading 6"/>
    <w:basedOn w:val="Normal"/>
    <w:next w:val="Normal"/>
    <w:uiPriority w:val="2"/>
    <w:rsid w:val="009F5595"/>
    <w:pPr>
      <w:numPr>
        <w:ilvl w:val="5"/>
        <w:numId w:val="18"/>
      </w:numPr>
      <w:spacing w:before="240" w:after="60"/>
      <w:outlineLvl w:val="5"/>
    </w:pPr>
    <w:rPr>
      <w:i/>
      <w:sz w:val="22"/>
    </w:rPr>
  </w:style>
  <w:style w:type="paragraph" w:styleId="Heading7">
    <w:name w:val="heading 7"/>
    <w:basedOn w:val="Normal"/>
    <w:next w:val="Normal"/>
    <w:uiPriority w:val="2"/>
    <w:rsid w:val="009F5595"/>
    <w:pPr>
      <w:numPr>
        <w:ilvl w:val="6"/>
        <w:numId w:val="18"/>
      </w:numPr>
      <w:spacing w:before="240" w:after="60"/>
      <w:outlineLvl w:val="6"/>
    </w:pPr>
  </w:style>
  <w:style w:type="paragraph" w:styleId="Heading8">
    <w:name w:val="heading 8"/>
    <w:aliases w:val="E. 1 Heading 8"/>
    <w:basedOn w:val="Normal"/>
    <w:next w:val="Normal"/>
    <w:uiPriority w:val="2"/>
    <w:rsid w:val="009F5595"/>
    <w:pPr>
      <w:numPr>
        <w:ilvl w:val="7"/>
        <w:numId w:val="18"/>
      </w:numPr>
      <w:spacing w:before="240" w:after="60"/>
      <w:outlineLvl w:val="7"/>
    </w:pPr>
    <w:rPr>
      <w:i/>
    </w:rPr>
  </w:style>
  <w:style w:type="paragraph" w:styleId="Heading9">
    <w:name w:val="heading 9"/>
    <w:basedOn w:val="Normal"/>
    <w:next w:val="Normal"/>
    <w:uiPriority w:val="2"/>
    <w:rsid w:val="009F5595"/>
    <w:pPr>
      <w:numPr>
        <w:ilvl w:val="8"/>
        <w:numId w:val="18"/>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link w:val="HeaderChar"/>
    <w:uiPriority w:val="99"/>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39"/>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35"/>
    <w:qFormat/>
    <w:rsid w:val="00F44755"/>
    <w:pPr>
      <w:keepLines/>
      <w:spacing w:before="120" w:after="360"/>
      <w:ind w:left="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99"/>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link w:val="FootnoteTextChar"/>
    <w:uiPriority w:val="99"/>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99"/>
    <w:rsid w:val="004A64A9"/>
    <w:rPr>
      <w:rFonts w:ascii="Tahoma" w:hAnsi="Tahoma" w:cs="Tahoma"/>
      <w:sz w:val="16"/>
      <w:szCs w:val="16"/>
    </w:rPr>
  </w:style>
  <w:style w:type="character" w:customStyle="1" w:styleId="BalloonTextChar">
    <w:name w:val="Balloon Text Char"/>
    <w:basedOn w:val="DefaultParagraphFont"/>
    <w:link w:val="BalloonText"/>
    <w:uiPriority w:val="99"/>
    <w:rsid w:val="007225E9"/>
    <w:rPr>
      <w:rFonts w:ascii="Tahoma" w:hAnsi="Tahoma" w:cs="Tahoma"/>
      <w:sz w:val="16"/>
      <w:szCs w:val="16"/>
      <w:lang w:eastAsia="en-US"/>
    </w:rPr>
  </w:style>
  <w:style w:type="table" w:styleId="TableGrid">
    <w:name w:val="Table Grid"/>
    <w:basedOn w:val="TableNormal"/>
    <w:uiPriority w:val="39"/>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1"/>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99"/>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99"/>
    <w:semiHidden/>
    <w:unhideWhenUsed/>
    <w:rsid w:val="00D83662"/>
    <w:rPr>
      <w:sz w:val="18"/>
      <w:szCs w:val="18"/>
    </w:rPr>
  </w:style>
  <w:style w:type="paragraph" w:styleId="CommentSubject">
    <w:name w:val="annotation subject"/>
    <w:basedOn w:val="CommentText"/>
    <w:next w:val="CommentText"/>
    <w:link w:val="CommentSubjectChar"/>
    <w:uiPriority w:val="99"/>
    <w:semiHidden/>
    <w:unhideWhenUsed/>
    <w:rsid w:val="00D83662"/>
    <w:rPr>
      <w:b/>
      <w:bCs/>
    </w:rPr>
  </w:style>
  <w:style w:type="character" w:customStyle="1" w:styleId="CommentSubjectChar">
    <w:name w:val="Comment Subject Char"/>
    <w:basedOn w:val="CommentTextChar"/>
    <w:link w:val="CommentSubject"/>
    <w:uiPriority w:val="99"/>
    <w:semiHidden/>
    <w:rsid w:val="00D83662"/>
    <w:rPr>
      <w:rFonts w:asciiTheme="minorHAnsi" w:hAnsiTheme="minorHAnsi"/>
      <w:b/>
      <w:bCs/>
      <w:lang w:eastAsia="en-US"/>
    </w:rPr>
  </w:style>
  <w:style w:type="character" w:customStyle="1" w:styleId="HeaderChar">
    <w:name w:val="Header Char"/>
    <w:basedOn w:val="DefaultParagraphFont"/>
    <w:link w:val="Header"/>
    <w:uiPriority w:val="99"/>
    <w:rsid w:val="00BD13D9"/>
    <w:rPr>
      <w:rFonts w:asciiTheme="minorHAnsi" w:hAnsiTheme="minorHAnsi"/>
      <w:color w:val="004553" w:themeColor="text2"/>
      <w:lang w:eastAsia="en-US"/>
    </w:rPr>
  </w:style>
  <w:style w:type="character" w:customStyle="1" w:styleId="FootnoteTextChar">
    <w:name w:val="Footnote Text Char"/>
    <w:basedOn w:val="DefaultParagraphFont"/>
    <w:link w:val="FootnoteText"/>
    <w:uiPriority w:val="99"/>
    <w:semiHidden/>
    <w:rsid w:val="00BD13D9"/>
    <w:rPr>
      <w:rFonts w:asciiTheme="minorHAnsi" w:hAnsiTheme="minorHAnsi"/>
      <w:lang w:eastAsia="en-US"/>
    </w:rPr>
  </w:style>
  <w:style w:type="character" w:customStyle="1" w:styleId="Heading1Char">
    <w:name w:val="Heading 1 Char"/>
    <w:basedOn w:val="DefaultParagraphFont"/>
    <w:link w:val="Heading1"/>
    <w:uiPriority w:val="9"/>
    <w:rsid w:val="00BD13D9"/>
    <w:rPr>
      <w:rFonts w:asciiTheme="majorHAnsi" w:hAnsiTheme="majorHAnsi"/>
      <w:b/>
      <w:caps/>
      <w:noProof/>
      <w:color w:val="00243A"/>
      <w:kern w:val="28"/>
      <w:sz w:val="24"/>
      <w:lang w:eastAsia="en-US"/>
    </w:rPr>
  </w:style>
  <w:style w:type="paragraph" w:styleId="ListParagraph">
    <w:name w:val="List Paragraph"/>
    <w:basedOn w:val="Normal"/>
    <w:uiPriority w:val="34"/>
    <w:qFormat/>
    <w:rsid w:val="00BD13D9"/>
    <w:pPr>
      <w:suppressAutoHyphens w:val="0"/>
      <w:spacing w:after="160" w:line="259" w:lineRule="auto"/>
      <w:ind w:left="720"/>
      <w:contextualSpacing/>
    </w:pPr>
    <w:rPr>
      <w:rFonts w:eastAsiaTheme="minorHAnsi" w:cstheme="minorBidi"/>
      <w:sz w:val="22"/>
      <w:szCs w:val="22"/>
    </w:rPr>
  </w:style>
  <w:style w:type="character" w:customStyle="1" w:styleId="Heading2Char">
    <w:name w:val="Heading 2 Char"/>
    <w:basedOn w:val="DefaultParagraphFont"/>
    <w:link w:val="Heading2"/>
    <w:uiPriority w:val="9"/>
    <w:rsid w:val="00BD13D9"/>
    <w:rPr>
      <w:rFonts w:asciiTheme="majorHAnsi" w:hAnsiTheme="majorHAnsi"/>
      <w:b/>
      <w:color w:val="00243A"/>
      <w:lang w:eastAsia="en-US"/>
    </w:rPr>
  </w:style>
  <w:style w:type="character" w:customStyle="1" w:styleId="BodyTextChar">
    <w:name w:val="Body Text Char"/>
    <w:basedOn w:val="DefaultParagraphFont"/>
    <w:link w:val="BodyText"/>
    <w:uiPriority w:val="99"/>
    <w:rsid w:val="00BD13D9"/>
    <w:rPr>
      <w:rFonts w:asciiTheme="minorHAnsi" w:hAnsiTheme="minorHAnsi"/>
      <w:lang w:eastAsia="en-US"/>
    </w:rPr>
  </w:style>
  <w:style w:type="paragraph" w:customStyle="1" w:styleId="Default">
    <w:name w:val="Default"/>
    <w:rsid w:val="00BD13D9"/>
    <w:pPr>
      <w:autoSpaceDE w:val="0"/>
      <w:autoSpaceDN w:val="0"/>
      <w:adjustRightInd w:val="0"/>
    </w:pPr>
    <w:rPr>
      <w:rFonts w:ascii="Arial" w:eastAsiaTheme="minorHAnsi" w:hAnsi="Arial" w:cs="Arial"/>
      <w:color w:val="000000"/>
      <w:sz w:val="24"/>
      <w:szCs w:val="24"/>
      <w:lang w:eastAsia="en-US"/>
    </w:rPr>
  </w:style>
  <w:style w:type="paragraph" w:styleId="TOCHeading">
    <w:name w:val="TOC Heading"/>
    <w:basedOn w:val="Heading1"/>
    <w:next w:val="Normal"/>
    <w:uiPriority w:val="39"/>
    <w:unhideWhenUsed/>
    <w:qFormat/>
    <w:rsid w:val="00BD13D9"/>
    <w:pPr>
      <w:pageBreakBefore w:val="0"/>
      <w:numPr>
        <w:numId w:val="0"/>
      </w:numPr>
      <w:tabs>
        <w:tab w:val="clear" w:pos="851"/>
      </w:tabs>
      <w:suppressAutoHyphens w:val="0"/>
      <w:spacing w:before="240" w:after="0" w:line="259" w:lineRule="auto"/>
      <w:outlineLvl w:val="9"/>
    </w:pPr>
    <w:rPr>
      <w:rFonts w:eastAsiaTheme="majorEastAsia" w:cstheme="majorBidi"/>
      <w:b w:val="0"/>
      <w:caps w:val="0"/>
      <w:noProof w:val="0"/>
      <w:color w:val="00333E" w:themeColor="accent1" w:themeShade="BF"/>
      <w:kern w:val="0"/>
      <w:sz w:val="32"/>
      <w:szCs w:val="32"/>
      <w:lang w:val="en-US"/>
    </w:rPr>
  </w:style>
  <w:style w:type="table" w:customStyle="1" w:styleId="TableGrid1">
    <w:name w:val="Table Grid1"/>
    <w:basedOn w:val="TableNormal"/>
    <w:next w:val="TableGrid"/>
    <w:uiPriority w:val="39"/>
    <w:rsid w:val="00BD1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B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3721">
      <w:bodyDiv w:val="1"/>
      <w:marLeft w:val="0"/>
      <w:marRight w:val="0"/>
      <w:marTop w:val="0"/>
      <w:marBottom w:val="0"/>
      <w:divBdr>
        <w:top w:val="none" w:sz="0" w:space="0" w:color="auto"/>
        <w:left w:val="none" w:sz="0" w:space="0" w:color="auto"/>
        <w:bottom w:val="none" w:sz="0" w:space="0" w:color="auto"/>
        <w:right w:val="none" w:sz="0" w:space="0" w:color="auto"/>
      </w:divBdr>
    </w:div>
    <w:div w:id="55397519">
      <w:bodyDiv w:val="1"/>
      <w:marLeft w:val="0"/>
      <w:marRight w:val="0"/>
      <w:marTop w:val="0"/>
      <w:marBottom w:val="0"/>
      <w:divBdr>
        <w:top w:val="none" w:sz="0" w:space="0" w:color="auto"/>
        <w:left w:val="none" w:sz="0" w:space="0" w:color="auto"/>
        <w:bottom w:val="none" w:sz="0" w:space="0" w:color="auto"/>
        <w:right w:val="none" w:sz="0" w:space="0" w:color="auto"/>
      </w:divBdr>
    </w:div>
    <w:div w:id="215630861">
      <w:bodyDiv w:val="1"/>
      <w:marLeft w:val="0"/>
      <w:marRight w:val="0"/>
      <w:marTop w:val="0"/>
      <w:marBottom w:val="0"/>
      <w:divBdr>
        <w:top w:val="none" w:sz="0" w:space="0" w:color="auto"/>
        <w:left w:val="none" w:sz="0" w:space="0" w:color="auto"/>
        <w:bottom w:val="none" w:sz="0" w:space="0" w:color="auto"/>
        <w:right w:val="none" w:sz="0" w:space="0" w:color="auto"/>
      </w:divBdr>
    </w:div>
    <w:div w:id="349576041">
      <w:bodyDiv w:val="1"/>
      <w:marLeft w:val="0"/>
      <w:marRight w:val="0"/>
      <w:marTop w:val="0"/>
      <w:marBottom w:val="0"/>
      <w:divBdr>
        <w:top w:val="none" w:sz="0" w:space="0" w:color="auto"/>
        <w:left w:val="none" w:sz="0" w:space="0" w:color="auto"/>
        <w:bottom w:val="none" w:sz="0" w:space="0" w:color="auto"/>
        <w:right w:val="none" w:sz="0" w:space="0" w:color="auto"/>
      </w:divBdr>
    </w:div>
    <w:div w:id="362681304">
      <w:bodyDiv w:val="1"/>
      <w:marLeft w:val="0"/>
      <w:marRight w:val="0"/>
      <w:marTop w:val="0"/>
      <w:marBottom w:val="0"/>
      <w:divBdr>
        <w:top w:val="none" w:sz="0" w:space="0" w:color="auto"/>
        <w:left w:val="none" w:sz="0" w:space="0" w:color="auto"/>
        <w:bottom w:val="none" w:sz="0" w:space="0" w:color="auto"/>
        <w:right w:val="none" w:sz="0" w:space="0" w:color="auto"/>
      </w:divBdr>
    </w:div>
    <w:div w:id="364137915">
      <w:bodyDiv w:val="1"/>
      <w:marLeft w:val="0"/>
      <w:marRight w:val="0"/>
      <w:marTop w:val="0"/>
      <w:marBottom w:val="0"/>
      <w:divBdr>
        <w:top w:val="none" w:sz="0" w:space="0" w:color="auto"/>
        <w:left w:val="none" w:sz="0" w:space="0" w:color="auto"/>
        <w:bottom w:val="none" w:sz="0" w:space="0" w:color="auto"/>
        <w:right w:val="none" w:sz="0" w:space="0" w:color="auto"/>
      </w:divBdr>
    </w:div>
    <w:div w:id="393700143">
      <w:bodyDiv w:val="1"/>
      <w:marLeft w:val="0"/>
      <w:marRight w:val="0"/>
      <w:marTop w:val="0"/>
      <w:marBottom w:val="0"/>
      <w:divBdr>
        <w:top w:val="none" w:sz="0" w:space="0" w:color="auto"/>
        <w:left w:val="none" w:sz="0" w:space="0" w:color="auto"/>
        <w:bottom w:val="none" w:sz="0" w:space="0" w:color="auto"/>
        <w:right w:val="none" w:sz="0" w:space="0" w:color="auto"/>
      </w:divBdr>
    </w:div>
    <w:div w:id="399257077">
      <w:bodyDiv w:val="1"/>
      <w:marLeft w:val="0"/>
      <w:marRight w:val="0"/>
      <w:marTop w:val="0"/>
      <w:marBottom w:val="0"/>
      <w:divBdr>
        <w:top w:val="none" w:sz="0" w:space="0" w:color="auto"/>
        <w:left w:val="none" w:sz="0" w:space="0" w:color="auto"/>
        <w:bottom w:val="none" w:sz="0" w:space="0" w:color="auto"/>
        <w:right w:val="none" w:sz="0" w:space="0" w:color="auto"/>
      </w:divBdr>
    </w:div>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20912">
      <w:bodyDiv w:val="1"/>
      <w:marLeft w:val="0"/>
      <w:marRight w:val="0"/>
      <w:marTop w:val="0"/>
      <w:marBottom w:val="0"/>
      <w:divBdr>
        <w:top w:val="none" w:sz="0" w:space="0" w:color="auto"/>
        <w:left w:val="none" w:sz="0" w:space="0" w:color="auto"/>
        <w:bottom w:val="none" w:sz="0" w:space="0" w:color="auto"/>
        <w:right w:val="none" w:sz="0" w:space="0" w:color="auto"/>
      </w:divBdr>
    </w:div>
    <w:div w:id="614871794">
      <w:bodyDiv w:val="1"/>
      <w:marLeft w:val="0"/>
      <w:marRight w:val="0"/>
      <w:marTop w:val="0"/>
      <w:marBottom w:val="0"/>
      <w:divBdr>
        <w:top w:val="none" w:sz="0" w:space="0" w:color="auto"/>
        <w:left w:val="none" w:sz="0" w:space="0" w:color="auto"/>
        <w:bottom w:val="none" w:sz="0" w:space="0" w:color="auto"/>
        <w:right w:val="none" w:sz="0" w:space="0" w:color="auto"/>
      </w:divBdr>
    </w:div>
    <w:div w:id="625745142">
      <w:bodyDiv w:val="1"/>
      <w:marLeft w:val="0"/>
      <w:marRight w:val="0"/>
      <w:marTop w:val="0"/>
      <w:marBottom w:val="0"/>
      <w:divBdr>
        <w:top w:val="none" w:sz="0" w:space="0" w:color="auto"/>
        <w:left w:val="none" w:sz="0" w:space="0" w:color="auto"/>
        <w:bottom w:val="none" w:sz="0" w:space="0" w:color="auto"/>
        <w:right w:val="none" w:sz="0" w:space="0" w:color="auto"/>
      </w:divBdr>
    </w:div>
    <w:div w:id="627971647">
      <w:bodyDiv w:val="1"/>
      <w:marLeft w:val="0"/>
      <w:marRight w:val="0"/>
      <w:marTop w:val="0"/>
      <w:marBottom w:val="0"/>
      <w:divBdr>
        <w:top w:val="none" w:sz="0" w:space="0" w:color="auto"/>
        <w:left w:val="none" w:sz="0" w:space="0" w:color="auto"/>
        <w:bottom w:val="none" w:sz="0" w:space="0" w:color="auto"/>
        <w:right w:val="none" w:sz="0" w:space="0" w:color="auto"/>
      </w:divBdr>
    </w:div>
    <w:div w:id="630282723">
      <w:bodyDiv w:val="1"/>
      <w:marLeft w:val="0"/>
      <w:marRight w:val="0"/>
      <w:marTop w:val="0"/>
      <w:marBottom w:val="0"/>
      <w:divBdr>
        <w:top w:val="none" w:sz="0" w:space="0" w:color="auto"/>
        <w:left w:val="none" w:sz="0" w:space="0" w:color="auto"/>
        <w:bottom w:val="none" w:sz="0" w:space="0" w:color="auto"/>
        <w:right w:val="none" w:sz="0" w:space="0" w:color="auto"/>
      </w:divBdr>
    </w:div>
    <w:div w:id="632105188">
      <w:bodyDiv w:val="1"/>
      <w:marLeft w:val="0"/>
      <w:marRight w:val="0"/>
      <w:marTop w:val="0"/>
      <w:marBottom w:val="0"/>
      <w:divBdr>
        <w:top w:val="none" w:sz="0" w:space="0" w:color="auto"/>
        <w:left w:val="none" w:sz="0" w:space="0" w:color="auto"/>
        <w:bottom w:val="none" w:sz="0" w:space="0" w:color="auto"/>
        <w:right w:val="none" w:sz="0" w:space="0" w:color="auto"/>
      </w:divBdr>
    </w:div>
    <w:div w:id="667907085">
      <w:bodyDiv w:val="1"/>
      <w:marLeft w:val="0"/>
      <w:marRight w:val="0"/>
      <w:marTop w:val="0"/>
      <w:marBottom w:val="0"/>
      <w:divBdr>
        <w:top w:val="none" w:sz="0" w:space="0" w:color="auto"/>
        <w:left w:val="none" w:sz="0" w:space="0" w:color="auto"/>
        <w:bottom w:val="none" w:sz="0" w:space="0" w:color="auto"/>
        <w:right w:val="none" w:sz="0" w:space="0" w:color="auto"/>
      </w:divBdr>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682246645">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813985445">
      <w:bodyDiv w:val="1"/>
      <w:marLeft w:val="0"/>
      <w:marRight w:val="0"/>
      <w:marTop w:val="0"/>
      <w:marBottom w:val="0"/>
      <w:divBdr>
        <w:top w:val="none" w:sz="0" w:space="0" w:color="auto"/>
        <w:left w:val="none" w:sz="0" w:space="0" w:color="auto"/>
        <w:bottom w:val="none" w:sz="0" w:space="0" w:color="auto"/>
        <w:right w:val="none" w:sz="0" w:space="0" w:color="auto"/>
      </w:divBdr>
    </w:div>
    <w:div w:id="893273085">
      <w:bodyDiv w:val="1"/>
      <w:marLeft w:val="0"/>
      <w:marRight w:val="0"/>
      <w:marTop w:val="0"/>
      <w:marBottom w:val="0"/>
      <w:divBdr>
        <w:top w:val="none" w:sz="0" w:space="0" w:color="auto"/>
        <w:left w:val="none" w:sz="0" w:space="0" w:color="auto"/>
        <w:bottom w:val="none" w:sz="0" w:space="0" w:color="auto"/>
        <w:right w:val="none" w:sz="0" w:space="0" w:color="auto"/>
      </w:divBdr>
    </w:div>
    <w:div w:id="935862238">
      <w:bodyDiv w:val="1"/>
      <w:marLeft w:val="0"/>
      <w:marRight w:val="0"/>
      <w:marTop w:val="0"/>
      <w:marBottom w:val="0"/>
      <w:divBdr>
        <w:top w:val="none" w:sz="0" w:space="0" w:color="auto"/>
        <w:left w:val="none" w:sz="0" w:space="0" w:color="auto"/>
        <w:bottom w:val="none" w:sz="0" w:space="0" w:color="auto"/>
        <w:right w:val="none" w:sz="0" w:space="0" w:color="auto"/>
      </w:divBdr>
    </w:div>
    <w:div w:id="940573815">
      <w:bodyDiv w:val="1"/>
      <w:marLeft w:val="0"/>
      <w:marRight w:val="0"/>
      <w:marTop w:val="0"/>
      <w:marBottom w:val="0"/>
      <w:divBdr>
        <w:top w:val="none" w:sz="0" w:space="0" w:color="auto"/>
        <w:left w:val="none" w:sz="0" w:space="0" w:color="auto"/>
        <w:bottom w:val="none" w:sz="0" w:space="0" w:color="auto"/>
        <w:right w:val="none" w:sz="0" w:space="0" w:color="auto"/>
      </w:divBdr>
    </w:div>
    <w:div w:id="994533654">
      <w:bodyDiv w:val="1"/>
      <w:marLeft w:val="0"/>
      <w:marRight w:val="0"/>
      <w:marTop w:val="0"/>
      <w:marBottom w:val="0"/>
      <w:divBdr>
        <w:top w:val="none" w:sz="0" w:space="0" w:color="auto"/>
        <w:left w:val="none" w:sz="0" w:space="0" w:color="auto"/>
        <w:bottom w:val="none" w:sz="0" w:space="0" w:color="auto"/>
        <w:right w:val="none" w:sz="0" w:space="0" w:color="auto"/>
      </w:divBdr>
    </w:div>
    <w:div w:id="995762547">
      <w:bodyDiv w:val="1"/>
      <w:marLeft w:val="0"/>
      <w:marRight w:val="0"/>
      <w:marTop w:val="0"/>
      <w:marBottom w:val="0"/>
      <w:divBdr>
        <w:top w:val="none" w:sz="0" w:space="0" w:color="auto"/>
        <w:left w:val="none" w:sz="0" w:space="0" w:color="auto"/>
        <w:bottom w:val="none" w:sz="0" w:space="0" w:color="auto"/>
        <w:right w:val="none" w:sz="0" w:space="0" w:color="auto"/>
      </w:divBdr>
    </w:div>
    <w:div w:id="1010987936">
      <w:bodyDiv w:val="1"/>
      <w:marLeft w:val="0"/>
      <w:marRight w:val="0"/>
      <w:marTop w:val="0"/>
      <w:marBottom w:val="0"/>
      <w:divBdr>
        <w:top w:val="none" w:sz="0" w:space="0" w:color="auto"/>
        <w:left w:val="none" w:sz="0" w:space="0" w:color="auto"/>
        <w:bottom w:val="none" w:sz="0" w:space="0" w:color="auto"/>
        <w:right w:val="none" w:sz="0" w:space="0" w:color="auto"/>
      </w:divBdr>
    </w:div>
    <w:div w:id="1155412546">
      <w:bodyDiv w:val="1"/>
      <w:marLeft w:val="0"/>
      <w:marRight w:val="0"/>
      <w:marTop w:val="0"/>
      <w:marBottom w:val="0"/>
      <w:divBdr>
        <w:top w:val="none" w:sz="0" w:space="0" w:color="auto"/>
        <w:left w:val="none" w:sz="0" w:space="0" w:color="auto"/>
        <w:bottom w:val="none" w:sz="0" w:space="0" w:color="auto"/>
        <w:right w:val="none" w:sz="0" w:space="0" w:color="auto"/>
      </w:divBdr>
    </w:div>
    <w:div w:id="1196041855">
      <w:bodyDiv w:val="1"/>
      <w:marLeft w:val="0"/>
      <w:marRight w:val="0"/>
      <w:marTop w:val="0"/>
      <w:marBottom w:val="0"/>
      <w:divBdr>
        <w:top w:val="none" w:sz="0" w:space="0" w:color="auto"/>
        <w:left w:val="none" w:sz="0" w:space="0" w:color="auto"/>
        <w:bottom w:val="none" w:sz="0" w:space="0" w:color="auto"/>
        <w:right w:val="none" w:sz="0" w:space="0" w:color="auto"/>
      </w:divBdr>
    </w:div>
    <w:div w:id="1286276147">
      <w:bodyDiv w:val="1"/>
      <w:marLeft w:val="0"/>
      <w:marRight w:val="0"/>
      <w:marTop w:val="0"/>
      <w:marBottom w:val="0"/>
      <w:divBdr>
        <w:top w:val="none" w:sz="0" w:space="0" w:color="auto"/>
        <w:left w:val="none" w:sz="0" w:space="0" w:color="auto"/>
        <w:bottom w:val="none" w:sz="0" w:space="0" w:color="auto"/>
        <w:right w:val="none" w:sz="0" w:space="0" w:color="auto"/>
      </w:divBdr>
    </w:div>
    <w:div w:id="1308127028">
      <w:bodyDiv w:val="1"/>
      <w:marLeft w:val="0"/>
      <w:marRight w:val="0"/>
      <w:marTop w:val="0"/>
      <w:marBottom w:val="0"/>
      <w:divBdr>
        <w:top w:val="none" w:sz="0" w:space="0" w:color="auto"/>
        <w:left w:val="none" w:sz="0" w:space="0" w:color="auto"/>
        <w:bottom w:val="none" w:sz="0" w:space="0" w:color="auto"/>
        <w:right w:val="none" w:sz="0" w:space="0" w:color="auto"/>
      </w:divBdr>
    </w:div>
    <w:div w:id="1383021318">
      <w:bodyDiv w:val="1"/>
      <w:marLeft w:val="0"/>
      <w:marRight w:val="0"/>
      <w:marTop w:val="0"/>
      <w:marBottom w:val="0"/>
      <w:divBdr>
        <w:top w:val="none" w:sz="0" w:space="0" w:color="auto"/>
        <w:left w:val="none" w:sz="0" w:space="0" w:color="auto"/>
        <w:bottom w:val="none" w:sz="0" w:space="0" w:color="auto"/>
        <w:right w:val="none" w:sz="0" w:space="0" w:color="auto"/>
      </w:divBdr>
    </w:div>
    <w:div w:id="1458721220">
      <w:bodyDiv w:val="1"/>
      <w:marLeft w:val="0"/>
      <w:marRight w:val="0"/>
      <w:marTop w:val="0"/>
      <w:marBottom w:val="0"/>
      <w:divBdr>
        <w:top w:val="none" w:sz="0" w:space="0" w:color="auto"/>
        <w:left w:val="none" w:sz="0" w:space="0" w:color="auto"/>
        <w:bottom w:val="none" w:sz="0" w:space="0" w:color="auto"/>
        <w:right w:val="none" w:sz="0" w:space="0" w:color="auto"/>
      </w:divBdr>
    </w:div>
    <w:div w:id="1476024585">
      <w:bodyDiv w:val="1"/>
      <w:marLeft w:val="0"/>
      <w:marRight w:val="0"/>
      <w:marTop w:val="0"/>
      <w:marBottom w:val="0"/>
      <w:divBdr>
        <w:top w:val="none" w:sz="0" w:space="0" w:color="auto"/>
        <w:left w:val="none" w:sz="0" w:space="0" w:color="auto"/>
        <w:bottom w:val="none" w:sz="0" w:space="0" w:color="auto"/>
        <w:right w:val="none" w:sz="0" w:space="0" w:color="auto"/>
      </w:divBdr>
    </w:div>
    <w:div w:id="1506364161">
      <w:bodyDiv w:val="1"/>
      <w:marLeft w:val="0"/>
      <w:marRight w:val="0"/>
      <w:marTop w:val="0"/>
      <w:marBottom w:val="0"/>
      <w:divBdr>
        <w:top w:val="none" w:sz="0" w:space="0" w:color="auto"/>
        <w:left w:val="none" w:sz="0" w:space="0" w:color="auto"/>
        <w:bottom w:val="none" w:sz="0" w:space="0" w:color="auto"/>
        <w:right w:val="none" w:sz="0" w:space="0" w:color="auto"/>
      </w:divBdr>
    </w:div>
    <w:div w:id="1512338192">
      <w:bodyDiv w:val="1"/>
      <w:marLeft w:val="0"/>
      <w:marRight w:val="0"/>
      <w:marTop w:val="0"/>
      <w:marBottom w:val="0"/>
      <w:divBdr>
        <w:top w:val="none" w:sz="0" w:space="0" w:color="auto"/>
        <w:left w:val="none" w:sz="0" w:space="0" w:color="auto"/>
        <w:bottom w:val="none" w:sz="0" w:space="0" w:color="auto"/>
        <w:right w:val="none" w:sz="0" w:space="0" w:color="auto"/>
      </w:divBdr>
    </w:div>
    <w:div w:id="1675181665">
      <w:bodyDiv w:val="1"/>
      <w:marLeft w:val="0"/>
      <w:marRight w:val="0"/>
      <w:marTop w:val="0"/>
      <w:marBottom w:val="0"/>
      <w:divBdr>
        <w:top w:val="none" w:sz="0" w:space="0" w:color="auto"/>
        <w:left w:val="none" w:sz="0" w:space="0" w:color="auto"/>
        <w:bottom w:val="none" w:sz="0" w:space="0" w:color="auto"/>
        <w:right w:val="none" w:sz="0" w:space="0" w:color="auto"/>
      </w:divBdr>
    </w:div>
    <w:div w:id="1711033537">
      <w:bodyDiv w:val="1"/>
      <w:marLeft w:val="0"/>
      <w:marRight w:val="0"/>
      <w:marTop w:val="0"/>
      <w:marBottom w:val="0"/>
      <w:divBdr>
        <w:top w:val="none" w:sz="0" w:space="0" w:color="auto"/>
        <w:left w:val="none" w:sz="0" w:space="0" w:color="auto"/>
        <w:bottom w:val="none" w:sz="0" w:space="0" w:color="auto"/>
        <w:right w:val="none" w:sz="0" w:space="0" w:color="auto"/>
      </w:divBdr>
    </w:div>
    <w:div w:id="1714965763">
      <w:bodyDiv w:val="1"/>
      <w:marLeft w:val="0"/>
      <w:marRight w:val="0"/>
      <w:marTop w:val="0"/>
      <w:marBottom w:val="0"/>
      <w:divBdr>
        <w:top w:val="none" w:sz="0" w:space="0" w:color="auto"/>
        <w:left w:val="none" w:sz="0" w:space="0" w:color="auto"/>
        <w:bottom w:val="none" w:sz="0" w:space="0" w:color="auto"/>
        <w:right w:val="none" w:sz="0" w:space="0" w:color="auto"/>
      </w:divBdr>
    </w:div>
    <w:div w:id="1795098413">
      <w:bodyDiv w:val="1"/>
      <w:marLeft w:val="0"/>
      <w:marRight w:val="0"/>
      <w:marTop w:val="0"/>
      <w:marBottom w:val="0"/>
      <w:divBdr>
        <w:top w:val="none" w:sz="0" w:space="0" w:color="auto"/>
        <w:left w:val="none" w:sz="0" w:space="0" w:color="auto"/>
        <w:bottom w:val="none" w:sz="0" w:space="0" w:color="auto"/>
        <w:right w:val="none" w:sz="0" w:space="0" w:color="auto"/>
      </w:divBdr>
    </w:div>
    <w:div w:id="1882475460">
      <w:bodyDiv w:val="1"/>
      <w:marLeft w:val="0"/>
      <w:marRight w:val="0"/>
      <w:marTop w:val="0"/>
      <w:marBottom w:val="0"/>
      <w:divBdr>
        <w:top w:val="none" w:sz="0" w:space="0" w:color="auto"/>
        <w:left w:val="none" w:sz="0" w:space="0" w:color="auto"/>
        <w:bottom w:val="none" w:sz="0" w:space="0" w:color="auto"/>
        <w:right w:val="none" w:sz="0" w:space="0" w:color="auto"/>
      </w:divBdr>
    </w:div>
    <w:div w:id="1962422824">
      <w:bodyDiv w:val="1"/>
      <w:marLeft w:val="0"/>
      <w:marRight w:val="0"/>
      <w:marTop w:val="0"/>
      <w:marBottom w:val="0"/>
      <w:divBdr>
        <w:top w:val="none" w:sz="0" w:space="0" w:color="auto"/>
        <w:left w:val="none" w:sz="0" w:space="0" w:color="auto"/>
        <w:bottom w:val="none" w:sz="0" w:space="0" w:color="auto"/>
        <w:right w:val="none" w:sz="0" w:space="0" w:color="auto"/>
      </w:divBdr>
    </w:div>
    <w:div w:id="2116510584">
      <w:bodyDiv w:val="1"/>
      <w:marLeft w:val="0"/>
      <w:marRight w:val="0"/>
      <w:marTop w:val="0"/>
      <w:marBottom w:val="0"/>
      <w:divBdr>
        <w:top w:val="none" w:sz="0" w:space="0" w:color="auto"/>
        <w:left w:val="none" w:sz="0" w:space="0" w:color="auto"/>
        <w:bottom w:val="none" w:sz="0" w:space="0" w:color="auto"/>
        <w:right w:val="none" w:sz="0" w:space="0" w:color="auto"/>
      </w:divBdr>
    </w:div>
    <w:div w:id="213905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OPA.co.uk" TargetMode="External"/><Relationship Id="rId18" Type="http://schemas.openxmlformats.org/officeDocument/2006/relationships/footer" Target="footer4.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enquiries@ukopa.co.uk" TargetMode="External"/><Relationship Id="rId17" Type="http://schemas.openxmlformats.org/officeDocument/2006/relationships/header" Target="header5.xml"/><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footer" Target="footer2.xml"/><Relationship Id="rId19" Type="http://schemas.openxmlformats.org/officeDocument/2006/relationships/image" Target="media/image4.emf"/><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OneDrive%20-%20holisticintegrityconsulting.com\UKOPA\UKOPA%20templates\TBN%20Template%20Oct%2017%20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4377AF33344563935CECDCF6CFD6E2"/>
        <w:category>
          <w:name w:val="General"/>
          <w:gallery w:val="placeholder"/>
        </w:category>
        <w:types>
          <w:type w:val="bbPlcHdr"/>
        </w:types>
        <w:behaviors>
          <w:behavior w:val="content"/>
        </w:behaviors>
        <w:guid w:val="{07A1D8AA-CFFF-46AB-BE91-02E2C14D789D}"/>
      </w:docPartPr>
      <w:docPartBody>
        <w:p w:rsidR="00881D1F" w:rsidRDefault="00881D1F">
          <w:pPr>
            <w:pStyle w:val="F24377AF33344563935CECDCF6CFD6E2"/>
          </w:pPr>
          <w:r w:rsidRPr="00B83874">
            <w:rPr>
              <w:rStyle w:val="PlaceholderText"/>
            </w:rPr>
            <w:t>[Title]</w:t>
          </w:r>
        </w:p>
      </w:docPartBody>
    </w:docPart>
    <w:docPart>
      <w:docPartPr>
        <w:name w:val="5921B16FCC5E4651BDC4791134648A3F"/>
        <w:category>
          <w:name w:val="General"/>
          <w:gallery w:val="placeholder"/>
        </w:category>
        <w:types>
          <w:type w:val="bbPlcHdr"/>
        </w:types>
        <w:behaviors>
          <w:behavior w:val="content"/>
        </w:behaviors>
        <w:guid w:val="{DC7010DE-F8AA-44F2-8DF7-BD6CA35A69F0}"/>
      </w:docPartPr>
      <w:docPartBody>
        <w:p w:rsidR="00881D1F" w:rsidRDefault="00881D1F">
          <w:pPr>
            <w:pStyle w:val="5921B16FCC5E4651BDC4791134648A3F"/>
          </w:pPr>
          <w:r w:rsidRPr="00B83874">
            <w:rPr>
              <w:rStyle w:val="PlaceholderText"/>
            </w:rPr>
            <w:t>[Subject]</w:t>
          </w:r>
        </w:p>
      </w:docPartBody>
    </w:docPart>
    <w:docPart>
      <w:docPartPr>
        <w:name w:val="69765DCB9B20410BBE3A6DF075CCA382"/>
        <w:category>
          <w:name w:val="General"/>
          <w:gallery w:val="placeholder"/>
        </w:category>
        <w:types>
          <w:type w:val="bbPlcHdr"/>
        </w:types>
        <w:behaviors>
          <w:behavior w:val="content"/>
        </w:behaviors>
        <w:guid w:val="{70A3A058-A33E-435C-BCDD-2D78B583CB23}"/>
      </w:docPartPr>
      <w:docPartBody>
        <w:p w:rsidR="00881D1F" w:rsidRDefault="00881D1F">
          <w:pPr>
            <w:pStyle w:val="69765DCB9B20410BBE3A6DF075CCA382"/>
          </w:pPr>
          <w:r w:rsidRPr="00917A5B">
            <w:rPr>
              <w:rStyle w:val="PlaceholderText"/>
            </w:rPr>
            <w:t>[Comments]</w:t>
          </w:r>
        </w:p>
      </w:docPartBody>
    </w:docPart>
    <w:docPart>
      <w:docPartPr>
        <w:name w:val="74B2EDEE96E94EB7977943F205FCE34A"/>
        <w:category>
          <w:name w:val="General"/>
          <w:gallery w:val="placeholder"/>
        </w:category>
        <w:types>
          <w:type w:val="bbPlcHdr"/>
        </w:types>
        <w:behaviors>
          <w:behavior w:val="content"/>
        </w:behaviors>
        <w:guid w:val="{9569FCAB-52C9-40D8-A0F8-5FF0D36637D8}"/>
      </w:docPartPr>
      <w:docPartBody>
        <w:p w:rsidR="00881D1F" w:rsidRDefault="00881D1F">
          <w:pPr>
            <w:pStyle w:val="74B2EDEE96E94EB7977943F205FCE34A"/>
          </w:pPr>
          <w:r w:rsidRPr="00917A5B">
            <w:rPr>
              <w:rStyle w:val="PlaceholderText"/>
            </w:rPr>
            <w:t>Click here to enter a date.</w:t>
          </w:r>
        </w:p>
      </w:docPartBody>
    </w:docPart>
    <w:docPart>
      <w:docPartPr>
        <w:name w:val="AC6E3F84874C413089D82DAEE416451A"/>
        <w:category>
          <w:name w:val="General"/>
          <w:gallery w:val="placeholder"/>
        </w:category>
        <w:types>
          <w:type w:val="bbPlcHdr"/>
        </w:types>
        <w:behaviors>
          <w:behavior w:val="content"/>
        </w:behaviors>
        <w:guid w:val="{98EBF33D-CED9-49AB-90CD-C23866BAB5CF}"/>
      </w:docPartPr>
      <w:docPartBody>
        <w:p w:rsidR="00881D1F" w:rsidRDefault="00881D1F">
          <w:pPr>
            <w:pStyle w:val="AC6E3F84874C413089D82DAEE416451A"/>
          </w:pPr>
          <w:r w:rsidRPr="00917A5B">
            <w:rPr>
              <w:rStyle w:val="PlaceholderText"/>
            </w:rPr>
            <w:t>[Title]</w:t>
          </w:r>
        </w:p>
      </w:docPartBody>
    </w:docPart>
    <w:docPart>
      <w:docPartPr>
        <w:name w:val="4B5B0B12C65841D696B3CC9485EB50B1"/>
        <w:category>
          <w:name w:val="General"/>
          <w:gallery w:val="placeholder"/>
        </w:category>
        <w:types>
          <w:type w:val="bbPlcHdr"/>
        </w:types>
        <w:behaviors>
          <w:behavior w:val="content"/>
        </w:behaviors>
        <w:guid w:val="{1ED5D17F-FFE3-4373-8282-1E3323AC1890}"/>
      </w:docPartPr>
      <w:docPartBody>
        <w:p w:rsidR="00881D1F" w:rsidRDefault="00881D1F">
          <w:pPr>
            <w:pStyle w:val="4B5B0B12C65841D696B3CC9485EB50B1"/>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1F"/>
    <w:rsid w:val="00881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4377AF33344563935CECDCF6CFD6E2">
    <w:name w:val="F24377AF33344563935CECDCF6CFD6E2"/>
  </w:style>
  <w:style w:type="paragraph" w:customStyle="1" w:styleId="5921B16FCC5E4651BDC4791134648A3F">
    <w:name w:val="5921B16FCC5E4651BDC4791134648A3F"/>
  </w:style>
  <w:style w:type="paragraph" w:customStyle="1" w:styleId="69765DCB9B20410BBE3A6DF075CCA382">
    <w:name w:val="69765DCB9B20410BBE3A6DF075CCA382"/>
  </w:style>
  <w:style w:type="paragraph" w:customStyle="1" w:styleId="74B2EDEE96E94EB7977943F205FCE34A">
    <w:name w:val="74B2EDEE96E94EB7977943F205FCE34A"/>
  </w:style>
  <w:style w:type="paragraph" w:customStyle="1" w:styleId="AC6E3F84874C413089D82DAEE416451A">
    <w:name w:val="AC6E3F84874C413089D82DAEE416451A"/>
  </w:style>
  <w:style w:type="paragraph" w:customStyle="1" w:styleId="4B5B0B12C65841D696B3CC9485EB50B1">
    <w:name w:val="4B5B0B12C65841D696B3CC9485EB5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IGE</b:Tag>
    <b:SourceType>Book</b:SourceType>
    <b:Guid>{145D4D05-DE53-461A-AC3E-44711DA2F9D5}</b:Guid>
    <b:Author>
      <b:Author>
        <b:NameList>
          <b:Person>
            <b:Last>IGEM</b:Last>
          </b:Person>
        </b:NameList>
      </b:Author>
    </b:Author>
    <b:Title>IGEM/TD/1 Ed 5 Steel pipelines for high pressure gas transmission</b:Title>
    <b:Publisher>IGEM</b:Publisher>
    <b:Year>2008</b:Year>
    <b:RefOrder>1</b:RefOrder>
  </b:Source>
  <b:Source>
    <b:Tag>The14</b:Tag>
    <b:SourceType>Book</b:SourceType>
    <b:Guid>{B3C74BD0-54D0-49F5-8FB0-73FDF1168C94}</b:Guid>
    <b:Title>The British Standards Institution. BS 7608:2014 Guide to Fatigue Design and Assessment of Steel Products</b:Title>
    <b:Year>2014</b:Year>
    <b:Publisher>BSI Standards Limited,</b:Publisher>
    <b:RefOrder>2</b:RefOrder>
  </b:Source>
  <b:Source>
    <b:Tag>The15</b:Tag>
    <b:SourceType>Book</b:SourceType>
    <b:Guid>{18EE8C36-F5CB-45DE-91D7-C8654B76B740}</b:Guid>
    <b:Title>The British Standards Institution, BS 7910:2013+A1:2015 Guide to Methods for Assessing the Acceptability of Flaws in Metallic Structures</b:Title>
    <b:Year>2015</b:Year>
    <b:Publisher>BSI Standards Limited</b:Publisher>
    <b:RefOrder>3</b:RefOrder>
  </b:Source>
  <b:Source>
    <b:Tag>Cos01</b:Tag>
    <b:SourceType>Report</b:SourceType>
    <b:Guid>{C55F47D9-FB7C-4C98-AD0E-F226C1D571BA}</b:Guid>
    <b:Title>Assessment Methods for Dents in Pipelines, A Report to The Pipeline Defect Assessment Manual Joint Industry Project, NR99014/4238.1.74/R3</b:Title>
    <b:Year>2001</b:Year>
    <b:City>Newcastle upon Tyne</b:City>
    <b:Publisher>Penspen Limited</b:Publisher>
    <b:Author>
      <b:Author>
        <b:NameList>
          <b:Person>
            <b:Last>Cosham</b:Last>
            <b:First>A.</b:First>
          </b:Person>
        </b:NameList>
      </b:Author>
    </b:Author>
    <b:RefOrder>4</b:RefOrder>
  </b:Source>
  <b:Source>
    <b:Tag>Liu13</b:Tag>
    <b:SourceType>Report</b:SourceType>
    <b:Guid>{C20433A4-2D43-4DC2-B046-96C81A731DBD}</b:Guid>
    <b:Author>
      <b:Author>
        <b:NameList>
          <b:Person>
            <b:Last>Liu</b:Last>
            <b:First>J.</b:First>
            <b:Middle>H.</b:Middle>
          </b:Person>
        </b:NameList>
      </b:Author>
    </b:Author>
    <b:Title>Feasibility Study: Fatigue Assessment of Plain Dent Damage, Report Number: 12505 Issue 1.0</b:Title>
    <b:Year>2013</b:Year>
    <b:Publisher>GL Noble Denton</b:Publisher>
    <b:City>Loughborough, Leicestershire,</b:City>
    <b:RefOrder>5</b:RefOrder>
  </b:Source>
  <b:Source>
    <b:Tag>UKO16</b:Tag>
    <b:SourceType>Report</b:SourceType>
    <b:Guid>{5B32C3DF-17F1-4018-BD7C-1F9FFF640245}</b:Guid>
    <b:Title>UK Onshore Pipeline Operators’ Association, Industry Good Practice Guide, Managing Pipeline Dents, UKOPA/GP/004, Edition 1</b:Title>
    <b:Year>2016</b:Year>
    <b:Publisher>UKOPA</b:Publisher>
    <b:City>Ambergate</b:City>
    <b:RefOrder>6</b:RefOrder>
  </b:Source>
  <b:Source>
    <b:Tag>UKO161</b:Tag>
    <b:SourceType>Report</b:SourceType>
    <b:Guid>{F6ADEBE8-0860-462F-BF07-41C21C999ABA}</b:Guid>
    <b:Title>UK Onshore Pipeline Operators’ Association, Application of S-N Curves to Fatigue Assessment of Pipeline Dents, UKOPA Technical Note PIWG/16/032,</b:Title>
    <b:Year>2016</b:Year>
    <b:Publisher>UKOPA</b:Publisher>
    <b:City>Ambergate</b:City>
    <b:RefOrder>7</b:RefOrder>
  </b:Source>
  <b:Source>
    <b:Tag>Shi01</b:Tag>
    <b:SourceType>Book</b:SourceType>
    <b:Guid>{7F07768F-B92A-4957-BF66-2AE684747252}</b:Guid>
    <b:Title>Mechanical Engineering Design, 6th Edition, Chapter 12.</b:Title>
    <b:Year>2001</b:Year>
    <b:Publisher>McGraw-Hill</b:Publisher>
    <b:City>New York,</b:City>
    <b:Author>
      <b:Author>
        <b:NameList>
          <b:Person>
            <b:Last>Shigley</b:Last>
            <b:Middle>E</b:Middle>
            <b:First>J</b:First>
          </b:Person>
          <b:Person>
            <b:Last>Mirshke</b:Last>
            <b:Middle>R</b:Middle>
            <b:First>C</b:First>
          </b:Person>
        </b:NameList>
      </b:Author>
    </b:Author>
    <b:RefOrder>8</b:RefOrder>
  </b:Source>
  <b:Source>
    <b:Tag>Cam08</b:Tag>
    <b:SourceType>Book</b:SourceType>
    <b:Guid>{85DB4F8C-9A58-411B-9F9A-79EAA53DCB5C}</b:Guid>
    <b:Author>
      <b:Author>
        <b:NameList>
          <b:Person>
            <b:Last>Campbell</b:Last>
            <b:First>F.</b:First>
            <b:Middle>C.</b:Middle>
          </b:Person>
        </b:NameList>
      </b:Author>
    </b:Author>
    <b:Title>Elements of Metallurgy and Engineering Alloys</b:Title>
    <b:Year>2008</b:Year>
    <b:City>Materials Park, Ohio</b:City>
    <b:Publisher>ASM International</b:Publisher>
    <b:RefOrder>9</b:RefOrder>
  </b:Source>
  <b:Source>
    <b:Tag>Cor95</b:Tag>
    <b:SourceType>Report</b:SourceType>
    <b:Guid>{F46CAF97-8144-4E03-917B-B84D274A6515}</b:Guid>
    <b:Title>EPRG Recommendations for The Assessment of The Resistance of Pipelines to External Damage, Proceedings of the EPRG/PRC 10th Biennial Joint Technical Meeting on Line Pipe Research</b:Title>
    <b:Year>1995</b:Year>
    <b:City>Cambridge</b:City>
    <b:Author>
      <b:Author>
        <b:NameList>
          <b:Person>
            <b:Last>Corder</b:Last>
            <b:First>I</b:First>
          </b:Person>
          <b:Person>
            <b:Last>Chatain</b:Last>
            <b:First>P</b:First>
          </b:Person>
        </b:NameList>
      </b:Author>
    </b:Author>
    <b:RefOrder>10</b:RefOrder>
  </b:Source>
  <b:Source>
    <b:Tag>Fow94</b:Tag>
    <b:SourceType>Report</b:SourceType>
    <b:Guid>{0B0B695C-F02C-4362-8ECA-0397DCB1EEE8}</b:Guid>
    <b:Author>
      <b:Author>
        <b:NameList>
          <b:Person>
            <b:Last>Fowler</b:Last>
            <b:First>J</b:First>
            <b:Middle>R</b:Middle>
          </b:Person>
          <b:Person>
            <b:Last>Alexander</b:Last>
            <b:First>C</b:First>
            <b:Middle>R</b:Middle>
          </b:Person>
          <b:Person>
            <b:Last>Kovach</b:Last>
            <b:First>P</b:First>
            <b:Middle>J</b:Middle>
          </b:Person>
          <b:Person>
            <b:Last>Connelly</b:Last>
            <b:Middle>M</b:Middle>
            <b:First>L</b:First>
          </b:Person>
        </b:NameList>
      </b:Author>
    </b:Author>
    <b:Title>Cyclic Pressure Fatigue Life of Pipelines with Plain Dents, Dents with Gouges, and Dents with Welds, PRCI Report PR-201-927/201-9324</b:Title>
    <b:Year>1994</b:Year>
    <b:Publisher>PRCI Catalog Number L51705e</b:Publisher>
    <b:RefOrder>11</b:RefOrder>
  </b:Source>
  <b:Source>
    <b:Tag>Ale97</b:Tag>
    <b:SourceType>Book</b:SourceType>
    <b:Guid>{93AFFD15-91A8-435C-B2BC-D3B7E0300AB4}</b:Guid>
    <b:Title>Effects of Smooth and Rock Dents on Liquid Petroleum Pipelines</b:Title>
    <b:Year>1997</b:Year>
    <b:Publisher>API Publication 1156</b:Publisher>
    <b:Author>
      <b:Author>
        <b:NameList>
          <b:Person>
            <b:Last>Alexander</b:Last>
            <b:Middle>R</b:Middle>
            <b:First>C</b:First>
          </b:Person>
          <b:Person>
            <b:Last>Kiefner</b:Last>
            <b:Middle>F</b:Middle>
            <b:First>J</b:First>
          </b:Person>
        </b:NameList>
      </b:Author>
    </b:Author>
    <b:RefOrder>12</b:RefOrder>
  </b:Source>
</b:Sources>
</file>

<file path=customXml/itemProps1.xml><?xml version="1.0" encoding="utf-8"?>
<ds:datastoreItem xmlns:ds="http://schemas.openxmlformats.org/officeDocument/2006/customXml" ds:itemID="{F8A18EF6-45D3-294C-9CD1-4EC50C7E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C:\Users\Andy\OneDrive - holisticintegrityconsulting.com\UKOPA\UKOPA templates\TBN Template Oct 17 V1.1.dotx</Template>
  <TotalTime>2</TotalTime>
  <Pages>24</Pages>
  <Words>6195</Words>
  <Characters>35391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41503</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Lower bound for required fatigue assessment of pipeline dents</dc:subject>
  <dc:creator>Andy Fuller</dc:creator>
  <dc:description>UKOPA/TBN/010 Edition 1</dc:description>
  <cp:lastModifiedBy>Nikki Barker</cp:lastModifiedBy>
  <cp:revision>5</cp:revision>
  <cp:lastPrinted>2015-07-28T16:53:00Z</cp:lastPrinted>
  <dcterms:created xsi:type="dcterms:W3CDTF">2019-10-09T15:02:00Z</dcterms:created>
  <dcterms:modified xsi:type="dcterms:W3CDTF">2019-10-09T15:04:00Z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ies>
</file>