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ADDD3" w14:textId="1B0E30FD" w:rsidR="005968BD" w:rsidRDefault="005968BD" w:rsidP="005715C4">
      <w:pPr>
        <w:pStyle w:val="FrontPenspen"/>
        <w:pBdr>
          <w:top w:val="none" w:sz="0" w:space="0" w:color="auto"/>
        </w:pBdr>
        <w:spacing w:after="0"/>
      </w:pPr>
    </w:p>
    <w:p w14:paraId="732C9C79" w14:textId="77777777" w:rsidR="00CE1BFF" w:rsidRDefault="00CE1BFF" w:rsidP="00F368C2">
      <w:pPr>
        <w:pStyle w:val="FrontPenspen"/>
        <w:pBdr>
          <w:top w:val="none" w:sz="0" w:space="0" w:color="auto"/>
        </w:pBdr>
        <w:spacing w:after="2520"/>
      </w:pPr>
    </w:p>
    <w:p w14:paraId="117BD056" w14:textId="77777777" w:rsidR="00012F42" w:rsidRPr="00BF7AD5" w:rsidRDefault="00EE1350"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B5778D8D701A4C619FB7BB748F40B5BF"/>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55F428D1" w14:textId="344BD8D0" w:rsidR="003F7240" w:rsidRPr="00BF7AD5" w:rsidRDefault="00EE1350"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F46A8CCDD5324DE3978AB5A49DE18E4B"/>
          </w:placeholder>
          <w:dataBinding w:prefixMappings="xmlns:ns0='http://purl.org/dc/elements/1.1/' xmlns:ns1='http://schemas.openxmlformats.org/package/2006/metadata/core-properties' " w:xpath="/ns1:coreProperties[1]/ns0:subject[1]" w:storeItemID="{6C3C8BC8-F283-45AE-878A-BAB7291924A1}"/>
          <w:text/>
        </w:sdtPr>
        <w:sdtEndPr/>
        <w:sdtContent>
          <w:r w:rsidR="002E3B18" w:rsidRPr="002E3B18">
            <w:rPr>
              <w:color w:val="003656" w:themeColor="accent4" w:themeTint="E6"/>
            </w:rPr>
            <w:t xml:space="preserve">Managing </w:t>
          </w:r>
          <w:r w:rsidR="00073324">
            <w:rPr>
              <w:color w:val="003656" w:themeColor="accent4" w:themeTint="E6"/>
            </w:rPr>
            <w:t>s</w:t>
          </w:r>
          <w:r w:rsidR="00CC6D83">
            <w:rPr>
              <w:color w:val="003656" w:themeColor="accent4" w:themeTint="E6"/>
            </w:rPr>
            <w:t xml:space="preserve">ocietal </w:t>
          </w:r>
          <w:r w:rsidR="00073324">
            <w:rPr>
              <w:color w:val="003656" w:themeColor="accent4" w:themeTint="E6"/>
            </w:rPr>
            <w:t>r</w:t>
          </w:r>
          <w:r w:rsidR="00CC6D83">
            <w:rPr>
              <w:color w:val="003656" w:themeColor="accent4" w:themeTint="E6"/>
            </w:rPr>
            <w:t xml:space="preserve">isk in the </w:t>
          </w:r>
          <w:r w:rsidR="00073324">
            <w:rPr>
              <w:color w:val="003656" w:themeColor="accent4" w:themeTint="E6"/>
            </w:rPr>
            <w:t>v</w:t>
          </w:r>
          <w:r w:rsidR="00CC6D83">
            <w:rPr>
              <w:color w:val="003656" w:themeColor="accent4" w:themeTint="E6"/>
            </w:rPr>
            <w:t xml:space="preserve">icinity of </w:t>
          </w:r>
          <w:r w:rsidR="00667707">
            <w:rPr>
              <w:color w:val="003656" w:themeColor="accent4" w:themeTint="E6"/>
            </w:rPr>
            <w:t>high-pressure</w:t>
          </w:r>
          <w:r w:rsidR="00CC6D83">
            <w:rPr>
              <w:color w:val="003656" w:themeColor="accent4" w:themeTint="E6"/>
            </w:rPr>
            <w:t xml:space="preserve"> </w:t>
          </w:r>
          <w:r w:rsidR="00073324">
            <w:rPr>
              <w:color w:val="003656" w:themeColor="accent4" w:themeTint="E6"/>
            </w:rPr>
            <w:t>n</w:t>
          </w:r>
          <w:r w:rsidR="00CC6D83">
            <w:rPr>
              <w:color w:val="003656" w:themeColor="accent4" w:themeTint="E6"/>
            </w:rPr>
            <w:t xml:space="preserve">atural </w:t>
          </w:r>
          <w:r w:rsidR="00073324">
            <w:rPr>
              <w:color w:val="003656" w:themeColor="accent4" w:themeTint="E6"/>
            </w:rPr>
            <w:t>g</w:t>
          </w:r>
          <w:r w:rsidR="00CC6D83">
            <w:rPr>
              <w:color w:val="003656" w:themeColor="accent4" w:themeTint="E6"/>
            </w:rPr>
            <w:t xml:space="preserve">as </w:t>
          </w:r>
          <w:r w:rsidR="00073324">
            <w:rPr>
              <w:color w:val="003656" w:themeColor="accent4" w:themeTint="E6"/>
            </w:rPr>
            <w:t>p</w:t>
          </w:r>
          <w:r w:rsidR="00CC6D83">
            <w:rPr>
              <w:color w:val="003656" w:themeColor="accent4" w:themeTint="E6"/>
            </w:rPr>
            <w:t>ipelines</w:t>
          </w:r>
        </w:sdtContent>
      </w:sdt>
    </w:p>
    <w:sdt>
      <w:sdtPr>
        <w:rPr>
          <w:color w:val="003656" w:themeColor="accent4" w:themeTint="E6"/>
          <w:sz w:val="32"/>
          <w:szCs w:val="32"/>
        </w:rPr>
        <w:alias w:val="Comments"/>
        <w:tag w:val=""/>
        <w:id w:val="1506479213"/>
        <w:placeholder>
          <w:docPart w:val="9C1CA94947CB44BCB0E98FD28F75E2F2"/>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2CEAEE6" w14:textId="58C66C2B" w:rsidR="003F7240" w:rsidRPr="00BF7AD5" w:rsidRDefault="006625BD"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UKOPA/TBN/</w:t>
          </w:r>
          <w:r w:rsidR="00073324">
            <w:rPr>
              <w:color w:val="003656" w:themeColor="accent4" w:themeTint="E6"/>
              <w:sz w:val="32"/>
              <w:szCs w:val="32"/>
            </w:rPr>
            <w:t>02</w:t>
          </w:r>
          <w:r>
            <w:rPr>
              <w:color w:val="003656" w:themeColor="accent4" w:themeTint="E6"/>
              <w:sz w:val="32"/>
              <w:szCs w:val="32"/>
            </w:rPr>
            <w:t xml:space="preserve"> Edition </w:t>
          </w:r>
          <w:r w:rsidR="001215A8">
            <w:rPr>
              <w:color w:val="003656" w:themeColor="accent4" w:themeTint="E6"/>
              <w:sz w:val="32"/>
              <w:szCs w:val="32"/>
            </w:rPr>
            <w:t>1</w:t>
          </w:r>
        </w:p>
      </w:sdtContent>
    </w:sdt>
    <w:p w14:paraId="1E186049" w14:textId="3B8A0659" w:rsidR="00997863" w:rsidRPr="00BF7AD5" w:rsidRDefault="00EE1350"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6BA14B5C5915438C8CB906455E6D5BB8"/>
          </w:placeholder>
          <w:date w:fullDate="2019-10-08T00:00:00Z">
            <w:dateFormat w:val="MMMM yyyy"/>
            <w:lid w:val="en-GB"/>
            <w:storeMappedDataAs w:val="dateTime"/>
            <w:calendar w:val="gregorian"/>
          </w:date>
        </w:sdtPr>
        <w:sdtEndPr/>
        <w:sdtContent>
          <w:r w:rsidR="00667707">
            <w:rPr>
              <w:color w:val="003656" w:themeColor="accent4" w:themeTint="E6"/>
              <w:sz w:val="32"/>
              <w:szCs w:val="32"/>
            </w:rPr>
            <w:t>October 2019</w:t>
          </w:r>
        </w:sdtContent>
      </w:sdt>
    </w:p>
    <w:p w14:paraId="283282E0" w14:textId="77777777" w:rsidR="00997863" w:rsidRDefault="00997863" w:rsidP="00997863">
      <w:pPr>
        <w:rPr>
          <w:rFonts w:ascii="Calibri" w:eastAsiaTheme="majorEastAsia" w:hAnsi="Calibri" w:cstheme="majorBidi"/>
          <w:noProof/>
          <w:sz w:val="36"/>
          <w:szCs w:val="36"/>
        </w:rPr>
      </w:pPr>
    </w:p>
    <w:p w14:paraId="34D38140" w14:textId="77777777" w:rsidR="006F5ECE" w:rsidRPr="00997863" w:rsidRDefault="006F5ECE" w:rsidP="006F5ECE">
      <w:pPr>
        <w:jc w:val="center"/>
      </w:pPr>
    </w:p>
    <w:p w14:paraId="31123EBB" w14:textId="77777777" w:rsidR="00997863" w:rsidRPr="00997863" w:rsidRDefault="00997863" w:rsidP="00FA683B">
      <w:pPr>
        <w:jc w:val="center"/>
      </w:pPr>
    </w:p>
    <w:p w14:paraId="23FD548B" w14:textId="77777777" w:rsidR="00997863" w:rsidRDefault="00997863" w:rsidP="00997863"/>
    <w:p w14:paraId="48A10C59" w14:textId="77777777" w:rsidR="002B6494" w:rsidRDefault="002B6494" w:rsidP="00997863"/>
    <w:p w14:paraId="6563807B" w14:textId="77777777" w:rsidR="002B6494" w:rsidRDefault="002B6494" w:rsidP="00997863"/>
    <w:p w14:paraId="3544D9D5" w14:textId="77777777" w:rsidR="002B6494" w:rsidRDefault="002B6494" w:rsidP="00997863"/>
    <w:p w14:paraId="2D65907B" w14:textId="77777777" w:rsidR="002B6494" w:rsidRDefault="002B6494" w:rsidP="00997863"/>
    <w:p w14:paraId="2C6478D4" w14:textId="77777777" w:rsidR="002B6494" w:rsidRDefault="002B6494" w:rsidP="00997863"/>
    <w:p w14:paraId="257C350F" w14:textId="77777777" w:rsidR="002B6494" w:rsidRPr="00997863" w:rsidRDefault="002B6494" w:rsidP="00997863"/>
    <w:p w14:paraId="290C4456" w14:textId="77777777" w:rsidR="00997863" w:rsidRPr="00997863" w:rsidRDefault="00997863" w:rsidP="00997863"/>
    <w:p w14:paraId="56A66072" w14:textId="77777777" w:rsidR="005968BD" w:rsidRPr="00997863" w:rsidRDefault="005968BD" w:rsidP="002B6494">
      <w:pPr>
        <w:jc w:val="right"/>
        <w:sectPr w:rsidR="005968BD" w:rsidRPr="00997863" w:rsidSect="00C67A85">
          <w:headerReference w:type="default" r:id="rId11"/>
          <w:footerReference w:type="even" r:id="rId12"/>
          <w:footerReference w:type="default" r:id="rId13"/>
          <w:headerReference w:type="first" r:id="rId14"/>
          <w:endnotePr>
            <w:numFmt w:val="decimal"/>
          </w:endnotePr>
          <w:type w:val="continuous"/>
          <w:pgSz w:w="11909" w:h="16834" w:code="9"/>
          <w:pgMar w:top="1385" w:right="720" w:bottom="720" w:left="720" w:header="454" w:footer="958" w:gutter="0"/>
          <w:cols w:space="720"/>
          <w:docGrid w:linePitch="272"/>
        </w:sectPr>
      </w:pPr>
    </w:p>
    <w:p w14:paraId="47CEE103"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669B03A2" w14:textId="7777777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63E74BFF" w14:textId="77777777" w:rsidR="00175244" w:rsidRDefault="00175244" w:rsidP="00175244">
      <w:pPr>
        <w:pStyle w:val="BodyText"/>
        <w:ind w:left="284"/>
        <w:rPr>
          <w:rFonts w:cs="Arial"/>
        </w:rPr>
      </w:pPr>
    </w:p>
    <w:p w14:paraId="3B5B4FED" w14:textId="77777777" w:rsidR="00175244" w:rsidRDefault="00175244" w:rsidP="00175244">
      <w:pPr>
        <w:pStyle w:val="BodyText"/>
        <w:ind w:left="284"/>
        <w:rPr>
          <w:rFonts w:cs="Arial"/>
        </w:rPr>
      </w:pPr>
    </w:p>
    <w:p w14:paraId="39160C38" w14:textId="77777777" w:rsidR="00175244" w:rsidRDefault="00175244" w:rsidP="00175244">
      <w:pPr>
        <w:pStyle w:val="BodyText"/>
        <w:ind w:left="284"/>
        <w:rPr>
          <w:rFonts w:cs="Arial"/>
        </w:rPr>
      </w:pPr>
    </w:p>
    <w:p w14:paraId="1DDF8102"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2264FA34" w14:textId="77777777" w:rsidR="00916BD5" w:rsidRPr="00175244" w:rsidRDefault="00175244" w:rsidP="00BF7AD5">
      <w:pPr>
        <w:pStyle w:val="BodyText"/>
        <w:spacing w:before="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16DF5384" w14:textId="77777777" w:rsidR="00916BD5" w:rsidRPr="00BF7AD5" w:rsidRDefault="00916BD5" w:rsidP="00BF7AD5">
      <w:pPr>
        <w:pStyle w:val="BodyText"/>
        <w:spacing w:before="0"/>
        <w:ind w:left="1440"/>
        <w:rPr>
          <w:rFonts w:cs="Arial"/>
        </w:rPr>
      </w:pPr>
      <w:r w:rsidRPr="00BF7AD5">
        <w:rPr>
          <w:rFonts w:cs="Arial"/>
        </w:rPr>
        <w:t>Pipeline Maintenance Centre</w:t>
      </w:r>
    </w:p>
    <w:p w14:paraId="1093B264" w14:textId="77777777" w:rsidR="00916BD5" w:rsidRPr="00BF7AD5" w:rsidRDefault="00916BD5" w:rsidP="00BF7AD5">
      <w:pPr>
        <w:pStyle w:val="BodyText"/>
        <w:spacing w:before="0"/>
        <w:ind w:left="1440"/>
        <w:rPr>
          <w:rFonts w:cs="Arial"/>
        </w:rPr>
      </w:pPr>
      <w:r w:rsidRPr="00BF7AD5">
        <w:rPr>
          <w:rFonts w:cs="Arial"/>
        </w:rPr>
        <w:t>Ripley Road</w:t>
      </w:r>
    </w:p>
    <w:p w14:paraId="0D2F6C17" w14:textId="77777777" w:rsidR="00916BD5" w:rsidRPr="00BF7AD5" w:rsidRDefault="00916BD5" w:rsidP="00BF7AD5">
      <w:pPr>
        <w:pStyle w:val="BodyText"/>
        <w:spacing w:before="0"/>
        <w:ind w:left="1440"/>
        <w:rPr>
          <w:rFonts w:cs="Arial"/>
        </w:rPr>
      </w:pPr>
      <w:r w:rsidRPr="00BF7AD5">
        <w:rPr>
          <w:rFonts w:cs="Arial"/>
        </w:rPr>
        <w:t>Ambergate</w:t>
      </w:r>
      <w:r w:rsidRPr="00BF7AD5">
        <w:rPr>
          <w:rFonts w:cs="Arial"/>
        </w:rPr>
        <w:tab/>
      </w:r>
    </w:p>
    <w:p w14:paraId="6F5265F3" w14:textId="77777777" w:rsidR="00BF7AD5" w:rsidRPr="00BF7AD5" w:rsidRDefault="00916BD5" w:rsidP="00BF7AD5">
      <w:pPr>
        <w:pStyle w:val="BodyText"/>
        <w:spacing w:before="0"/>
        <w:ind w:left="1440"/>
        <w:rPr>
          <w:rFonts w:cs="Arial"/>
        </w:rPr>
      </w:pPr>
      <w:r w:rsidRPr="00BF7AD5">
        <w:rPr>
          <w:rFonts w:cs="Arial"/>
        </w:rPr>
        <w:t>Derbyshire</w:t>
      </w:r>
    </w:p>
    <w:p w14:paraId="471E12F0" w14:textId="77777777" w:rsidR="00916BD5" w:rsidRPr="00BF7AD5" w:rsidRDefault="00916BD5" w:rsidP="00BF7AD5">
      <w:pPr>
        <w:pStyle w:val="BodyText"/>
        <w:spacing w:before="0"/>
        <w:ind w:left="1440"/>
        <w:rPr>
          <w:rFonts w:cs="Arial"/>
        </w:rPr>
      </w:pPr>
      <w:r w:rsidRPr="00BF7AD5">
        <w:rPr>
          <w:rFonts w:cs="Arial"/>
        </w:rPr>
        <w:t>DE56 2FZ</w:t>
      </w:r>
    </w:p>
    <w:p w14:paraId="67C95E2C"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5" w:history="1">
        <w:r w:rsidR="00916BD5" w:rsidRPr="00BF7AD5">
          <w:rPr>
            <w:rStyle w:val="Hyperlink"/>
            <w:rFonts w:cs="Arial"/>
            <w:b/>
          </w:rPr>
          <w:t>enquiries@ukopa.co.uk</w:t>
        </w:r>
      </w:hyperlink>
    </w:p>
    <w:p w14:paraId="332EA7C9"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6" w:history="1">
        <w:r w:rsidRPr="0072154B">
          <w:rPr>
            <w:rStyle w:val="Hyperlink"/>
            <w:rFonts w:cs="Arial"/>
            <w:b/>
          </w:rPr>
          <w:t>www.UKOPA.co.uk</w:t>
        </w:r>
      </w:hyperlink>
    </w:p>
    <w:p w14:paraId="1FE78FC8" w14:textId="77777777" w:rsidR="00BF7AD5" w:rsidRDefault="00BF7AD5" w:rsidP="00916BD5">
      <w:pPr>
        <w:pStyle w:val="BodyText"/>
        <w:ind w:left="284"/>
        <w:rPr>
          <w:rFonts w:cs="Arial"/>
          <w:b/>
          <w:sz w:val="16"/>
          <w:szCs w:val="16"/>
        </w:rPr>
      </w:pPr>
    </w:p>
    <w:p w14:paraId="1183A342"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021AC5EA"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5827588E" w14:textId="1912CA9D" w:rsidR="009F334C" w:rsidRPr="009F334C" w:rsidRDefault="009F334C" w:rsidP="009F334C">
      <w:pPr>
        <w:pStyle w:val="BodyText"/>
        <w:ind w:left="284"/>
        <w:rPr>
          <w:rFonts w:cs="Arial"/>
          <w:sz w:val="16"/>
          <w:szCs w:val="16"/>
        </w:rPr>
      </w:pPr>
      <w:r w:rsidRPr="009F334C">
        <w:rPr>
          <w:rFonts w:cs="Arial"/>
          <w:sz w:val="16"/>
          <w:szCs w:val="16"/>
        </w:rPr>
        <w:t xml:space="preserve">Copyright </w:t>
      </w:r>
      <w:r w:rsidR="008F7278">
        <w:rPr>
          <w:rFonts w:cstheme="minorHAnsi"/>
          <w:sz w:val="16"/>
          <w:szCs w:val="16"/>
        </w:rPr>
        <w:t xml:space="preserve">©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29661A">
        <w:rPr>
          <w:rFonts w:cs="Arial"/>
          <w:noProof/>
          <w:sz w:val="16"/>
          <w:szCs w:val="16"/>
        </w:rPr>
        <w:t>2019</w:t>
      </w:r>
      <w:r w:rsidR="00916BD5">
        <w:rPr>
          <w:rFonts w:cs="Arial"/>
          <w:sz w:val="16"/>
          <w:szCs w:val="16"/>
        </w:rPr>
        <w:fldChar w:fldCharType="end"/>
      </w:r>
      <w:r w:rsidRPr="009F334C">
        <w:rPr>
          <w:rFonts w:cs="Arial"/>
          <w:sz w:val="16"/>
          <w:szCs w:val="16"/>
        </w:rPr>
        <w:t>, UKOPA.  All rights reserved</w:t>
      </w:r>
      <w:r w:rsidR="008F7278">
        <w:rPr>
          <w:rFonts w:cs="Arial"/>
          <w:sz w:val="16"/>
          <w:szCs w:val="16"/>
        </w:rPr>
        <w:t>.</w:t>
      </w:r>
    </w:p>
    <w:p w14:paraId="787D226A"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739E43C0" w14:textId="1FF7DD7A"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AE55B8">
        <w:rPr>
          <w:rFonts w:cs="Arial"/>
          <w:b/>
          <w:color w:val="003656" w:themeColor="accent4" w:themeTint="E6"/>
        </w:rPr>
        <w:t xml:space="preserve"> January 2024</w:t>
      </w:r>
    </w:p>
    <w:tbl>
      <w:tblPr>
        <w:tblStyle w:val="TableGrid"/>
        <w:tblW w:w="0" w:type="auto"/>
        <w:tblLook w:val="04A0" w:firstRow="1" w:lastRow="0" w:firstColumn="1" w:lastColumn="0" w:noHBand="0" w:noVBand="1"/>
      </w:tblPr>
      <w:tblGrid>
        <w:gridCol w:w="1417"/>
        <w:gridCol w:w="1701"/>
        <w:gridCol w:w="1843"/>
        <w:gridCol w:w="3990"/>
      </w:tblGrid>
      <w:tr w:rsidR="00F12BCC" w14:paraId="349D8A5A"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199A17B6"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478C5771" w14:textId="77777777" w:rsidR="002F1438" w:rsidRPr="00A06D46" w:rsidRDefault="002F1438" w:rsidP="00AE55B8">
            <w:pPr>
              <w:jc w:val="cente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6E0357F9" w14:textId="77777777" w:rsidR="002F1438" w:rsidRPr="00A06D46" w:rsidRDefault="002F1438" w:rsidP="00AE55B8">
            <w:pPr>
              <w:jc w:val="cente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1152E811"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0A7B3D86"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44EE0CC" w14:textId="77777777" w:rsidR="00F12BCC" w:rsidRDefault="00533EE5" w:rsidP="002F1438">
            <w:pPr>
              <w:jc w:val="center"/>
              <w:rPr>
                <w:b/>
                <w:szCs w:val="18"/>
              </w:rPr>
            </w:pPr>
            <w:r>
              <w:rPr>
                <w:b/>
                <w:szCs w:val="18"/>
              </w:rPr>
              <w:t>1</w:t>
            </w:r>
          </w:p>
        </w:tc>
        <w:tc>
          <w:tcPr>
            <w:tcW w:w="1701" w:type="dxa"/>
          </w:tcPr>
          <w:p w14:paraId="2112CB47" w14:textId="0AAD3A0A" w:rsidR="00F12BCC" w:rsidRPr="0018347E" w:rsidRDefault="00667707" w:rsidP="00AE55B8">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October</w:t>
            </w:r>
            <w:r w:rsidR="00314CC3">
              <w:rPr>
                <w:szCs w:val="18"/>
              </w:rPr>
              <w:t xml:space="preserve"> 2019</w:t>
            </w:r>
          </w:p>
        </w:tc>
        <w:tc>
          <w:tcPr>
            <w:tcW w:w="1843" w:type="dxa"/>
          </w:tcPr>
          <w:p w14:paraId="690D1C1C" w14:textId="2318D832" w:rsidR="00F12BCC" w:rsidRPr="0018347E" w:rsidRDefault="00314CC3" w:rsidP="00AE55B8">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10</w:t>
            </w:r>
          </w:p>
        </w:tc>
        <w:tc>
          <w:tcPr>
            <w:tcW w:w="3990" w:type="dxa"/>
          </w:tcPr>
          <w:p w14:paraId="36FC5CA7" w14:textId="1BC42B5E" w:rsidR="00F12BCC" w:rsidRPr="0018347E" w:rsidRDefault="00314CC3"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For publication</w:t>
            </w:r>
          </w:p>
        </w:tc>
      </w:tr>
    </w:tbl>
    <w:p w14:paraId="34F402C4" w14:textId="77777777" w:rsidR="00675D04" w:rsidRDefault="00675D04" w:rsidP="0053157C">
      <w:pPr>
        <w:pStyle w:val="RevisionBoxHeading"/>
      </w:pPr>
    </w:p>
    <w:p w14:paraId="101ADED1" w14:textId="77777777" w:rsidR="00675D04" w:rsidRDefault="00675D04" w:rsidP="00675D04">
      <w:pPr>
        <w:sectPr w:rsidR="00675D04" w:rsidSect="00AE212D">
          <w:headerReference w:type="default" r:id="rId17"/>
          <w:footerReference w:type="default" r:id="rId18"/>
          <w:headerReference w:type="first" r:id="rId19"/>
          <w:endnotePr>
            <w:numFmt w:val="decimal"/>
          </w:endnotePr>
          <w:pgSz w:w="11909" w:h="16834" w:code="9"/>
          <w:pgMar w:top="1418" w:right="1418" w:bottom="709" w:left="1418" w:header="709" w:footer="709" w:gutter="0"/>
          <w:cols w:space="720"/>
          <w:formProt w:val="0"/>
          <w:vAlign w:val="bottom"/>
          <w:docGrid w:linePitch="272"/>
        </w:sectPr>
      </w:pPr>
    </w:p>
    <w:p w14:paraId="71E2A195" w14:textId="77777777" w:rsidR="0072154B" w:rsidRDefault="0072154B" w:rsidP="00F97F6F">
      <w:pPr>
        <w:pStyle w:val="HeadingContents"/>
      </w:pPr>
    </w:p>
    <w:p w14:paraId="1E5DD109"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340E0D0D" w14:textId="425B9169" w:rsidR="00EE1350"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21425762" w:history="1">
        <w:r w:rsidR="00EE1350" w:rsidRPr="00AC3A0D">
          <w:rPr>
            <w:rStyle w:val="Hyperlink"/>
          </w:rPr>
          <w:t>1.</w:t>
        </w:r>
        <w:r w:rsidR="00EE1350">
          <w:rPr>
            <w:rFonts w:eastAsiaTheme="minorEastAsia" w:cstheme="minorBidi"/>
            <w:b w:val="0"/>
            <w:sz w:val="22"/>
            <w:szCs w:val="22"/>
            <w:lang w:eastAsia="en-GB"/>
          </w:rPr>
          <w:tab/>
        </w:r>
        <w:r w:rsidR="00EE1350" w:rsidRPr="00AC3A0D">
          <w:rPr>
            <w:rStyle w:val="Hyperlink"/>
          </w:rPr>
          <w:t>Introduction</w:t>
        </w:r>
        <w:r w:rsidR="00EE1350">
          <w:rPr>
            <w:webHidden/>
          </w:rPr>
          <w:tab/>
        </w:r>
        <w:r w:rsidR="00EE1350">
          <w:rPr>
            <w:webHidden/>
          </w:rPr>
          <w:fldChar w:fldCharType="begin"/>
        </w:r>
        <w:r w:rsidR="00EE1350">
          <w:rPr>
            <w:webHidden/>
          </w:rPr>
          <w:instrText xml:space="preserve"> PAGEREF _Toc21425762 \h </w:instrText>
        </w:r>
        <w:r w:rsidR="00EE1350">
          <w:rPr>
            <w:webHidden/>
          </w:rPr>
        </w:r>
        <w:r w:rsidR="00EE1350">
          <w:rPr>
            <w:webHidden/>
          </w:rPr>
          <w:fldChar w:fldCharType="separate"/>
        </w:r>
        <w:r w:rsidR="00EE1350">
          <w:rPr>
            <w:webHidden/>
          </w:rPr>
          <w:t>1</w:t>
        </w:r>
        <w:r w:rsidR="00EE1350">
          <w:rPr>
            <w:webHidden/>
          </w:rPr>
          <w:fldChar w:fldCharType="end"/>
        </w:r>
      </w:hyperlink>
    </w:p>
    <w:p w14:paraId="1A176FD6" w14:textId="67B3AEF6" w:rsidR="00EE1350" w:rsidRDefault="00EE1350">
      <w:pPr>
        <w:pStyle w:val="TOC2"/>
        <w:rPr>
          <w:rFonts w:eastAsiaTheme="minorEastAsia" w:cstheme="minorBidi"/>
          <w:sz w:val="22"/>
          <w:szCs w:val="22"/>
          <w:lang w:eastAsia="en-GB"/>
        </w:rPr>
      </w:pPr>
      <w:hyperlink w:anchor="_Toc21425763" w:history="1">
        <w:r w:rsidRPr="00AC3A0D">
          <w:rPr>
            <w:rStyle w:val="Hyperlink"/>
          </w:rPr>
          <w:t>1.1</w:t>
        </w:r>
        <w:r>
          <w:rPr>
            <w:rFonts w:eastAsiaTheme="minorEastAsia" w:cstheme="minorBidi"/>
            <w:sz w:val="22"/>
            <w:szCs w:val="22"/>
            <w:lang w:eastAsia="en-GB"/>
          </w:rPr>
          <w:tab/>
        </w:r>
        <w:r w:rsidRPr="00AC3A0D">
          <w:rPr>
            <w:rStyle w:val="Hyperlink"/>
          </w:rPr>
          <w:t>Scope</w:t>
        </w:r>
        <w:r>
          <w:rPr>
            <w:webHidden/>
          </w:rPr>
          <w:tab/>
        </w:r>
        <w:r>
          <w:rPr>
            <w:webHidden/>
          </w:rPr>
          <w:fldChar w:fldCharType="begin"/>
        </w:r>
        <w:r>
          <w:rPr>
            <w:webHidden/>
          </w:rPr>
          <w:instrText xml:space="preserve"> PAGEREF _Toc21425763 \h </w:instrText>
        </w:r>
        <w:r>
          <w:rPr>
            <w:webHidden/>
          </w:rPr>
        </w:r>
        <w:r>
          <w:rPr>
            <w:webHidden/>
          </w:rPr>
          <w:fldChar w:fldCharType="separate"/>
        </w:r>
        <w:r>
          <w:rPr>
            <w:webHidden/>
          </w:rPr>
          <w:t>1</w:t>
        </w:r>
        <w:r>
          <w:rPr>
            <w:webHidden/>
          </w:rPr>
          <w:fldChar w:fldCharType="end"/>
        </w:r>
      </w:hyperlink>
    </w:p>
    <w:p w14:paraId="102A1C7E" w14:textId="7FBFB1D7" w:rsidR="00EE1350" w:rsidRDefault="00EE1350">
      <w:pPr>
        <w:pStyle w:val="TOC2"/>
        <w:rPr>
          <w:rFonts w:eastAsiaTheme="minorEastAsia" w:cstheme="minorBidi"/>
          <w:sz w:val="22"/>
          <w:szCs w:val="22"/>
          <w:lang w:eastAsia="en-GB"/>
        </w:rPr>
      </w:pPr>
      <w:hyperlink w:anchor="_Toc21425764" w:history="1">
        <w:r w:rsidRPr="00AC3A0D">
          <w:rPr>
            <w:rStyle w:val="Hyperlink"/>
          </w:rPr>
          <w:t>1.2</w:t>
        </w:r>
        <w:r>
          <w:rPr>
            <w:rFonts w:eastAsiaTheme="minorEastAsia" w:cstheme="minorBidi"/>
            <w:sz w:val="22"/>
            <w:szCs w:val="22"/>
            <w:lang w:eastAsia="en-GB"/>
          </w:rPr>
          <w:tab/>
        </w:r>
        <w:r w:rsidRPr="00AC3A0D">
          <w:rPr>
            <w:rStyle w:val="Hyperlink"/>
          </w:rPr>
          <w:t>Abbreviations</w:t>
        </w:r>
        <w:r>
          <w:rPr>
            <w:webHidden/>
          </w:rPr>
          <w:tab/>
        </w:r>
        <w:r>
          <w:rPr>
            <w:webHidden/>
          </w:rPr>
          <w:fldChar w:fldCharType="begin"/>
        </w:r>
        <w:r>
          <w:rPr>
            <w:webHidden/>
          </w:rPr>
          <w:instrText xml:space="preserve"> PAGEREF _Toc21425764 \h </w:instrText>
        </w:r>
        <w:r>
          <w:rPr>
            <w:webHidden/>
          </w:rPr>
        </w:r>
        <w:r>
          <w:rPr>
            <w:webHidden/>
          </w:rPr>
          <w:fldChar w:fldCharType="separate"/>
        </w:r>
        <w:r>
          <w:rPr>
            <w:webHidden/>
          </w:rPr>
          <w:t>2</w:t>
        </w:r>
        <w:r>
          <w:rPr>
            <w:webHidden/>
          </w:rPr>
          <w:fldChar w:fldCharType="end"/>
        </w:r>
      </w:hyperlink>
    </w:p>
    <w:p w14:paraId="3A93C6A5" w14:textId="7709138F" w:rsidR="00EE1350" w:rsidRDefault="00EE1350">
      <w:pPr>
        <w:pStyle w:val="TOC1"/>
        <w:rPr>
          <w:rFonts w:eastAsiaTheme="minorEastAsia" w:cstheme="minorBidi"/>
          <w:b w:val="0"/>
          <w:sz w:val="22"/>
          <w:szCs w:val="22"/>
          <w:lang w:eastAsia="en-GB"/>
        </w:rPr>
      </w:pPr>
      <w:hyperlink w:anchor="_Toc21425765" w:history="1">
        <w:r w:rsidRPr="00AC3A0D">
          <w:rPr>
            <w:rStyle w:val="Hyperlink"/>
          </w:rPr>
          <w:t>2.</w:t>
        </w:r>
        <w:r>
          <w:rPr>
            <w:rFonts w:eastAsiaTheme="minorEastAsia" w:cstheme="minorBidi"/>
            <w:b w:val="0"/>
            <w:sz w:val="22"/>
            <w:szCs w:val="22"/>
            <w:lang w:eastAsia="en-GB"/>
          </w:rPr>
          <w:tab/>
        </w:r>
        <w:r w:rsidRPr="00AC3A0D">
          <w:rPr>
            <w:rStyle w:val="Hyperlink"/>
          </w:rPr>
          <w:t>Requirement for Risk Assessment</w:t>
        </w:r>
        <w:r>
          <w:rPr>
            <w:webHidden/>
          </w:rPr>
          <w:tab/>
        </w:r>
        <w:r>
          <w:rPr>
            <w:webHidden/>
          </w:rPr>
          <w:fldChar w:fldCharType="begin"/>
        </w:r>
        <w:r>
          <w:rPr>
            <w:webHidden/>
          </w:rPr>
          <w:instrText xml:space="preserve"> PAGEREF _Toc21425765 \h </w:instrText>
        </w:r>
        <w:r>
          <w:rPr>
            <w:webHidden/>
          </w:rPr>
        </w:r>
        <w:r>
          <w:rPr>
            <w:webHidden/>
          </w:rPr>
          <w:fldChar w:fldCharType="separate"/>
        </w:r>
        <w:r>
          <w:rPr>
            <w:webHidden/>
          </w:rPr>
          <w:t>3</w:t>
        </w:r>
        <w:r>
          <w:rPr>
            <w:webHidden/>
          </w:rPr>
          <w:fldChar w:fldCharType="end"/>
        </w:r>
      </w:hyperlink>
    </w:p>
    <w:p w14:paraId="52387C9C" w14:textId="64365694" w:rsidR="00EE1350" w:rsidRDefault="00EE1350">
      <w:pPr>
        <w:pStyle w:val="TOC1"/>
        <w:rPr>
          <w:rFonts w:eastAsiaTheme="minorEastAsia" w:cstheme="minorBidi"/>
          <w:b w:val="0"/>
          <w:sz w:val="22"/>
          <w:szCs w:val="22"/>
          <w:lang w:eastAsia="en-GB"/>
        </w:rPr>
      </w:pPr>
      <w:hyperlink w:anchor="_Toc21425766" w:history="1">
        <w:r w:rsidRPr="00AC3A0D">
          <w:rPr>
            <w:rStyle w:val="Hyperlink"/>
          </w:rPr>
          <w:t>3.</w:t>
        </w:r>
        <w:r>
          <w:rPr>
            <w:rFonts w:eastAsiaTheme="minorEastAsia" w:cstheme="minorBidi"/>
            <w:b w:val="0"/>
            <w:sz w:val="22"/>
            <w:szCs w:val="22"/>
            <w:lang w:eastAsia="en-GB"/>
          </w:rPr>
          <w:tab/>
        </w:r>
        <w:r w:rsidRPr="00AC3A0D">
          <w:rPr>
            <w:rStyle w:val="Hyperlink"/>
          </w:rPr>
          <w:t>Risk Assessment Methodology</w:t>
        </w:r>
        <w:r>
          <w:rPr>
            <w:webHidden/>
          </w:rPr>
          <w:tab/>
        </w:r>
        <w:r>
          <w:rPr>
            <w:webHidden/>
          </w:rPr>
          <w:fldChar w:fldCharType="begin"/>
        </w:r>
        <w:r>
          <w:rPr>
            <w:webHidden/>
          </w:rPr>
          <w:instrText xml:space="preserve"> PAGEREF _Toc21425766 \h </w:instrText>
        </w:r>
        <w:r>
          <w:rPr>
            <w:webHidden/>
          </w:rPr>
        </w:r>
        <w:r>
          <w:rPr>
            <w:webHidden/>
          </w:rPr>
          <w:fldChar w:fldCharType="separate"/>
        </w:r>
        <w:r>
          <w:rPr>
            <w:webHidden/>
          </w:rPr>
          <w:t>4</w:t>
        </w:r>
        <w:r>
          <w:rPr>
            <w:webHidden/>
          </w:rPr>
          <w:fldChar w:fldCharType="end"/>
        </w:r>
      </w:hyperlink>
    </w:p>
    <w:p w14:paraId="5C115040" w14:textId="2FCF21C4" w:rsidR="00EE1350" w:rsidRDefault="00EE1350">
      <w:pPr>
        <w:pStyle w:val="TOC2"/>
        <w:rPr>
          <w:rFonts w:eastAsiaTheme="minorEastAsia" w:cstheme="minorBidi"/>
          <w:sz w:val="22"/>
          <w:szCs w:val="22"/>
          <w:lang w:eastAsia="en-GB"/>
        </w:rPr>
      </w:pPr>
      <w:hyperlink w:anchor="_Toc21425767" w:history="1">
        <w:r w:rsidRPr="00AC3A0D">
          <w:rPr>
            <w:rStyle w:val="Hyperlink"/>
          </w:rPr>
          <w:t>3.1</w:t>
        </w:r>
        <w:r>
          <w:rPr>
            <w:rFonts w:eastAsiaTheme="minorEastAsia" w:cstheme="minorBidi"/>
            <w:sz w:val="22"/>
            <w:szCs w:val="22"/>
            <w:lang w:eastAsia="en-GB"/>
          </w:rPr>
          <w:tab/>
        </w:r>
        <w:r w:rsidRPr="00AC3A0D">
          <w:rPr>
            <w:rStyle w:val="Hyperlink"/>
          </w:rPr>
          <w:t>Pipeline Failure Causes</w:t>
        </w:r>
        <w:r>
          <w:rPr>
            <w:webHidden/>
          </w:rPr>
          <w:tab/>
        </w:r>
        <w:r>
          <w:rPr>
            <w:webHidden/>
          </w:rPr>
          <w:fldChar w:fldCharType="begin"/>
        </w:r>
        <w:r>
          <w:rPr>
            <w:webHidden/>
          </w:rPr>
          <w:instrText xml:space="preserve"> PAGEREF _Toc21425767 \h </w:instrText>
        </w:r>
        <w:r>
          <w:rPr>
            <w:webHidden/>
          </w:rPr>
        </w:r>
        <w:r>
          <w:rPr>
            <w:webHidden/>
          </w:rPr>
          <w:fldChar w:fldCharType="separate"/>
        </w:r>
        <w:r>
          <w:rPr>
            <w:webHidden/>
          </w:rPr>
          <w:t>4</w:t>
        </w:r>
        <w:r>
          <w:rPr>
            <w:webHidden/>
          </w:rPr>
          <w:fldChar w:fldCharType="end"/>
        </w:r>
      </w:hyperlink>
    </w:p>
    <w:p w14:paraId="1F409074" w14:textId="74222774" w:rsidR="00EE1350" w:rsidRDefault="00EE1350">
      <w:pPr>
        <w:pStyle w:val="TOC2"/>
        <w:rPr>
          <w:rFonts w:eastAsiaTheme="minorEastAsia" w:cstheme="minorBidi"/>
          <w:sz w:val="22"/>
          <w:szCs w:val="22"/>
          <w:lang w:eastAsia="en-GB"/>
        </w:rPr>
      </w:pPr>
      <w:hyperlink w:anchor="_Toc21425768" w:history="1">
        <w:r w:rsidRPr="00AC3A0D">
          <w:rPr>
            <w:rStyle w:val="Hyperlink"/>
          </w:rPr>
          <w:t>3.2</w:t>
        </w:r>
        <w:r>
          <w:rPr>
            <w:rFonts w:eastAsiaTheme="minorEastAsia" w:cstheme="minorBidi"/>
            <w:sz w:val="22"/>
            <w:szCs w:val="22"/>
            <w:lang w:eastAsia="en-GB"/>
          </w:rPr>
          <w:tab/>
        </w:r>
        <w:r w:rsidRPr="00AC3A0D">
          <w:rPr>
            <w:rStyle w:val="Hyperlink"/>
          </w:rPr>
          <w:t>Risk Assessment Process</w:t>
        </w:r>
        <w:r>
          <w:rPr>
            <w:webHidden/>
          </w:rPr>
          <w:tab/>
        </w:r>
        <w:r>
          <w:rPr>
            <w:webHidden/>
          </w:rPr>
          <w:fldChar w:fldCharType="begin"/>
        </w:r>
        <w:r>
          <w:rPr>
            <w:webHidden/>
          </w:rPr>
          <w:instrText xml:space="preserve"> PAGEREF _Toc21425768 \h </w:instrText>
        </w:r>
        <w:r>
          <w:rPr>
            <w:webHidden/>
          </w:rPr>
        </w:r>
        <w:r>
          <w:rPr>
            <w:webHidden/>
          </w:rPr>
          <w:fldChar w:fldCharType="separate"/>
        </w:r>
        <w:r>
          <w:rPr>
            <w:webHidden/>
          </w:rPr>
          <w:t>5</w:t>
        </w:r>
        <w:r>
          <w:rPr>
            <w:webHidden/>
          </w:rPr>
          <w:fldChar w:fldCharType="end"/>
        </w:r>
      </w:hyperlink>
    </w:p>
    <w:p w14:paraId="0AF26685" w14:textId="4E98EEE9" w:rsidR="00EE1350" w:rsidRDefault="00EE1350">
      <w:pPr>
        <w:pStyle w:val="TOC2"/>
        <w:rPr>
          <w:rFonts w:eastAsiaTheme="minorEastAsia" w:cstheme="minorBidi"/>
          <w:sz w:val="22"/>
          <w:szCs w:val="22"/>
          <w:lang w:eastAsia="en-GB"/>
        </w:rPr>
      </w:pPr>
      <w:hyperlink w:anchor="_Toc21425769" w:history="1">
        <w:r w:rsidRPr="00AC3A0D">
          <w:rPr>
            <w:rStyle w:val="Hyperlink"/>
          </w:rPr>
          <w:t>3.3</w:t>
        </w:r>
        <w:r>
          <w:rPr>
            <w:rFonts w:eastAsiaTheme="minorEastAsia" w:cstheme="minorBidi"/>
            <w:sz w:val="22"/>
            <w:szCs w:val="22"/>
            <w:lang w:eastAsia="en-GB"/>
          </w:rPr>
          <w:tab/>
        </w:r>
        <w:r w:rsidRPr="00AC3A0D">
          <w:rPr>
            <w:rStyle w:val="Hyperlink"/>
          </w:rPr>
          <w:t>Quantifying Societal Risk</w:t>
        </w:r>
        <w:r>
          <w:rPr>
            <w:webHidden/>
          </w:rPr>
          <w:tab/>
        </w:r>
        <w:r>
          <w:rPr>
            <w:webHidden/>
          </w:rPr>
          <w:fldChar w:fldCharType="begin"/>
        </w:r>
        <w:r>
          <w:rPr>
            <w:webHidden/>
          </w:rPr>
          <w:instrText xml:space="preserve"> PAGEREF _Toc21425769 \h </w:instrText>
        </w:r>
        <w:r>
          <w:rPr>
            <w:webHidden/>
          </w:rPr>
        </w:r>
        <w:r>
          <w:rPr>
            <w:webHidden/>
          </w:rPr>
          <w:fldChar w:fldCharType="separate"/>
        </w:r>
        <w:r>
          <w:rPr>
            <w:webHidden/>
          </w:rPr>
          <w:t>6</w:t>
        </w:r>
        <w:r>
          <w:rPr>
            <w:webHidden/>
          </w:rPr>
          <w:fldChar w:fldCharType="end"/>
        </w:r>
      </w:hyperlink>
    </w:p>
    <w:p w14:paraId="1053AE86" w14:textId="401AAC64" w:rsidR="00EE1350" w:rsidRDefault="00EE1350">
      <w:pPr>
        <w:pStyle w:val="TOC1"/>
        <w:rPr>
          <w:rFonts w:eastAsiaTheme="minorEastAsia" w:cstheme="minorBidi"/>
          <w:b w:val="0"/>
          <w:sz w:val="22"/>
          <w:szCs w:val="22"/>
          <w:lang w:eastAsia="en-GB"/>
        </w:rPr>
      </w:pPr>
      <w:hyperlink w:anchor="_Toc21425770" w:history="1">
        <w:r w:rsidRPr="00AC3A0D">
          <w:rPr>
            <w:rStyle w:val="Hyperlink"/>
          </w:rPr>
          <w:t>4.</w:t>
        </w:r>
        <w:r>
          <w:rPr>
            <w:rFonts w:eastAsiaTheme="minorEastAsia" w:cstheme="minorBidi"/>
            <w:b w:val="0"/>
            <w:sz w:val="22"/>
            <w:szCs w:val="22"/>
            <w:lang w:eastAsia="en-GB"/>
          </w:rPr>
          <w:tab/>
        </w:r>
        <w:r w:rsidRPr="00AC3A0D">
          <w:rPr>
            <w:rStyle w:val="Hyperlink"/>
          </w:rPr>
          <w:t>Assessing and Managing Societal Risk</w:t>
        </w:r>
        <w:r>
          <w:rPr>
            <w:webHidden/>
          </w:rPr>
          <w:tab/>
        </w:r>
        <w:r>
          <w:rPr>
            <w:webHidden/>
          </w:rPr>
          <w:fldChar w:fldCharType="begin"/>
        </w:r>
        <w:r>
          <w:rPr>
            <w:webHidden/>
          </w:rPr>
          <w:instrText xml:space="preserve"> PAGEREF _Toc21425770 \h </w:instrText>
        </w:r>
        <w:r>
          <w:rPr>
            <w:webHidden/>
          </w:rPr>
        </w:r>
        <w:r>
          <w:rPr>
            <w:webHidden/>
          </w:rPr>
          <w:fldChar w:fldCharType="separate"/>
        </w:r>
        <w:r>
          <w:rPr>
            <w:webHidden/>
          </w:rPr>
          <w:t>7</w:t>
        </w:r>
        <w:r>
          <w:rPr>
            <w:webHidden/>
          </w:rPr>
          <w:fldChar w:fldCharType="end"/>
        </w:r>
      </w:hyperlink>
    </w:p>
    <w:p w14:paraId="755AF29D" w14:textId="6AC802DD" w:rsidR="00EE1350" w:rsidRDefault="00EE1350">
      <w:pPr>
        <w:pStyle w:val="TOC2"/>
        <w:rPr>
          <w:rFonts w:eastAsiaTheme="minorEastAsia" w:cstheme="minorBidi"/>
          <w:sz w:val="22"/>
          <w:szCs w:val="22"/>
          <w:lang w:eastAsia="en-GB"/>
        </w:rPr>
      </w:pPr>
      <w:hyperlink w:anchor="_Toc21425771" w:history="1">
        <w:r w:rsidRPr="00AC3A0D">
          <w:rPr>
            <w:rStyle w:val="Hyperlink"/>
          </w:rPr>
          <w:t>4.1</w:t>
        </w:r>
        <w:r>
          <w:rPr>
            <w:rFonts w:eastAsiaTheme="minorEastAsia" w:cstheme="minorBidi"/>
            <w:sz w:val="22"/>
            <w:szCs w:val="22"/>
            <w:lang w:eastAsia="en-GB"/>
          </w:rPr>
          <w:tab/>
        </w:r>
        <w:r w:rsidRPr="00AC3A0D">
          <w:rPr>
            <w:rStyle w:val="Hyperlink"/>
          </w:rPr>
          <w:t>Multiple Infringement Locations</w:t>
        </w:r>
        <w:r>
          <w:rPr>
            <w:webHidden/>
          </w:rPr>
          <w:tab/>
        </w:r>
        <w:r>
          <w:rPr>
            <w:webHidden/>
          </w:rPr>
          <w:fldChar w:fldCharType="begin"/>
        </w:r>
        <w:r>
          <w:rPr>
            <w:webHidden/>
          </w:rPr>
          <w:instrText xml:space="preserve"> PAGEREF _Toc21425771 \h </w:instrText>
        </w:r>
        <w:r>
          <w:rPr>
            <w:webHidden/>
          </w:rPr>
        </w:r>
        <w:r>
          <w:rPr>
            <w:webHidden/>
          </w:rPr>
          <w:fldChar w:fldCharType="separate"/>
        </w:r>
        <w:r>
          <w:rPr>
            <w:webHidden/>
          </w:rPr>
          <w:t>9</w:t>
        </w:r>
        <w:r>
          <w:rPr>
            <w:webHidden/>
          </w:rPr>
          <w:fldChar w:fldCharType="end"/>
        </w:r>
      </w:hyperlink>
    </w:p>
    <w:p w14:paraId="3D1A6A1F" w14:textId="515CFC89" w:rsidR="00EE1350" w:rsidRDefault="00EE1350">
      <w:pPr>
        <w:pStyle w:val="TOC1"/>
        <w:rPr>
          <w:rFonts w:eastAsiaTheme="minorEastAsia" w:cstheme="minorBidi"/>
          <w:b w:val="0"/>
          <w:sz w:val="22"/>
          <w:szCs w:val="22"/>
          <w:lang w:eastAsia="en-GB"/>
        </w:rPr>
      </w:pPr>
      <w:hyperlink w:anchor="_Toc21425772" w:history="1">
        <w:r w:rsidRPr="00AC3A0D">
          <w:rPr>
            <w:rStyle w:val="Hyperlink"/>
          </w:rPr>
          <w:t>5.</w:t>
        </w:r>
        <w:r>
          <w:rPr>
            <w:rFonts w:eastAsiaTheme="minorEastAsia" w:cstheme="minorBidi"/>
            <w:b w:val="0"/>
            <w:sz w:val="22"/>
            <w:szCs w:val="22"/>
            <w:lang w:eastAsia="en-GB"/>
          </w:rPr>
          <w:tab/>
        </w:r>
        <w:r w:rsidRPr="00AC3A0D">
          <w:rPr>
            <w:rStyle w:val="Hyperlink"/>
          </w:rPr>
          <w:t>References</w:t>
        </w:r>
        <w:r>
          <w:rPr>
            <w:webHidden/>
          </w:rPr>
          <w:tab/>
        </w:r>
        <w:r>
          <w:rPr>
            <w:webHidden/>
          </w:rPr>
          <w:fldChar w:fldCharType="begin"/>
        </w:r>
        <w:r>
          <w:rPr>
            <w:webHidden/>
          </w:rPr>
          <w:instrText xml:space="preserve"> PAGEREF _Toc21425772 \h </w:instrText>
        </w:r>
        <w:r>
          <w:rPr>
            <w:webHidden/>
          </w:rPr>
        </w:r>
        <w:r>
          <w:rPr>
            <w:webHidden/>
          </w:rPr>
          <w:fldChar w:fldCharType="separate"/>
        </w:r>
        <w:r>
          <w:rPr>
            <w:webHidden/>
          </w:rPr>
          <w:t>10</w:t>
        </w:r>
        <w:r>
          <w:rPr>
            <w:webHidden/>
          </w:rPr>
          <w:fldChar w:fldCharType="end"/>
        </w:r>
      </w:hyperlink>
    </w:p>
    <w:p w14:paraId="1B552760" w14:textId="1F2A47B7" w:rsidR="00F97F6F" w:rsidRDefault="0095301A" w:rsidP="00805A9C">
      <w:r>
        <w:rPr>
          <w:noProof/>
        </w:rPr>
        <w:fldChar w:fldCharType="end"/>
      </w:r>
    </w:p>
    <w:p w14:paraId="2CD4532F" w14:textId="77777777" w:rsidR="00B16B51" w:rsidRPr="00805A9C" w:rsidRDefault="00B16B51" w:rsidP="00805A9C">
      <w:pPr>
        <w:sectPr w:rsidR="00B16B51" w:rsidRPr="00805A9C" w:rsidSect="007D70C0">
          <w:headerReference w:type="default" r:id="rId20"/>
          <w:footerReference w:type="default" r:id="rId21"/>
          <w:endnotePr>
            <w:numFmt w:val="decimal"/>
          </w:endnotePr>
          <w:pgSz w:w="11909" w:h="16834" w:code="9"/>
          <w:pgMar w:top="1952" w:right="1418" w:bottom="709" w:left="1418" w:header="709" w:footer="706" w:gutter="0"/>
          <w:cols w:space="720"/>
          <w:formProt w:val="0"/>
          <w:docGrid w:linePitch="272"/>
        </w:sectPr>
      </w:pPr>
    </w:p>
    <w:p w14:paraId="68880C96" w14:textId="323F3A55" w:rsidR="005968BD" w:rsidRDefault="00C77FAD" w:rsidP="008E4FFC">
      <w:pPr>
        <w:pStyle w:val="Heading1"/>
      </w:pPr>
      <w:bookmarkStart w:id="0" w:name="_Toc21425762"/>
      <w:r>
        <w:lastRenderedPageBreak/>
        <w:t>Introduction</w:t>
      </w:r>
      <w:bookmarkEnd w:id="0"/>
    </w:p>
    <w:p w14:paraId="187E132C" w14:textId="1A4B31D7" w:rsidR="00CC6D83" w:rsidRDefault="00CC6D83" w:rsidP="00CC6D83">
      <w:pPr>
        <w:pStyle w:val="BodyText"/>
      </w:pPr>
      <w:r>
        <w:t>A number of the member companies of UKOPA are responsible for managing steel pipelines which transport high gas at pressures up to 94 bar. High pressure pipelines are major hazard assets and so are subject to safety legislation including the Pipelines Safety Regulations (PSR)</w:t>
      </w:r>
      <w:sdt>
        <w:sdtPr>
          <w:id w:val="1946038663"/>
          <w:citation/>
        </w:sdtPr>
        <w:sdtEndPr/>
        <w:sdtContent>
          <w:r>
            <w:fldChar w:fldCharType="begin"/>
          </w:r>
          <w:r>
            <w:instrText xml:space="preserve"> CITATION PSR96 \l 2057 </w:instrText>
          </w:r>
          <w:r>
            <w:fldChar w:fldCharType="separate"/>
          </w:r>
          <w:r w:rsidR="00EE1350">
            <w:rPr>
              <w:noProof/>
            </w:rPr>
            <w:t xml:space="preserve"> [1]</w:t>
          </w:r>
          <w:r>
            <w:fldChar w:fldCharType="end"/>
          </w:r>
        </w:sdtContent>
      </w:sdt>
      <w:r>
        <w:t xml:space="preserve"> which formally classify natural gas pipelines operating at above 8 bar absolute as Major Accident Hazard Pipelines (MAHPs). </w:t>
      </w:r>
    </w:p>
    <w:p w14:paraId="37B22EB7" w14:textId="3A28FB5F" w:rsidR="00CC6D83" w:rsidRDefault="00CC6D83" w:rsidP="00CC6D83">
      <w:pPr>
        <w:pStyle w:val="BodyText"/>
      </w:pPr>
      <w:r>
        <w:t xml:space="preserve">Failure of these pipelines could give rise to major incidents involving the release of </w:t>
      </w:r>
      <w:r w:rsidR="00667707">
        <w:t>high-pressure</w:t>
      </w:r>
      <w:r>
        <w:t xml:space="preserve"> gas resulting in the release of energy potentially leading to the production of missiles and a jet fire if the released gas ignites. This may result in the death and injury of individuals located in the vicinity of these pipelines. This could include: local residents; individuals working in local offices; factories; shops or individuals located in located in schools and hospitals close to the pipeline. </w:t>
      </w:r>
    </w:p>
    <w:p w14:paraId="5E410192" w14:textId="11218055" w:rsidR="00CC6D83" w:rsidRDefault="00CC6D83" w:rsidP="00CC6D83">
      <w:pPr>
        <w:pStyle w:val="BodyText"/>
      </w:pPr>
      <w:r>
        <w:t xml:space="preserve">Pipeline operators have a duty under </w:t>
      </w:r>
      <w:r w:rsidRPr="00667707">
        <w:t xml:space="preserve">the </w:t>
      </w:r>
      <w:r w:rsidR="00667707">
        <w:t>PSR</w:t>
      </w:r>
      <w:r w:rsidRPr="00667707">
        <w:t xml:space="preserve"> to manage</w:t>
      </w:r>
      <w:r>
        <w:t xml:space="preserve"> the risks associated with MAHPs. A key aspect of this risk for high pressure gas pipelines is managing societal risk, i.e. managing the likelihood and consequences of incidents that could result in multiple casualties and or fatalities. </w:t>
      </w:r>
    </w:p>
    <w:p w14:paraId="1596D946" w14:textId="13228A4B" w:rsidR="00CC6D83" w:rsidRDefault="00F719F0" w:rsidP="00CC6D83">
      <w:pPr>
        <w:pStyle w:val="BodyText"/>
      </w:pPr>
      <w:r>
        <w:t xml:space="preserve">Operators of high pressure natural gas pipelines generally meet this duty by </w:t>
      </w:r>
      <w:r w:rsidRPr="00C80602">
        <w:t>designing, constructing</w:t>
      </w:r>
      <w:r>
        <w:t xml:space="preserve">, operating and maintaining their </w:t>
      </w:r>
      <w:r w:rsidRPr="00C80602">
        <w:t>pipelines in line w</w:t>
      </w:r>
      <w:r>
        <w:t xml:space="preserve">ith recognised industry good practice, such as </w:t>
      </w:r>
      <w:r w:rsidR="003E5906">
        <w:t xml:space="preserve">the </w:t>
      </w:r>
      <w:r>
        <w:t>IGEM/TD/1</w:t>
      </w:r>
      <w:sdt>
        <w:sdtPr>
          <w:id w:val="-1707564108"/>
          <w:citation/>
        </w:sdtPr>
        <w:sdtEndPr/>
        <w:sdtContent>
          <w:r>
            <w:fldChar w:fldCharType="begin"/>
          </w:r>
          <w:r>
            <w:instrText xml:space="preserve"> CITATION TD1_Ed5 \l 2057 </w:instrText>
          </w:r>
          <w:r>
            <w:fldChar w:fldCharType="separate"/>
          </w:r>
          <w:r w:rsidR="00EE1350">
            <w:rPr>
              <w:noProof/>
            </w:rPr>
            <w:t xml:space="preserve"> [2]</w:t>
          </w:r>
          <w:r>
            <w:fldChar w:fldCharType="end"/>
          </w:r>
        </w:sdtContent>
      </w:sdt>
      <w:r>
        <w:t xml:space="preserve"> and IGEM/TD/3</w:t>
      </w:r>
      <w:sdt>
        <w:sdtPr>
          <w:id w:val="1799027154"/>
          <w:citation/>
        </w:sdtPr>
        <w:sdtEndPr/>
        <w:sdtContent>
          <w:r>
            <w:fldChar w:fldCharType="begin"/>
          </w:r>
          <w:r>
            <w:instrText xml:space="preserve"> CITATION TD3_Ed5 \l 2057 </w:instrText>
          </w:r>
          <w:r>
            <w:fldChar w:fldCharType="separate"/>
          </w:r>
          <w:r w:rsidR="00EE1350">
            <w:rPr>
              <w:noProof/>
            </w:rPr>
            <w:t xml:space="preserve"> [3]</w:t>
          </w:r>
          <w:r>
            <w:fldChar w:fldCharType="end"/>
          </w:r>
        </w:sdtContent>
      </w:sdt>
      <w:r w:rsidR="003E5906">
        <w:t xml:space="preserve"> pipeline standards. Societal risk is considered to be broadly acceptable where these standards are met and the management of societal risk is typically concentrated on areas where these standards are or will be infringed.</w:t>
      </w:r>
    </w:p>
    <w:p w14:paraId="137C3135" w14:textId="4C6D698D" w:rsidR="00F719F0" w:rsidRDefault="003E5906" w:rsidP="00CC6D83">
      <w:pPr>
        <w:pStyle w:val="BodyText"/>
      </w:pPr>
      <w:r>
        <w:t>Guidance on pipeline quantitative risk assessment (QRA) is available in IGEM/TD/2</w:t>
      </w:r>
      <w:sdt>
        <w:sdtPr>
          <w:id w:val="-1290193859"/>
          <w:citation/>
        </w:sdtPr>
        <w:sdtEndPr/>
        <w:sdtContent>
          <w:r>
            <w:fldChar w:fldCharType="begin"/>
          </w:r>
          <w:r>
            <w:instrText xml:space="preserve"> CITATION TD2_Ed2 \l 2057 </w:instrText>
          </w:r>
          <w:r>
            <w:fldChar w:fldCharType="separate"/>
          </w:r>
          <w:r>
            <w:rPr>
              <w:noProof/>
            </w:rPr>
            <w:t xml:space="preserve"> [4]</w:t>
          </w:r>
          <w:r>
            <w:fldChar w:fldCharType="end"/>
          </w:r>
        </w:sdtContent>
      </w:sdt>
      <w:r>
        <w:t xml:space="preserve"> and this TBN provides additional guidance on how societal risk in the vicinity of high pressure gas pipelines can be managed to ensure that these risks can be demonstrated to be As Low As Reasonably Practicable (ALARP), based on an original National Grid internal document.</w:t>
      </w:r>
    </w:p>
    <w:p w14:paraId="7025E349" w14:textId="72FD6AC2" w:rsidR="00CC6D83" w:rsidRDefault="00CC6D83" w:rsidP="004C7306">
      <w:pPr>
        <w:pStyle w:val="Heading2"/>
      </w:pPr>
      <w:bookmarkStart w:id="1" w:name="_Toc21425763"/>
      <w:r>
        <w:t>Scope</w:t>
      </w:r>
      <w:bookmarkEnd w:id="1"/>
    </w:p>
    <w:p w14:paraId="12AE057E" w14:textId="21200D4B" w:rsidR="00CC6D83" w:rsidRPr="00903EC5" w:rsidRDefault="00CC6D83" w:rsidP="00CC6D83">
      <w:pPr>
        <w:pStyle w:val="BodyText"/>
      </w:pPr>
      <w:r w:rsidRPr="00903EC5">
        <w:t xml:space="preserve">The guidance in this document is applicable to buried pipelines operated by the UKOPA member </w:t>
      </w:r>
      <w:r>
        <w:t>containing dry natural gas with Maximum Operating Pressures (MOP) above 7 barg.</w:t>
      </w:r>
    </w:p>
    <w:p w14:paraId="794AB2BE" w14:textId="77777777" w:rsidR="00667707" w:rsidRDefault="00667707">
      <w:pPr>
        <w:suppressAutoHyphens w:val="0"/>
        <w:spacing w:before="0" w:after="0"/>
        <w:jc w:val="left"/>
        <w:rPr>
          <w:rFonts w:asciiTheme="majorHAnsi" w:hAnsiTheme="majorHAnsi"/>
          <w:b/>
          <w:color w:val="00243A"/>
        </w:rPr>
      </w:pPr>
      <w:r>
        <w:br w:type="page"/>
      </w:r>
    </w:p>
    <w:p w14:paraId="1C7508E6" w14:textId="116F638C" w:rsidR="00C85B1B" w:rsidRDefault="00C85B1B" w:rsidP="004C7306">
      <w:pPr>
        <w:pStyle w:val="Heading2"/>
      </w:pPr>
      <w:bookmarkStart w:id="2" w:name="_Toc21425764"/>
      <w:r>
        <w:lastRenderedPageBreak/>
        <w:t>Abbreviations</w:t>
      </w:r>
      <w:bookmarkEnd w:id="2"/>
    </w:p>
    <w:tbl>
      <w:tblPr>
        <w:tblStyle w:val="TableGrid"/>
        <w:tblW w:w="0" w:type="auto"/>
        <w:jc w:val="lef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254"/>
        <w:gridCol w:w="5408"/>
      </w:tblGrid>
      <w:tr w:rsidR="00C51F88" w:rsidRPr="003E5906" w14:paraId="33AEB5D1"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478ECACB" w14:textId="77777777" w:rsidR="00C51F88" w:rsidRPr="003E5906" w:rsidRDefault="00C51F88" w:rsidP="00BA198E">
            <w:pPr>
              <w:keepNext w:val="0"/>
              <w:keepLines w:val="0"/>
              <w:rPr>
                <w:rFonts w:cstheme="minorHAnsi"/>
                <w:sz w:val="20"/>
              </w:rPr>
            </w:pPr>
            <w:r w:rsidRPr="003E5906">
              <w:rPr>
                <w:rFonts w:cstheme="minorHAnsi"/>
                <w:sz w:val="20"/>
              </w:rPr>
              <w:t>ALARP</w:t>
            </w:r>
          </w:p>
        </w:tc>
        <w:tc>
          <w:tcPr>
            <w:tcW w:w="5408" w:type="dxa"/>
          </w:tcPr>
          <w:p w14:paraId="4C0695D4" w14:textId="77777777" w:rsidR="00C51F88" w:rsidRPr="003E5906"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As Low as Reasonably Practicable</w:t>
            </w:r>
          </w:p>
        </w:tc>
      </w:tr>
      <w:tr w:rsidR="00E705C4" w:rsidRPr="003E5906" w14:paraId="72F6BB69"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7BAFD859" w14:textId="238D4D68" w:rsidR="00E705C4" w:rsidRPr="00E705C4" w:rsidRDefault="00E705C4" w:rsidP="00BA198E">
            <w:pPr>
              <w:rPr>
                <w:rFonts w:cstheme="minorHAnsi"/>
                <w:sz w:val="20"/>
              </w:rPr>
            </w:pPr>
            <w:r w:rsidRPr="00E705C4">
              <w:rPr>
                <w:rFonts w:cstheme="minorHAnsi"/>
                <w:sz w:val="20"/>
              </w:rPr>
              <w:t>EGIG</w:t>
            </w:r>
          </w:p>
        </w:tc>
        <w:tc>
          <w:tcPr>
            <w:tcW w:w="5408" w:type="dxa"/>
          </w:tcPr>
          <w:p w14:paraId="240BC7A5" w14:textId="38AE4856" w:rsidR="00E705C4" w:rsidRPr="00E705C4" w:rsidRDefault="00E705C4"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E705C4">
              <w:rPr>
                <w:rFonts w:cstheme="minorHAnsi"/>
                <w:sz w:val="20"/>
              </w:rPr>
              <w:t>European Gas pipeline Incident data Group</w:t>
            </w:r>
          </w:p>
        </w:tc>
      </w:tr>
      <w:tr w:rsidR="008D37D1" w:rsidRPr="003E5906" w14:paraId="1FA019B3"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73E4E13" w14:textId="3C416CFA" w:rsidR="008D37D1" w:rsidRPr="008D37D1" w:rsidRDefault="008D37D1" w:rsidP="00BA198E">
            <w:pPr>
              <w:rPr>
                <w:rFonts w:cstheme="minorHAnsi"/>
                <w:sz w:val="20"/>
              </w:rPr>
            </w:pPr>
            <w:r w:rsidRPr="008D37D1">
              <w:rPr>
                <w:rFonts w:cstheme="minorHAnsi"/>
                <w:sz w:val="20"/>
              </w:rPr>
              <w:t>EV</w:t>
            </w:r>
          </w:p>
        </w:tc>
        <w:tc>
          <w:tcPr>
            <w:tcW w:w="5408" w:type="dxa"/>
          </w:tcPr>
          <w:p w14:paraId="7C45DF9A" w14:textId="095BD9BE" w:rsidR="008D37D1" w:rsidRPr="008D37D1" w:rsidRDefault="008D37D1"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8D37D1">
              <w:rPr>
                <w:rFonts w:cstheme="minorHAnsi"/>
                <w:sz w:val="20"/>
              </w:rPr>
              <w:t>Expectation Value</w:t>
            </w:r>
          </w:p>
        </w:tc>
      </w:tr>
      <w:tr w:rsidR="00C51F88" w:rsidRPr="003E5906" w14:paraId="655C7C0A"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4FD5150" w14:textId="77777777" w:rsidR="00C51F88" w:rsidRPr="003E5906" w:rsidRDefault="00C51F88" w:rsidP="00BA198E">
            <w:pPr>
              <w:keepNext w:val="0"/>
              <w:keepLines w:val="0"/>
              <w:rPr>
                <w:rFonts w:cstheme="minorHAnsi"/>
                <w:sz w:val="20"/>
              </w:rPr>
            </w:pPr>
            <w:r w:rsidRPr="003E5906">
              <w:rPr>
                <w:rFonts w:cstheme="minorHAnsi"/>
                <w:sz w:val="20"/>
              </w:rPr>
              <w:t>HSE</w:t>
            </w:r>
          </w:p>
        </w:tc>
        <w:tc>
          <w:tcPr>
            <w:tcW w:w="5408" w:type="dxa"/>
          </w:tcPr>
          <w:p w14:paraId="65255C8D" w14:textId="57FDA778" w:rsidR="00C51F88" w:rsidRPr="003E5906"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Health and Safety Executive</w:t>
            </w:r>
          </w:p>
        </w:tc>
      </w:tr>
      <w:tr w:rsidR="00C51F88" w:rsidRPr="003E5906" w14:paraId="4F2777B0"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280F7E46" w14:textId="77777777" w:rsidR="00C51F88" w:rsidRPr="003E5906" w:rsidRDefault="00C51F88" w:rsidP="00BA198E">
            <w:pPr>
              <w:keepNext w:val="0"/>
              <w:keepLines w:val="0"/>
              <w:rPr>
                <w:rFonts w:cstheme="minorHAnsi"/>
                <w:sz w:val="20"/>
              </w:rPr>
            </w:pPr>
            <w:r w:rsidRPr="003E5906">
              <w:rPr>
                <w:rFonts w:cstheme="minorHAnsi"/>
                <w:sz w:val="20"/>
              </w:rPr>
              <w:t>IGEM</w:t>
            </w:r>
          </w:p>
        </w:tc>
        <w:tc>
          <w:tcPr>
            <w:tcW w:w="5408" w:type="dxa"/>
          </w:tcPr>
          <w:p w14:paraId="756C19D2" w14:textId="77777777" w:rsidR="00C51F88" w:rsidRPr="003E5906"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 xml:space="preserve">Institution of Gas Engineers &amp; Managers </w:t>
            </w:r>
          </w:p>
        </w:tc>
      </w:tr>
      <w:tr w:rsidR="008637D1" w:rsidRPr="003E5906" w14:paraId="28BABD4D"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154AA381" w14:textId="2C8F61B9" w:rsidR="008637D1" w:rsidRPr="003E5906" w:rsidRDefault="008637D1" w:rsidP="00BA198E">
            <w:pPr>
              <w:rPr>
                <w:rFonts w:cstheme="minorHAnsi"/>
                <w:sz w:val="20"/>
              </w:rPr>
            </w:pPr>
            <w:r w:rsidRPr="003E5906">
              <w:rPr>
                <w:rFonts w:cstheme="minorHAnsi"/>
                <w:sz w:val="20"/>
              </w:rPr>
              <w:t>MAHP</w:t>
            </w:r>
          </w:p>
        </w:tc>
        <w:tc>
          <w:tcPr>
            <w:tcW w:w="5408" w:type="dxa"/>
          </w:tcPr>
          <w:p w14:paraId="6B6F5272" w14:textId="567E1080" w:rsidR="008637D1" w:rsidRPr="003E5906" w:rsidRDefault="008637D1"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Major Accident Hazard Pipeline</w:t>
            </w:r>
          </w:p>
        </w:tc>
      </w:tr>
      <w:tr w:rsidR="003E5906" w:rsidRPr="003E5906" w14:paraId="13B2CA4B"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1A5D2C40" w14:textId="68BA4A54" w:rsidR="003E5906" w:rsidRPr="003E5906" w:rsidRDefault="003E5906" w:rsidP="00BA198E">
            <w:pPr>
              <w:rPr>
                <w:rFonts w:cstheme="minorHAnsi"/>
                <w:sz w:val="20"/>
              </w:rPr>
            </w:pPr>
            <w:r w:rsidRPr="003E5906">
              <w:rPr>
                <w:rFonts w:cstheme="minorHAnsi"/>
                <w:sz w:val="20"/>
              </w:rPr>
              <w:t>MAPD</w:t>
            </w:r>
          </w:p>
        </w:tc>
        <w:tc>
          <w:tcPr>
            <w:tcW w:w="5408" w:type="dxa"/>
          </w:tcPr>
          <w:p w14:paraId="037752DE" w14:textId="384F55BA" w:rsidR="003E5906" w:rsidRPr="003E5906" w:rsidRDefault="003E5906"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Major Accident Prevention Document</w:t>
            </w:r>
          </w:p>
        </w:tc>
      </w:tr>
      <w:tr w:rsidR="00C51F88" w:rsidRPr="003E5906" w14:paraId="0B85CC9B"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5F77B430" w14:textId="24488F4C" w:rsidR="00C51F88" w:rsidRPr="003E5906" w:rsidRDefault="00C51F88" w:rsidP="00BA198E">
            <w:pPr>
              <w:keepNext w:val="0"/>
              <w:keepLines w:val="0"/>
              <w:rPr>
                <w:rFonts w:cstheme="minorHAnsi"/>
                <w:sz w:val="20"/>
              </w:rPr>
            </w:pPr>
            <w:r w:rsidRPr="003E5906">
              <w:rPr>
                <w:rFonts w:cstheme="minorHAnsi"/>
                <w:sz w:val="20"/>
              </w:rPr>
              <w:t>MOP</w:t>
            </w:r>
          </w:p>
        </w:tc>
        <w:tc>
          <w:tcPr>
            <w:tcW w:w="5408" w:type="dxa"/>
          </w:tcPr>
          <w:p w14:paraId="0E486CE2" w14:textId="2B68E253" w:rsidR="00C51F88" w:rsidRPr="003E5906"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Maximum Operating Pressure</w:t>
            </w:r>
          </w:p>
        </w:tc>
      </w:tr>
      <w:tr w:rsidR="008D37D1" w:rsidRPr="003E5906" w14:paraId="1FA8961C"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1B8CEB66" w14:textId="277D2143" w:rsidR="008D37D1" w:rsidRPr="008D37D1" w:rsidRDefault="008D37D1" w:rsidP="00BA198E">
            <w:pPr>
              <w:rPr>
                <w:rFonts w:cstheme="minorHAnsi"/>
                <w:sz w:val="20"/>
              </w:rPr>
            </w:pPr>
            <w:r w:rsidRPr="008D37D1">
              <w:rPr>
                <w:rFonts w:cstheme="minorHAnsi"/>
                <w:sz w:val="20"/>
              </w:rPr>
              <w:t>PLL</w:t>
            </w:r>
          </w:p>
        </w:tc>
        <w:tc>
          <w:tcPr>
            <w:tcW w:w="5408" w:type="dxa"/>
          </w:tcPr>
          <w:p w14:paraId="082F7503" w14:textId="1F2192D0" w:rsidR="008D37D1" w:rsidRPr="008D37D1" w:rsidRDefault="008D37D1"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8D37D1">
              <w:rPr>
                <w:rFonts w:cstheme="minorHAnsi"/>
                <w:sz w:val="20"/>
              </w:rPr>
              <w:t>Potential Loss of Life</w:t>
            </w:r>
          </w:p>
        </w:tc>
      </w:tr>
      <w:tr w:rsidR="00CC6D83" w:rsidRPr="003E5906" w14:paraId="61FBE039"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9E7B25A" w14:textId="6CFAE2B1" w:rsidR="00CC6D83" w:rsidRPr="003E5906" w:rsidRDefault="00CC6D83" w:rsidP="00BA198E">
            <w:pPr>
              <w:rPr>
                <w:rFonts w:cstheme="minorHAnsi"/>
                <w:sz w:val="20"/>
              </w:rPr>
            </w:pPr>
            <w:r w:rsidRPr="003E5906">
              <w:rPr>
                <w:rFonts w:cstheme="minorHAnsi"/>
                <w:sz w:val="20"/>
              </w:rPr>
              <w:t>PSR</w:t>
            </w:r>
          </w:p>
        </w:tc>
        <w:tc>
          <w:tcPr>
            <w:tcW w:w="5408" w:type="dxa"/>
          </w:tcPr>
          <w:p w14:paraId="78B20F24" w14:textId="1D4C197D" w:rsidR="00CC6D83" w:rsidRPr="003E5906" w:rsidRDefault="00CC6D83"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Pipeline</w:t>
            </w:r>
            <w:r w:rsidR="00667707">
              <w:rPr>
                <w:rFonts w:cstheme="minorHAnsi"/>
                <w:sz w:val="20"/>
              </w:rPr>
              <w:t>s</w:t>
            </w:r>
            <w:r w:rsidRPr="003E5906">
              <w:rPr>
                <w:rFonts w:cstheme="minorHAnsi"/>
                <w:sz w:val="20"/>
              </w:rPr>
              <w:t xml:space="preserve"> Safety Regulations</w:t>
            </w:r>
          </w:p>
        </w:tc>
      </w:tr>
      <w:tr w:rsidR="003E5906" w:rsidRPr="003E5906" w14:paraId="35789782"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4C9F8D20" w14:textId="5D8A4288" w:rsidR="003E5906" w:rsidRPr="003E5906" w:rsidRDefault="003E5906" w:rsidP="00BA198E">
            <w:pPr>
              <w:rPr>
                <w:rFonts w:cstheme="minorHAnsi"/>
                <w:sz w:val="20"/>
              </w:rPr>
            </w:pPr>
            <w:r w:rsidRPr="003E5906">
              <w:rPr>
                <w:rFonts w:cstheme="minorHAnsi"/>
                <w:sz w:val="20"/>
              </w:rPr>
              <w:t>QRA</w:t>
            </w:r>
          </w:p>
        </w:tc>
        <w:tc>
          <w:tcPr>
            <w:tcW w:w="5408" w:type="dxa"/>
          </w:tcPr>
          <w:p w14:paraId="1FF5D852" w14:textId="4582FD80" w:rsidR="003E5906" w:rsidRPr="003E5906" w:rsidRDefault="003E5906"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Quantitative Risk Assessment</w:t>
            </w:r>
          </w:p>
        </w:tc>
      </w:tr>
      <w:tr w:rsidR="00635F39" w:rsidRPr="003E5906" w14:paraId="75B187F2"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771FE49" w14:textId="26DA6D9D" w:rsidR="00635F39" w:rsidRPr="003E5906" w:rsidRDefault="00635F39" w:rsidP="00BA198E">
            <w:pPr>
              <w:rPr>
                <w:rFonts w:cstheme="minorHAnsi"/>
                <w:sz w:val="20"/>
              </w:rPr>
            </w:pPr>
            <w:r w:rsidRPr="003E5906">
              <w:rPr>
                <w:rFonts w:cstheme="minorHAnsi"/>
                <w:sz w:val="20"/>
              </w:rPr>
              <w:t>SMYS</w:t>
            </w:r>
          </w:p>
        </w:tc>
        <w:tc>
          <w:tcPr>
            <w:tcW w:w="5408" w:type="dxa"/>
          </w:tcPr>
          <w:p w14:paraId="3B34DA90" w14:textId="671E19BE" w:rsidR="00635F39" w:rsidRPr="003E5906" w:rsidRDefault="00635F39"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Specified Minimum Yield Strength</w:t>
            </w:r>
          </w:p>
        </w:tc>
      </w:tr>
      <w:tr w:rsidR="00C51F88" w:rsidRPr="003E5906" w14:paraId="7FE9043A"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23AAA92" w14:textId="77777777" w:rsidR="00C51F88" w:rsidRPr="003E5906" w:rsidRDefault="00C51F88" w:rsidP="00BA198E">
            <w:pPr>
              <w:keepNext w:val="0"/>
              <w:keepLines w:val="0"/>
              <w:rPr>
                <w:rFonts w:cstheme="minorHAnsi"/>
                <w:sz w:val="20"/>
              </w:rPr>
            </w:pPr>
            <w:r w:rsidRPr="003E5906">
              <w:rPr>
                <w:rFonts w:cstheme="minorHAnsi"/>
                <w:sz w:val="20"/>
              </w:rPr>
              <w:t>UKOPA</w:t>
            </w:r>
          </w:p>
        </w:tc>
        <w:tc>
          <w:tcPr>
            <w:tcW w:w="5408" w:type="dxa"/>
          </w:tcPr>
          <w:p w14:paraId="1FAE61C2" w14:textId="77777777" w:rsidR="00C51F88" w:rsidRPr="003E5906"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3E5906">
              <w:rPr>
                <w:rFonts w:cstheme="minorHAnsi"/>
                <w:sz w:val="20"/>
              </w:rPr>
              <w:t xml:space="preserve">United Kingdom Onshore Pipeline Operators’ Association </w:t>
            </w:r>
          </w:p>
        </w:tc>
      </w:tr>
    </w:tbl>
    <w:p w14:paraId="5AEA3B69" w14:textId="62CF477B" w:rsidR="00C51F88" w:rsidRDefault="00CC6D83" w:rsidP="00CC6D83">
      <w:pPr>
        <w:pStyle w:val="Heading1"/>
      </w:pPr>
      <w:bookmarkStart w:id="3" w:name="_Ref534650754"/>
      <w:bookmarkStart w:id="4" w:name="_Toc21425765"/>
      <w:r>
        <w:lastRenderedPageBreak/>
        <w:t>Requirement for Risk Assessment</w:t>
      </w:r>
      <w:bookmarkEnd w:id="3"/>
      <w:bookmarkEnd w:id="4"/>
    </w:p>
    <w:p w14:paraId="08EB2CA2" w14:textId="63CC03E4" w:rsidR="00CC6D83" w:rsidRDefault="00CC6D83" w:rsidP="00CC6D83">
      <w:pPr>
        <w:pStyle w:val="BodyText"/>
      </w:pPr>
      <w:r>
        <w:t>The Pipeline</w:t>
      </w:r>
      <w:r w:rsidR="00667707">
        <w:t>s</w:t>
      </w:r>
      <w:r>
        <w:t xml:space="preserve"> Safety Regulations</w:t>
      </w:r>
      <w:r w:rsidR="003E5906">
        <w:t xml:space="preserve"> (PSR)</w:t>
      </w:r>
      <w:sdt>
        <w:sdtPr>
          <w:id w:val="500631449"/>
          <w:citation/>
        </w:sdtPr>
        <w:sdtEndPr/>
        <w:sdtContent>
          <w:r w:rsidR="003E5906">
            <w:fldChar w:fldCharType="begin"/>
          </w:r>
          <w:r w:rsidR="003E5906">
            <w:instrText xml:space="preserve"> CITATION PSR96 \l 2057 </w:instrText>
          </w:r>
          <w:r w:rsidR="003E5906">
            <w:fldChar w:fldCharType="separate"/>
          </w:r>
          <w:r w:rsidR="003E5906">
            <w:rPr>
              <w:noProof/>
            </w:rPr>
            <w:t xml:space="preserve"> [1]</w:t>
          </w:r>
          <w:r w:rsidR="003E5906">
            <w:fldChar w:fldCharType="end"/>
          </w:r>
        </w:sdtContent>
      </w:sdt>
      <w:r>
        <w:t xml:space="preserve"> puts the responsibility on the duty holder to manage the risks associated with their assets. This responsibility includes a requirement </w:t>
      </w:r>
      <w:r w:rsidRPr="00C80602">
        <w:t>on the duty holder to understa</w:t>
      </w:r>
      <w:r>
        <w:t>nd the risks associated with their</w:t>
      </w:r>
      <w:r w:rsidRPr="00C80602">
        <w:t xml:space="preserve"> operations and to ensure that these risks have been made </w:t>
      </w:r>
      <w:proofErr w:type="spellStart"/>
      <w:r w:rsidRPr="00C80602">
        <w:t>ALARP</w:t>
      </w:r>
      <w:proofErr w:type="spellEnd"/>
      <w:r w:rsidRPr="00C80602">
        <w:t xml:space="preserve">. </w:t>
      </w:r>
    </w:p>
    <w:p w14:paraId="411BF115" w14:textId="0AD100C9" w:rsidR="00CC6D83" w:rsidRDefault="00CC6D83" w:rsidP="00CC6D83">
      <w:pPr>
        <w:pStyle w:val="BodyText"/>
      </w:pPr>
      <w:r w:rsidRPr="00C80602">
        <w:t xml:space="preserve">For high </w:t>
      </w:r>
      <w:r>
        <w:t xml:space="preserve">pressure </w:t>
      </w:r>
      <w:r w:rsidR="00F719F0">
        <w:t xml:space="preserve">natural </w:t>
      </w:r>
      <w:r>
        <w:t>gas pipelines</w:t>
      </w:r>
      <w:r w:rsidR="003E5906">
        <w:t>, operating at 7 barg and above,</w:t>
      </w:r>
      <w:r>
        <w:t xml:space="preserve"> UKOPA members generally meet</w:t>
      </w:r>
      <w:r w:rsidRPr="00C80602">
        <w:t xml:space="preserve"> these duties by designing, constructing</w:t>
      </w:r>
      <w:r>
        <w:t xml:space="preserve">, operating and maintaining gas </w:t>
      </w:r>
      <w:r w:rsidRPr="00C80602">
        <w:t>pipelines in line w</w:t>
      </w:r>
      <w:r>
        <w:t xml:space="preserve">ith recognised industry good practice including the recommendations of the Institution of Gas Engineers as documented in IGEM/TD/1 </w:t>
      </w:r>
      <w:sdt>
        <w:sdtPr>
          <w:id w:val="1899712106"/>
          <w:citation/>
        </w:sdtPr>
        <w:sdtEndPr/>
        <w:sdtContent>
          <w:r w:rsidR="003E5906">
            <w:fldChar w:fldCharType="begin"/>
          </w:r>
          <w:r w:rsidR="003E5906">
            <w:instrText xml:space="preserve"> CITATION TD1_Ed5 \l 2057 </w:instrText>
          </w:r>
          <w:r w:rsidR="003E5906">
            <w:fldChar w:fldCharType="separate"/>
          </w:r>
          <w:r w:rsidR="003E5906">
            <w:rPr>
              <w:noProof/>
            </w:rPr>
            <w:t>[2]</w:t>
          </w:r>
          <w:r w:rsidR="003E5906">
            <w:fldChar w:fldCharType="end"/>
          </w:r>
        </w:sdtContent>
      </w:sdt>
      <w:r w:rsidR="003E5906">
        <w:t xml:space="preserve"> </w:t>
      </w:r>
      <w:r>
        <w:t>and IGEM/TD/3</w:t>
      </w:r>
      <w:sdt>
        <w:sdtPr>
          <w:id w:val="883762106"/>
          <w:citation/>
        </w:sdtPr>
        <w:sdtEndPr/>
        <w:sdtContent>
          <w:r w:rsidR="003E5906">
            <w:fldChar w:fldCharType="begin"/>
          </w:r>
          <w:r w:rsidR="003E5906">
            <w:instrText xml:space="preserve"> CITATION TD3_Ed5 \l 2057 </w:instrText>
          </w:r>
          <w:r w:rsidR="003E5906">
            <w:fldChar w:fldCharType="separate"/>
          </w:r>
          <w:r w:rsidR="003E5906">
            <w:rPr>
              <w:noProof/>
            </w:rPr>
            <w:t xml:space="preserve"> [3]</w:t>
          </w:r>
          <w:r w:rsidR="003E5906">
            <w:fldChar w:fldCharType="end"/>
          </w:r>
        </w:sdtContent>
      </w:sdt>
      <w:r w:rsidR="003E5906">
        <w:t xml:space="preserve">. </w:t>
      </w:r>
      <w:r>
        <w:t>This approach is supported by the use of quant</w:t>
      </w:r>
      <w:r w:rsidR="003E5906">
        <w:t>itative</w:t>
      </w:r>
      <w:r w:rsidRPr="00C80602">
        <w:t xml:space="preserve"> risk assessment (QRA) </w:t>
      </w:r>
      <w:r>
        <w:t xml:space="preserve">to aid decision making and to ensure that the risks are being managed so that they are ALARP. </w:t>
      </w:r>
      <w:r w:rsidRPr="00C80602">
        <w:t xml:space="preserve"> </w:t>
      </w:r>
    </w:p>
    <w:p w14:paraId="67FC8F3D" w14:textId="066DD443" w:rsidR="00CC6D83" w:rsidRDefault="00CC6D83" w:rsidP="00CC6D83">
      <w:pPr>
        <w:pStyle w:val="BodyText"/>
      </w:pPr>
      <w:r w:rsidRPr="00C80602">
        <w:t xml:space="preserve">The </w:t>
      </w:r>
      <w:r>
        <w:t xml:space="preserve">principal circumstances where </w:t>
      </w:r>
      <w:r w:rsidR="003E5906">
        <w:t>quantitative</w:t>
      </w:r>
      <w:r w:rsidRPr="00C80602">
        <w:t xml:space="preserve"> risk assessment </w:t>
      </w:r>
      <w:r>
        <w:t>is applied to gas pipelines are outlined below:</w:t>
      </w:r>
    </w:p>
    <w:p w14:paraId="540C4A0A" w14:textId="492406FF" w:rsidR="00F719F0" w:rsidRDefault="00CC6D83" w:rsidP="00E705C4">
      <w:pPr>
        <w:pStyle w:val="BodyText"/>
        <w:numPr>
          <w:ilvl w:val="0"/>
          <w:numId w:val="50"/>
        </w:numPr>
        <w:ind w:left="1211"/>
      </w:pPr>
      <w:r w:rsidRPr="007A5E50">
        <w:rPr>
          <w:b/>
        </w:rPr>
        <w:t>MAPD</w:t>
      </w:r>
      <w:r>
        <w:rPr>
          <w:b/>
        </w:rPr>
        <w:t xml:space="preserve"> and QRA</w:t>
      </w:r>
      <w:r w:rsidRPr="007A5E50">
        <w:rPr>
          <w:b/>
        </w:rPr>
        <w:t>:</w:t>
      </w:r>
      <w:r>
        <w:t xml:space="preserve"> </w:t>
      </w:r>
      <w:r w:rsidRPr="007A5E50">
        <w:t>The PSR, 1996 require that operators of pipelines tran</w:t>
      </w:r>
      <w:r>
        <w:t xml:space="preserve">sporting dangerous fluids </w:t>
      </w:r>
      <w:r w:rsidRPr="007A5E50">
        <w:t>prepare a Major Accident Prevention Document (MAPD) for their ‘major accident hazard’ pipelines (MAHP), for gas pipelines this applies to all pipel</w:t>
      </w:r>
      <w:r>
        <w:t xml:space="preserve">ines </w:t>
      </w:r>
      <w:r w:rsidR="003E5906">
        <w:t xml:space="preserve">operating at </w:t>
      </w:r>
      <w:r>
        <w:t>pressures above 7 barg</w:t>
      </w:r>
      <w:r w:rsidRPr="007A5E50">
        <w:t xml:space="preserve">. </w:t>
      </w:r>
    </w:p>
    <w:p w14:paraId="0CC95173" w14:textId="11346C9D" w:rsidR="00CC6D83" w:rsidRDefault="00CC6D83" w:rsidP="00E705C4">
      <w:pPr>
        <w:pStyle w:val="BodyText"/>
        <w:ind w:left="1211"/>
      </w:pPr>
      <w:r w:rsidRPr="007A5E50">
        <w:t>The guidance for the regulations states that the MAPD is a management tool to ensure that the duty holder has assessed the risks from major accident</w:t>
      </w:r>
      <w:r w:rsidR="003E5906">
        <w:t xml:space="preserve"> haz</w:t>
      </w:r>
      <w:r w:rsidR="00E705C4">
        <w:t>a</w:t>
      </w:r>
      <w:r w:rsidR="003E5906">
        <w:t>rd</w:t>
      </w:r>
      <w:r w:rsidRPr="007A5E50">
        <w:t>s and has introduced an appropriate safety management system to control these risks.</w:t>
      </w:r>
      <w:r>
        <w:t xml:space="preserve"> In order to support this requirement, pipeline operators may decide to undertake quantitative risk assessments, either along the whole pipeline route or at critical locations or pinch points.</w:t>
      </w:r>
    </w:p>
    <w:p w14:paraId="01A9CBA4" w14:textId="35425647" w:rsidR="00CC6D83" w:rsidRDefault="00CC6D83" w:rsidP="00E705C4">
      <w:pPr>
        <w:pStyle w:val="BodyText"/>
        <w:numPr>
          <w:ilvl w:val="0"/>
          <w:numId w:val="50"/>
        </w:numPr>
        <w:ind w:left="1211"/>
      </w:pPr>
      <w:r w:rsidRPr="00BA0B0D">
        <w:rPr>
          <w:b/>
        </w:rPr>
        <w:t>Code Infringements:</w:t>
      </w:r>
      <w:r>
        <w:t xml:space="preserve"> Gas pipeline operators generally operate their above 7 barg pipelines in line </w:t>
      </w:r>
      <w:r w:rsidRPr="007A5E50">
        <w:t>with the requirements of IGEM/TD/1</w:t>
      </w:r>
      <w:r>
        <w:t xml:space="preserve"> and IGEM/TD/3</w:t>
      </w:r>
      <w:r w:rsidRPr="007A5E50">
        <w:t>. There may, however, be locations along the pipeline where the requirements of IGEM/TD/1</w:t>
      </w:r>
      <w:r>
        <w:t xml:space="preserve"> and IGEM/TD/3</w:t>
      </w:r>
      <w:r w:rsidRPr="007A5E50">
        <w:t xml:space="preserve"> cannot be complied wit</w:t>
      </w:r>
      <w:r w:rsidR="00E705C4">
        <w:t>h.</w:t>
      </w:r>
      <w:r w:rsidRPr="007A5E50">
        <w:t xml:space="preserve"> </w:t>
      </w:r>
      <w:r w:rsidR="00E705C4">
        <w:t>T</w:t>
      </w:r>
      <w:r w:rsidRPr="007A5E50">
        <w:t xml:space="preserve">his is usually because development has occurred since the pipeline was constructed that has resulted in proximity infringements or population density infringements. There may also be some circumstances where the operator elects to operate the pipeline to </w:t>
      </w:r>
      <w:r>
        <w:t>a later edition of the code</w:t>
      </w:r>
      <w:r w:rsidRPr="007A5E50">
        <w:t xml:space="preserve"> than the on</w:t>
      </w:r>
      <w:r>
        <w:t>e to which</w:t>
      </w:r>
      <w:r w:rsidRPr="007A5E50">
        <w:t xml:space="preserve"> the pipeli</w:t>
      </w:r>
      <w:r>
        <w:t>ne was originally constructed</w:t>
      </w:r>
      <w:r w:rsidRPr="007A5E50">
        <w:t>. In these circumstances it may be appropriate to justify that any non-compliances wit</w:t>
      </w:r>
      <w:r>
        <w:t>h the later edition of code are acceptable.</w:t>
      </w:r>
    </w:p>
    <w:p w14:paraId="1E44B968" w14:textId="66B2E514" w:rsidR="00CC6D83" w:rsidRPr="00A01F4D" w:rsidRDefault="00CC6D83" w:rsidP="00E705C4">
      <w:pPr>
        <w:pStyle w:val="BodyText"/>
        <w:numPr>
          <w:ilvl w:val="0"/>
          <w:numId w:val="50"/>
        </w:numPr>
        <w:ind w:left="1211"/>
      </w:pPr>
      <w:r w:rsidRPr="00A01F4D">
        <w:rPr>
          <w:b/>
        </w:rPr>
        <w:t>Land Use Planning:</w:t>
      </w:r>
      <w:r>
        <w:t xml:space="preserve"> </w:t>
      </w:r>
      <w:r w:rsidRPr="00A01F4D">
        <w:t xml:space="preserve">Determining the acceptability of new proposed developments in the vicinity of </w:t>
      </w:r>
      <w:r w:rsidR="00667707" w:rsidRPr="00A01F4D">
        <w:t>high-pressure</w:t>
      </w:r>
      <w:r w:rsidRPr="00A01F4D">
        <w:t xml:space="preserve"> pipelines is the responsibility of the Local Authority. Their advice would be supported </w:t>
      </w:r>
      <w:r>
        <w:t xml:space="preserve">by </w:t>
      </w:r>
      <w:r w:rsidR="00E705C4">
        <w:t>following the methodology</w:t>
      </w:r>
      <w:r>
        <w:t xml:space="preserve"> provided by the HSE</w:t>
      </w:r>
      <w:r w:rsidR="00E705C4" w:rsidRPr="00E705C4">
        <w:t xml:space="preserve"> </w:t>
      </w:r>
      <w:sdt>
        <w:sdtPr>
          <w:id w:val="1579863059"/>
          <w:citation/>
        </w:sdtPr>
        <w:sdtEndPr/>
        <w:sdtContent>
          <w:r w:rsidR="00E705C4">
            <w:fldChar w:fldCharType="begin"/>
          </w:r>
          <w:r w:rsidR="00E705C4">
            <w:instrText xml:space="preserve"> CITATION HSE_LUP \l 2057 </w:instrText>
          </w:r>
          <w:r w:rsidR="00E705C4">
            <w:fldChar w:fldCharType="separate"/>
          </w:r>
          <w:r w:rsidR="00E705C4">
            <w:rPr>
              <w:noProof/>
            </w:rPr>
            <w:t>[5]</w:t>
          </w:r>
          <w:r w:rsidR="00E705C4">
            <w:fldChar w:fldCharType="end"/>
          </w:r>
        </w:sdtContent>
      </w:sdt>
      <w:r>
        <w:t xml:space="preserve">. </w:t>
      </w:r>
    </w:p>
    <w:p w14:paraId="337A8513" w14:textId="77777777" w:rsidR="00CC6D83" w:rsidRDefault="00CC6D83" w:rsidP="00E705C4">
      <w:pPr>
        <w:pStyle w:val="BodyText"/>
        <w:ind w:left="1211"/>
      </w:pPr>
      <w:r w:rsidRPr="00A01F4D">
        <w:t>For new large and/or sensitive developments ne</w:t>
      </w:r>
      <w:r>
        <w:t>xt to the pipeline the pipeline operator</w:t>
      </w:r>
      <w:r w:rsidRPr="00A01F4D">
        <w:t xml:space="preserve"> may choose to undertake a quantitative risk assessment in order to put itself in an informed position when discussing the proposed development with the developer, the HSE or the Local Authority.</w:t>
      </w:r>
    </w:p>
    <w:p w14:paraId="5CB27875" w14:textId="79D8B246" w:rsidR="00CC6D83" w:rsidRPr="00E705C4" w:rsidRDefault="00CC6D83" w:rsidP="00E705C4">
      <w:pPr>
        <w:pStyle w:val="BodyText"/>
        <w:numPr>
          <w:ilvl w:val="0"/>
          <w:numId w:val="50"/>
        </w:numPr>
        <w:ind w:left="1211"/>
        <w:rPr>
          <w:b/>
        </w:rPr>
      </w:pPr>
      <w:r w:rsidRPr="00A01F4D">
        <w:rPr>
          <w:b/>
        </w:rPr>
        <w:t>Uprating:</w:t>
      </w:r>
      <w:r>
        <w:rPr>
          <w:b/>
        </w:rPr>
        <w:t xml:space="preserve"> </w:t>
      </w:r>
      <w:r w:rsidRPr="00A01F4D">
        <w:t>IGEM/TD/1 allows pipeline operators to uprate pipelines above their nominated Maximum Operating Pressure</w:t>
      </w:r>
      <w:r w:rsidR="00E705C4">
        <w:t xml:space="preserve"> (MOP)</w:t>
      </w:r>
      <w:r w:rsidRPr="00A01F4D">
        <w:t xml:space="preserve"> provided it is supported by the appropriate technical justifications. These technical justifications would normally include a </w:t>
      </w:r>
      <w:r>
        <w:t xml:space="preserve">quantified </w:t>
      </w:r>
      <w:r w:rsidRPr="00A01F4D">
        <w:t>risk assessment to demonstrate that the risks to individuals located in the vicinity of the pipeline continue to be acc</w:t>
      </w:r>
      <w:r>
        <w:t>eptable at the uprated pressure.</w:t>
      </w:r>
    </w:p>
    <w:p w14:paraId="093C2A8F" w14:textId="07574A48" w:rsidR="00E705C4" w:rsidRDefault="00E705C4" w:rsidP="00E705C4">
      <w:pPr>
        <w:pStyle w:val="Heading1"/>
      </w:pPr>
      <w:bookmarkStart w:id="5" w:name="_Toc21425766"/>
      <w:r>
        <w:lastRenderedPageBreak/>
        <w:t>Risk Assessment Methodology</w:t>
      </w:r>
      <w:bookmarkEnd w:id="5"/>
    </w:p>
    <w:p w14:paraId="177A98E4" w14:textId="1E484C02" w:rsidR="00E705C4" w:rsidRPr="00990E70" w:rsidRDefault="00E705C4" w:rsidP="00E705C4">
      <w:pPr>
        <w:pStyle w:val="BodyText"/>
      </w:pPr>
      <w:r>
        <w:t xml:space="preserve">The methodology that should be used for undertaking a quantitative risk assessment at a given location on a </w:t>
      </w:r>
      <w:r w:rsidR="00667707">
        <w:t>high-pressure</w:t>
      </w:r>
      <w:r>
        <w:t xml:space="preserve"> gas pipeline is fully described in IGEM/TD/2 </w:t>
      </w:r>
      <w:sdt>
        <w:sdtPr>
          <w:id w:val="1214469422"/>
          <w:citation/>
        </w:sdtPr>
        <w:sdtContent>
          <w:r w:rsidR="00667707">
            <w:fldChar w:fldCharType="begin"/>
          </w:r>
          <w:r w:rsidR="00667707">
            <w:instrText xml:space="preserve"> CITATION TD2_Ed2 \l 2057 </w:instrText>
          </w:r>
          <w:r w:rsidR="00667707">
            <w:fldChar w:fldCharType="separate"/>
          </w:r>
          <w:r w:rsidR="00667707">
            <w:rPr>
              <w:noProof/>
            </w:rPr>
            <w:t>[4]</w:t>
          </w:r>
          <w:r w:rsidR="00667707">
            <w:fldChar w:fldCharType="end"/>
          </w:r>
        </w:sdtContent>
      </w:sdt>
      <w:r>
        <w:t>. In summary a quantitative</w:t>
      </w:r>
      <w:r w:rsidRPr="00990E70">
        <w:t xml:space="preserve"> risk assessment involves the estimation of the frequency and consequences of a range of hazard scenarios and of the individual and societal risks associated with them. Each assessment has the following basic steps:</w:t>
      </w:r>
    </w:p>
    <w:p w14:paraId="55483134" w14:textId="77777777" w:rsidR="00E705C4" w:rsidRPr="00990E70" w:rsidRDefault="00E705C4" w:rsidP="00E705C4">
      <w:pPr>
        <w:pStyle w:val="BodyText"/>
        <w:numPr>
          <w:ilvl w:val="0"/>
          <w:numId w:val="50"/>
        </w:numPr>
      </w:pPr>
      <w:r w:rsidRPr="00990E70">
        <w:t xml:space="preserve">Collect </w:t>
      </w:r>
      <w:r>
        <w:t>and define cases to be assessed;</w:t>
      </w:r>
      <w:r w:rsidRPr="00990E70">
        <w:t xml:space="preserve"> </w:t>
      </w:r>
    </w:p>
    <w:p w14:paraId="4D947194" w14:textId="77777777" w:rsidR="00E705C4" w:rsidRPr="00990E70" w:rsidRDefault="00E705C4" w:rsidP="00E705C4">
      <w:pPr>
        <w:pStyle w:val="BodyText"/>
        <w:numPr>
          <w:ilvl w:val="0"/>
          <w:numId w:val="50"/>
        </w:numPr>
      </w:pPr>
      <w:r w:rsidRPr="00990E70">
        <w:t>I</w:t>
      </w:r>
      <w:r>
        <w:t>dentify credible failure causes;</w:t>
      </w:r>
      <w:r w:rsidRPr="00990E70">
        <w:t xml:space="preserve"> </w:t>
      </w:r>
    </w:p>
    <w:p w14:paraId="52D624DD" w14:textId="77777777" w:rsidR="00E705C4" w:rsidRPr="00990E70" w:rsidRDefault="00E705C4" w:rsidP="00E705C4">
      <w:pPr>
        <w:pStyle w:val="BodyText"/>
        <w:numPr>
          <w:ilvl w:val="0"/>
          <w:numId w:val="50"/>
        </w:numPr>
      </w:pPr>
      <w:r>
        <w:t>Identify credible failure modes;</w:t>
      </w:r>
      <w:r w:rsidRPr="00990E70">
        <w:t xml:space="preserve"> </w:t>
      </w:r>
    </w:p>
    <w:p w14:paraId="7C5113EA" w14:textId="77777777" w:rsidR="00E705C4" w:rsidRPr="00990E70" w:rsidRDefault="00E705C4" w:rsidP="00E705C4">
      <w:pPr>
        <w:pStyle w:val="BodyText"/>
        <w:numPr>
          <w:ilvl w:val="0"/>
          <w:numId w:val="50"/>
        </w:numPr>
      </w:pPr>
      <w:r>
        <w:t>Evaluate failure frequencies;</w:t>
      </w:r>
    </w:p>
    <w:p w14:paraId="4D75EBD9" w14:textId="77777777" w:rsidR="00E705C4" w:rsidRPr="00990E70" w:rsidRDefault="00E705C4" w:rsidP="00E705C4">
      <w:pPr>
        <w:pStyle w:val="BodyText"/>
        <w:numPr>
          <w:ilvl w:val="0"/>
          <w:numId w:val="50"/>
        </w:numPr>
      </w:pPr>
      <w:r w:rsidRPr="00990E70">
        <w:t>E</w:t>
      </w:r>
      <w:r>
        <w:t>valuate consequences of failure;</w:t>
      </w:r>
      <w:r w:rsidRPr="00990E70">
        <w:t xml:space="preserve"> </w:t>
      </w:r>
    </w:p>
    <w:p w14:paraId="3FE5B6C7" w14:textId="77777777" w:rsidR="00E705C4" w:rsidRPr="00990E70" w:rsidRDefault="00E705C4" w:rsidP="00E705C4">
      <w:pPr>
        <w:pStyle w:val="BodyText"/>
        <w:numPr>
          <w:ilvl w:val="0"/>
          <w:numId w:val="50"/>
        </w:numPr>
      </w:pPr>
      <w:r w:rsidRPr="00990E70">
        <w:t>Evalua</w:t>
      </w:r>
      <w:r>
        <w:t>te individual and societal risk;</w:t>
      </w:r>
      <w:r w:rsidRPr="00990E70">
        <w:t xml:space="preserve"> </w:t>
      </w:r>
    </w:p>
    <w:p w14:paraId="6AA1CD0D" w14:textId="77777777" w:rsidR="00E705C4" w:rsidRPr="00990E70" w:rsidRDefault="00E705C4" w:rsidP="00E705C4">
      <w:pPr>
        <w:pStyle w:val="BodyText"/>
        <w:numPr>
          <w:ilvl w:val="0"/>
          <w:numId w:val="50"/>
        </w:numPr>
      </w:pPr>
      <w:r w:rsidRPr="00990E70">
        <w:t>Assess the acceptab</w:t>
      </w:r>
      <w:r>
        <w:t>ility/tolerability of the risks;</w:t>
      </w:r>
      <w:r w:rsidRPr="00990E70">
        <w:t xml:space="preserve"> </w:t>
      </w:r>
    </w:p>
    <w:p w14:paraId="5C4466FA" w14:textId="75800328" w:rsidR="00E705C4" w:rsidRDefault="00E705C4" w:rsidP="00E705C4">
      <w:pPr>
        <w:pStyle w:val="BodyText"/>
        <w:numPr>
          <w:ilvl w:val="0"/>
          <w:numId w:val="50"/>
        </w:numPr>
      </w:pPr>
      <w:r w:rsidRPr="00990E70">
        <w:t>Implement any new mitigation measures require</w:t>
      </w:r>
      <w:r>
        <w:t>d as a result of the assessment;</w:t>
      </w:r>
      <w:r w:rsidRPr="00990E70">
        <w:t xml:space="preserve"> </w:t>
      </w:r>
      <w:r>
        <w:t>and,</w:t>
      </w:r>
    </w:p>
    <w:p w14:paraId="472F7D4E" w14:textId="77777777" w:rsidR="00E705C4" w:rsidRPr="00990E70" w:rsidRDefault="00E705C4" w:rsidP="00E705C4">
      <w:pPr>
        <w:pStyle w:val="BodyText"/>
        <w:numPr>
          <w:ilvl w:val="0"/>
          <w:numId w:val="50"/>
        </w:numPr>
      </w:pPr>
      <w:r w:rsidRPr="00990E70">
        <w:t xml:space="preserve">Record and review results. </w:t>
      </w:r>
    </w:p>
    <w:p w14:paraId="03E6F62D" w14:textId="77777777" w:rsidR="00E705C4" w:rsidRPr="00BC1E26" w:rsidRDefault="00E705C4" w:rsidP="00E705C4">
      <w:pPr>
        <w:pStyle w:val="Heading2"/>
      </w:pPr>
      <w:bookmarkStart w:id="6" w:name="_Toc465849087"/>
      <w:bookmarkStart w:id="7" w:name="_Toc21425767"/>
      <w:r w:rsidRPr="00BC1E26">
        <w:t xml:space="preserve">Pipeline </w:t>
      </w:r>
      <w:r w:rsidRPr="00E705C4">
        <w:t>Failure</w:t>
      </w:r>
      <w:r w:rsidRPr="00BC1E26">
        <w:t xml:space="preserve"> Causes</w:t>
      </w:r>
      <w:bookmarkEnd w:id="6"/>
      <w:bookmarkEnd w:id="7"/>
    </w:p>
    <w:p w14:paraId="4E7ED1D9" w14:textId="77777777" w:rsidR="00E705C4" w:rsidRPr="00990E70" w:rsidRDefault="00E705C4" w:rsidP="00E705C4">
      <w:pPr>
        <w:pStyle w:val="BodyText"/>
      </w:pPr>
      <w:r>
        <w:t>In the UK a</w:t>
      </w:r>
      <w:r w:rsidRPr="00990E70">
        <w:t xml:space="preserve"> thorough understanding of pipeline damage behaviour has been</w:t>
      </w:r>
      <w:r>
        <w:t xml:space="preserve"> developed through </w:t>
      </w:r>
      <w:r w:rsidRPr="00990E70">
        <w:t>extensive operational experience in combin</w:t>
      </w:r>
      <w:r>
        <w:t>ation with fault data both for</w:t>
      </w:r>
      <w:r w:rsidRPr="00990E70">
        <w:t xml:space="preserve"> UK </w:t>
      </w:r>
      <w:r>
        <w:t xml:space="preserve">pipelines </w:t>
      </w:r>
      <w:r w:rsidRPr="00990E70">
        <w:t xml:space="preserve">and </w:t>
      </w:r>
      <w:r>
        <w:t xml:space="preserve">from other </w:t>
      </w:r>
      <w:r w:rsidRPr="00990E70">
        <w:t xml:space="preserve">European pipeline operators. This knowledge has enabled detailed predictions of failure frequencies and failure modes to be made for a range of damage causes. </w:t>
      </w:r>
    </w:p>
    <w:p w14:paraId="72453FD4" w14:textId="7C5D2B32" w:rsidR="00E705C4" w:rsidRPr="00990E70" w:rsidRDefault="00E705C4" w:rsidP="00E705C4">
      <w:pPr>
        <w:pStyle w:val="BodyText"/>
      </w:pPr>
      <w:r w:rsidRPr="00990E70">
        <w:t xml:space="preserve">Data collected </w:t>
      </w:r>
      <w:r>
        <w:t>by UKOPA</w:t>
      </w:r>
      <w:sdt>
        <w:sdtPr>
          <w:id w:val="-531804203"/>
          <w:citation/>
        </w:sdtPr>
        <w:sdtEndPr/>
        <w:sdtContent>
          <w:r w:rsidR="00AB022C">
            <w:fldChar w:fldCharType="begin"/>
          </w:r>
          <w:r w:rsidR="00AB022C">
            <w:instrText xml:space="preserve"> CITATION UKOPA_17_002 \l 2057 </w:instrText>
          </w:r>
          <w:r w:rsidR="00AB022C">
            <w:fldChar w:fldCharType="separate"/>
          </w:r>
          <w:r w:rsidR="00AB022C">
            <w:rPr>
              <w:noProof/>
            </w:rPr>
            <w:t xml:space="preserve"> [6]</w:t>
          </w:r>
          <w:r w:rsidR="00AB022C">
            <w:fldChar w:fldCharType="end"/>
          </w:r>
        </w:sdtContent>
      </w:sdt>
      <w:r>
        <w:t xml:space="preserve"> and the </w:t>
      </w:r>
      <w:r w:rsidRPr="00990E70">
        <w:t>European Gas</w:t>
      </w:r>
      <w:r>
        <w:t xml:space="preserve"> pipeline</w:t>
      </w:r>
      <w:r w:rsidRPr="00990E70">
        <w:t xml:space="preserve"> I</w:t>
      </w:r>
      <w:r>
        <w:t>ncident data</w:t>
      </w:r>
      <w:r w:rsidRPr="00990E70">
        <w:t xml:space="preserve"> Group </w:t>
      </w:r>
      <w:r>
        <w:t>(</w:t>
      </w:r>
      <w:r w:rsidRPr="00990E70">
        <w:t>EGIG</w:t>
      </w:r>
      <w:r>
        <w:t>)</w:t>
      </w:r>
      <w:r w:rsidRPr="00990E70">
        <w:t xml:space="preserve"> </w:t>
      </w:r>
      <w:sdt>
        <w:sdtPr>
          <w:id w:val="1333639012"/>
          <w:citation/>
        </w:sdtPr>
        <w:sdtEndPr/>
        <w:sdtContent>
          <w:r>
            <w:fldChar w:fldCharType="begin"/>
          </w:r>
          <w:r>
            <w:instrText xml:space="preserve"> CITATION EGIG_10th \l 2057 </w:instrText>
          </w:r>
          <w:r>
            <w:fldChar w:fldCharType="separate"/>
          </w:r>
          <w:r>
            <w:rPr>
              <w:noProof/>
            </w:rPr>
            <w:t>[7]</w:t>
          </w:r>
          <w:r>
            <w:fldChar w:fldCharType="end"/>
          </w:r>
        </w:sdtContent>
      </w:sdt>
      <w:r>
        <w:t xml:space="preserve"> </w:t>
      </w:r>
      <w:r w:rsidRPr="00990E70">
        <w:t>has been utilised to determine</w:t>
      </w:r>
      <w:r>
        <w:t xml:space="preserve"> the</w:t>
      </w:r>
      <w:r w:rsidRPr="00990E70">
        <w:t xml:space="preserve"> most common pipeline failure causes. </w:t>
      </w:r>
    </w:p>
    <w:p w14:paraId="65AEAB96" w14:textId="77777777" w:rsidR="00E705C4" w:rsidRPr="00990E70" w:rsidRDefault="00E705C4" w:rsidP="00E705C4">
      <w:pPr>
        <w:pStyle w:val="BodyText"/>
      </w:pPr>
      <w:r w:rsidRPr="00990E70">
        <w:t xml:space="preserve">The following have been identified as the main potential causes of pipeline failure: </w:t>
      </w:r>
    </w:p>
    <w:p w14:paraId="78F99831" w14:textId="77777777" w:rsidR="00E705C4" w:rsidRPr="00990E70" w:rsidRDefault="00E705C4" w:rsidP="00E705C4">
      <w:pPr>
        <w:pStyle w:val="BodyText"/>
        <w:numPr>
          <w:ilvl w:val="0"/>
          <w:numId w:val="50"/>
        </w:numPr>
      </w:pPr>
      <w:r>
        <w:t>External interference;</w:t>
      </w:r>
    </w:p>
    <w:p w14:paraId="1A5095ED" w14:textId="77777777" w:rsidR="00E705C4" w:rsidRPr="00990E70" w:rsidRDefault="00E705C4" w:rsidP="00E705C4">
      <w:pPr>
        <w:pStyle w:val="BodyText"/>
        <w:numPr>
          <w:ilvl w:val="0"/>
          <w:numId w:val="50"/>
        </w:numPr>
      </w:pPr>
      <w:r w:rsidRPr="00990E70">
        <w:t>Corrosio</w:t>
      </w:r>
      <w:r>
        <w:t>n (both internal and external);</w:t>
      </w:r>
    </w:p>
    <w:p w14:paraId="20945DF8" w14:textId="77777777" w:rsidR="00E705C4" w:rsidRPr="00990E70" w:rsidRDefault="00E705C4" w:rsidP="00E705C4">
      <w:pPr>
        <w:pStyle w:val="BodyText"/>
        <w:numPr>
          <w:ilvl w:val="0"/>
          <w:numId w:val="50"/>
        </w:numPr>
      </w:pPr>
      <w:r w:rsidRPr="00990E70">
        <w:t>Loss of gr</w:t>
      </w:r>
      <w:r>
        <w:t>ound support / ground movement;</w:t>
      </w:r>
    </w:p>
    <w:p w14:paraId="76E5C7C2" w14:textId="77777777" w:rsidR="00E705C4" w:rsidRPr="00990E70" w:rsidRDefault="00E705C4" w:rsidP="00E705C4">
      <w:pPr>
        <w:pStyle w:val="BodyText"/>
        <w:numPr>
          <w:ilvl w:val="0"/>
          <w:numId w:val="50"/>
        </w:numPr>
      </w:pPr>
      <w:r w:rsidRPr="00990E70">
        <w:t>Ma</w:t>
      </w:r>
      <w:r>
        <w:t>terial or construction defects;</w:t>
      </w:r>
    </w:p>
    <w:p w14:paraId="682D676B" w14:textId="77777777" w:rsidR="00E705C4" w:rsidRPr="00990E70" w:rsidRDefault="00E705C4" w:rsidP="00E705C4">
      <w:pPr>
        <w:pStyle w:val="BodyText"/>
        <w:numPr>
          <w:ilvl w:val="0"/>
          <w:numId w:val="50"/>
        </w:numPr>
      </w:pPr>
      <w:r>
        <w:t>Over-pressurisation; and,</w:t>
      </w:r>
    </w:p>
    <w:p w14:paraId="30E55D26" w14:textId="77777777" w:rsidR="00E705C4" w:rsidRPr="00990E70" w:rsidRDefault="00E705C4" w:rsidP="00E705C4">
      <w:pPr>
        <w:pStyle w:val="BodyText"/>
        <w:numPr>
          <w:ilvl w:val="0"/>
          <w:numId w:val="50"/>
        </w:numPr>
      </w:pPr>
      <w:r w:rsidRPr="00990E70">
        <w:t xml:space="preserve">Stress Corrosion Cracking (SCC). </w:t>
      </w:r>
    </w:p>
    <w:p w14:paraId="6A333625" w14:textId="6B69F745" w:rsidR="00E705C4" w:rsidRDefault="00E705C4" w:rsidP="00E705C4">
      <w:pPr>
        <w:pStyle w:val="BodyText"/>
      </w:pPr>
      <w:r w:rsidRPr="00990E70">
        <w:t xml:space="preserve">For </w:t>
      </w:r>
      <w:proofErr w:type="gramStart"/>
      <w:r w:rsidRPr="00990E70">
        <w:t>the majority of</w:t>
      </w:r>
      <w:proofErr w:type="gramEnd"/>
      <w:r w:rsidRPr="00990E70">
        <w:t xml:space="preserve"> pipeline risk assessments, the risk is dominated by the risk from a </w:t>
      </w:r>
      <w:r w:rsidR="00667707" w:rsidRPr="00990E70">
        <w:t>full-bore</w:t>
      </w:r>
      <w:r w:rsidRPr="00990E70">
        <w:t xml:space="preserve"> pipeline rupture. The historical data indicates that the most likely causes of </w:t>
      </w:r>
      <w:r w:rsidR="00667707" w:rsidRPr="00990E70">
        <w:t>full-bore</w:t>
      </w:r>
      <w:r w:rsidRPr="00990E70">
        <w:t xml:space="preserve"> pipeline rupture are either </w:t>
      </w:r>
      <w:r>
        <w:t xml:space="preserve">external </w:t>
      </w:r>
      <w:r w:rsidRPr="00990E70">
        <w:t>interference or ground movement</w:t>
      </w:r>
      <w:r>
        <w:t xml:space="preserve">.  </w:t>
      </w:r>
    </w:p>
    <w:p w14:paraId="49B12440" w14:textId="77777777" w:rsidR="00E705C4" w:rsidRDefault="00E705C4" w:rsidP="00E705C4">
      <w:pPr>
        <w:pStyle w:val="Heading2"/>
      </w:pPr>
      <w:bookmarkStart w:id="8" w:name="_Toc465849088"/>
      <w:bookmarkStart w:id="9" w:name="_Toc21425768"/>
      <w:r>
        <w:lastRenderedPageBreak/>
        <w:t>Risk Assessment Process</w:t>
      </w:r>
      <w:bookmarkEnd w:id="8"/>
      <w:bookmarkEnd w:id="9"/>
    </w:p>
    <w:p w14:paraId="2BC879ED" w14:textId="1523AB00" w:rsidR="00E705C4" w:rsidRDefault="00E705C4" w:rsidP="00E705C4">
      <w:pPr>
        <w:pStyle w:val="BodyText"/>
      </w:pPr>
      <w:r>
        <w:t xml:space="preserve">The methodology for predicting pipeline failure frequencies and determining the subsequent consequences of a pipeline failure in terms of hazard ranges for individuals located both out of doors and within buildings is provided in IGEM/TD/2 </w:t>
      </w:r>
      <w:sdt>
        <w:sdtPr>
          <w:id w:val="-588775440"/>
          <w:citation/>
        </w:sdtPr>
        <w:sdtEndPr/>
        <w:sdtContent>
          <w:r>
            <w:fldChar w:fldCharType="begin"/>
          </w:r>
          <w:r>
            <w:instrText xml:space="preserve"> CITATION TD2_Ed2 \l 2057 </w:instrText>
          </w:r>
          <w:r>
            <w:fldChar w:fldCharType="separate"/>
          </w:r>
          <w:r>
            <w:rPr>
              <w:noProof/>
            </w:rPr>
            <w:t>[4]</w:t>
          </w:r>
          <w:r>
            <w:fldChar w:fldCharType="end"/>
          </w:r>
        </w:sdtContent>
      </w:sdt>
      <w:r w:rsidR="0078552B">
        <w:t xml:space="preserve">. </w:t>
      </w:r>
      <w:r>
        <w:t xml:space="preserve">A simplified overview </w:t>
      </w:r>
      <w:r w:rsidRPr="00F92E3F">
        <w:t>of t</w:t>
      </w:r>
      <w:r>
        <w:t>he stages of a risk assessment is shown in</w:t>
      </w:r>
      <w:r w:rsidR="007C2889">
        <w:t xml:space="preserve"> </w:t>
      </w:r>
      <w:r w:rsidR="007C2889">
        <w:fldChar w:fldCharType="begin"/>
      </w:r>
      <w:r w:rsidR="007C2889">
        <w:instrText xml:space="preserve"> REF _Ref534651693 \h </w:instrText>
      </w:r>
      <w:r w:rsidR="007C2889">
        <w:fldChar w:fldCharType="separate"/>
      </w:r>
      <w:r w:rsidR="007C2889">
        <w:t xml:space="preserve">Figure </w:t>
      </w:r>
      <w:r w:rsidR="007C2889">
        <w:rPr>
          <w:noProof/>
        </w:rPr>
        <w:t>3</w:t>
      </w:r>
      <w:r w:rsidR="007C2889">
        <w:t>.</w:t>
      </w:r>
      <w:r w:rsidR="007C2889">
        <w:rPr>
          <w:noProof/>
        </w:rPr>
        <w:t>1</w:t>
      </w:r>
      <w:r w:rsidR="007C2889">
        <w:fldChar w:fldCharType="end"/>
      </w:r>
      <w:r w:rsidRPr="00F92E3F">
        <w:t xml:space="preserve">. </w:t>
      </w:r>
    </w:p>
    <w:p w14:paraId="4EC9C157" w14:textId="77777777" w:rsidR="007C2889" w:rsidRDefault="007C2889" w:rsidP="007C2889">
      <w:pPr>
        <w:pStyle w:val="BodyText"/>
        <w:keepNext/>
        <w:jc w:val="center"/>
      </w:pPr>
      <w:r w:rsidRPr="007C2889">
        <w:rPr>
          <w:noProof/>
          <w:lang w:val="en-US" w:eastAsia="zh-CN"/>
        </w:rPr>
        <w:drawing>
          <wp:inline distT="0" distB="0" distL="0" distR="0" wp14:anchorId="0EDB016A" wp14:editId="77A0DCDB">
            <wp:extent cx="5220000" cy="3698500"/>
            <wp:effectExtent l="19050" t="19050" r="1905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2">
                      <a:extLst>
                        <a:ext uri="{28A0092B-C50C-407E-A947-70E740481C1C}">
                          <a14:useLocalDpi xmlns:a14="http://schemas.microsoft.com/office/drawing/2010/main" val="0"/>
                        </a:ext>
                      </a:extLst>
                    </a:blip>
                    <a:srcRect r="11487"/>
                    <a:stretch/>
                  </pic:blipFill>
                  <pic:spPr bwMode="auto">
                    <a:xfrm>
                      <a:off x="0" y="0"/>
                      <a:ext cx="5220000" cy="3698500"/>
                    </a:xfrm>
                    <a:prstGeom prst="rect">
                      <a:avLst/>
                    </a:prstGeom>
                    <a:noFill/>
                    <a:ln w="6350">
                      <a:solidFill>
                        <a:srgbClr val="000000"/>
                      </a:solidFill>
                    </a:ln>
                    <a:extLst>
                      <a:ext uri="{53640926-AAD7-44D8-BBD7-CCE9431645EC}">
                        <a14:shadowObscured xmlns:a14="http://schemas.microsoft.com/office/drawing/2010/main"/>
                      </a:ext>
                    </a:extLst>
                  </pic:spPr>
                </pic:pic>
              </a:graphicData>
            </a:graphic>
          </wp:inline>
        </w:drawing>
      </w:r>
    </w:p>
    <w:p w14:paraId="68FC6025" w14:textId="44273865" w:rsidR="007C2889" w:rsidRPr="00F92E3F" w:rsidRDefault="007C2889" w:rsidP="007C2889">
      <w:pPr>
        <w:pStyle w:val="Caption"/>
      </w:pPr>
      <w:bookmarkStart w:id="10" w:name="_Ref534651693"/>
      <w:r>
        <w:t xml:space="preserve">Figure </w:t>
      </w:r>
      <w:fldSimple w:instr=" STYLEREF 1 \s ">
        <w:r w:rsidR="00EE1350">
          <w:rPr>
            <w:noProof/>
          </w:rPr>
          <w:t>3</w:t>
        </w:r>
      </w:fldSimple>
      <w:r w:rsidR="00AD21F9">
        <w:t>.</w:t>
      </w:r>
      <w:fldSimple w:instr=" SEQ Figure \* ARABIC \s 1 ">
        <w:r w:rsidR="00EE1350">
          <w:rPr>
            <w:noProof/>
          </w:rPr>
          <w:t>1</w:t>
        </w:r>
      </w:fldSimple>
      <w:bookmarkEnd w:id="10"/>
      <w:r>
        <w:t>: Overview of Risk Assessment Process</w:t>
      </w:r>
    </w:p>
    <w:p w14:paraId="44FA484C" w14:textId="55B3A167" w:rsidR="00E705C4" w:rsidRDefault="00E705C4" w:rsidP="007C2889">
      <w:pPr>
        <w:pStyle w:val="BodyText"/>
      </w:pPr>
      <w:r>
        <w:t xml:space="preserve">In practice </w:t>
      </w:r>
      <w:r w:rsidR="0078552B">
        <w:t xml:space="preserve">software </w:t>
      </w:r>
      <w:r>
        <w:t xml:space="preserve">is normally used for undertaking pipeline quantitative risk assessments. The majority of UK </w:t>
      </w:r>
      <w:r w:rsidR="0078552B">
        <w:t>g</w:t>
      </w:r>
      <w:r>
        <w:t xml:space="preserve">as pipeline operating companies use a knowledge-based </w:t>
      </w:r>
      <w:r w:rsidR="0078552B">
        <w:t>software program</w:t>
      </w:r>
      <w:r>
        <w:t xml:space="preserve"> called </w:t>
      </w:r>
      <w:proofErr w:type="spellStart"/>
      <w:r>
        <w:t>PIPESAFE</w:t>
      </w:r>
      <w:r w:rsidR="00667707" w:rsidRPr="00667707">
        <w:rPr>
          <w:vertAlign w:val="superscript"/>
        </w:rPr>
        <w:t>TM</w:t>
      </w:r>
      <w:proofErr w:type="spellEnd"/>
      <w:sdt>
        <w:sdtPr>
          <w:id w:val="-170253944"/>
          <w:citation/>
        </w:sdtPr>
        <w:sdtEndPr/>
        <w:sdtContent>
          <w:r w:rsidR="0078552B">
            <w:fldChar w:fldCharType="begin"/>
          </w:r>
          <w:r w:rsidR="0078552B">
            <w:instrText xml:space="preserve"> CITATION IPC2002_27196 \l 2057 </w:instrText>
          </w:r>
          <w:r w:rsidR="0078552B">
            <w:fldChar w:fldCharType="separate"/>
          </w:r>
          <w:r w:rsidR="0078552B">
            <w:rPr>
              <w:noProof/>
            </w:rPr>
            <w:t xml:space="preserve"> [8]</w:t>
          </w:r>
          <w:r w:rsidR="0078552B">
            <w:fldChar w:fldCharType="end"/>
          </w:r>
        </w:sdtContent>
      </w:sdt>
      <w:r>
        <w:t xml:space="preserve"> which </w:t>
      </w:r>
      <w:r w:rsidRPr="009E1114">
        <w:t>has been dev</w:t>
      </w:r>
      <w:bookmarkStart w:id="11" w:name="_GoBack"/>
      <w:bookmarkEnd w:id="11"/>
      <w:r w:rsidRPr="009E1114">
        <w:t>eloped jointly by an international group of gas transmission companies</w:t>
      </w:r>
      <w:r>
        <w:t>.</w:t>
      </w:r>
      <w:r w:rsidRPr="009E1114">
        <w:t xml:space="preserve"> </w:t>
      </w:r>
      <w:r w:rsidRPr="00F92E3F">
        <w:t xml:space="preserve">The model </w:t>
      </w:r>
      <w:r>
        <w:t>is</w:t>
      </w:r>
      <w:r w:rsidRPr="00F92E3F">
        <w:t xml:space="preserve"> based on extensive research into the causes and consequences of transmission pipeline failures, including experimental validation at both small and large scale. </w:t>
      </w:r>
    </w:p>
    <w:p w14:paraId="50B46539" w14:textId="58480E65" w:rsidR="00E705C4" w:rsidRDefault="0078552B" w:rsidP="0078552B">
      <w:pPr>
        <w:pStyle w:val="BodyText"/>
      </w:pPr>
      <w:r>
        <w:t>Any QRA software</w:t>
      </w:r>
      <w:r w:rsidR="00E705C4">
        <w:t xml:space="preserve"> would normally provide an assessment of the calculated levels of individual and societal risk, where:</w:t>
      </w:r>
    </w:p>
    <w:p w14:paraId="339C1ED7" w14:textId="37D2F3A7" w:rsidR="00E705C4" w:rsidRDefault="00E705C4" w:rsidP="00667707">
      <w:pPr>
        <w:pStyle w:val="BodyText"/>
        <w:ind w:left="1440"/>
      </w:pPr>
      <w:r w:rsidRPr="003673AB">
        <w:rPr>
          <w:rStyle w:val="IntenseEmphasis"/>
        </w:rPr>
        <w:t>Individual Risk</w:t>
      </w:r>
      <w:r>
        <w:t xml:space="preserve"> – this is a measure of the frequency with which an individual at a specified distance from the pipeline is expected to sustain a specified level of harm from the realization of specific hazards. </w:t>
      </w:r>
    </w:p>
    <w:p w14:paraId="0757DD80" w14:textId="07B3B29D" w:rsidR="00E705C4" w:rsidRDefault="00E705C4" w:rsidP="0078552B">
      <w:pPr>
        <w:pStyle w:val="BodyText"/>
      </w:pPr>
      <w:r>
        <w:t xml:space="preserve">Normally the individual risk is assessed for the individual that is considered to be at highest risk in the vicinity of the pipeline, usually the individual located nearest the pipeline. </w:t>
      </w:r>
    </w:p>
    <w:p w14:paraId="50D91E3D" w14:textId="6219691C" w:rsidR="00E705C4" w:rsidRDefault="00E705C4" w:rsidP="00667707">
      <w:pPr>
        <w:pStyle w:val="BodyText"/>
        <w:ind w:left="1440"/>
      </w:pPr>
      <w:r w:rsidRPr="00886858">
        <w:rPr>
          <w:rStyle w:val="IntenseEmphasis"/>
        </w:rPr>
        <w:t>Societal Risk</w:t>
      </w:r>
      <w:r>
        <w:t xml:space="preserve"> –</w:t>
      </w:r>
      <w:r w:rsidR="0078552B">
        <w:t xml:space="preserve"> this</w:t>
      </w:r>
      <w:r>
        <w:t xml:space="preserve"> is a measure of the relationship between the frequency of incident occurring and the number of casualties that will result.</w:t>
      </w:r>
    </w:p>
    <w:p w14:paraId="3469E07B" w14:textId="238D1FEB" w:rsidR="00E705C4" w:rsidRDefault="0078552B" w:rsidP="0078552B">
      <w:pPr>
        <w:pStyle w:val="BodyText"/>
      </w:pPr>
      <w:r>
        <w:lastRenderedPageBreak/>
        <w:t>In most cases f</w:t>
      </w:r>
      <w:r w:rsidR="00E705C4">
        <w:t xml:space="preserve">or high pressure gas pipelines the </w:t>
      </w:r>
      <w:r>
        <w:t xml:space="preserve">individual </w:t>
      </w:r>
      <w:r w:rsidR="00E705C4">
        <w:t xml:space="preserve">risk tends to be </w:t>
      </w:r>
      <w:r>
        <w:t>below or just above the HSE defined broadly acceptable level</w:t>
      </w:r>
      <w:sdt>
        <w:sdtPr>
          <w:id w:val="524684181"/>
          <w:citation/>
        </w:sdtPr>
        <w:sdtEndPr/>
        <w:sdtContent>
          <w:r>
            <w:fldChar w:fldCharType="begin"/>
          </w:r>
          <w:r>
            <w:instrText xml:space="preserve"> CITATION R2P2_2001 \l 2057 </w:instrText>
          </w:r>
          <w:r>
            <w:fldChar w:fldCharType="separate"/>
          </w:r>
          <w:r>
            <w:rPr>
              <w:noProof/>
            </w:rPr>
            <w:t xml:space="preserve"> [9]</w:t>
          </w:r>
          <w:r>
            <w:fldChar w:fldCharType="end"/>
          </w:r>
        </w:sdtContent>
      </w:sdt>
      <w:r>
        <w:t xml:space="preserve"> and </w:t>
      </w:r>
      <w:r w:rsidR="00E705C4">
        <w:t xml:space="preserve">therefore managing the risk from high pressure pipelines becomes about managing the level of societal risk within corridors either side of the pipeline defined by the maximum hazard range. </w:t>
      </w:r>
    </w:p>
    <w:p w14:paraId="5CD58BC0" w14:textId="77777777" w:rsidR="00E705C4" w:rsidRDefault="00E705C4" w:rsidP="008D37D1">
      <w:pPr>
        <w:pStyle w:val="Heading2"/>
      </w:pPr>
      <w:bookmarkStart w:id="12" w:name="_Toc465849089"/>
      <w:bookmarkStart w:id="13" w:name="_Toc21425769"/>
      <w:r>
        <w:t xml:space="preserve">Quantifying </w:t>
      </w:r>
      <w:r w:rsidRPr="0078552B">
        <w:t>Societal</w:t>
      </w:r>
      <w:r>
        <w:t xml:space="preserve"> Risk</w:t>
      </w:r>
      <w:bookmarkEnd w:id="12"/>
      <w:bookmarkEnd w:id="13"/>
    </w:p>
    <w:p w14:paraId="7242EBA4" w14:textId="5484AE79" w:rsidR="0078552B" w:rsidRDefault="0078552B" w:rsidP="0078552B">
      <w:pPr>
        <w:pStyle w:val="BodyText"/>
      </w:pPr>
      <w:r>
        <w:t xml:space="preserve">Software </w:t>
      </w:r>
      <w:r w:rsidR="00E705C4">
        <w:t xml:space="preserve">models would normally give a measure of societal risk in terms of a table of numbers of individuals that might be affected by the incident (N) and the corresponding frequencies (F) of these numbers of being affected. Frequency in this case being the predicted likelihood per year that the specified number of casualties would be subjected to the specified level of harm, as a consequence of a pipeline failure. </w:t>
      </w:r>
      <w:r>
        <w:t xml:space="preserve">It is also common practice to present the results of a societal risk assessment in the form of an FN plot of values of N against the frequency of N or more casualties occurring.  </w:t>
      </w:r>
    </w:p>
    <w:p w14:paraId="075F2004" w14:textId="30E31E87" w:rsidR="008D37D1" w:rsidRDefault="00E705C4" w:rsidP="008D37D1">
      <w:pPr>
        <w:pStyle w:val="BodyText"/>
      </w:pPr>
      <w:r>
        <w:t xml:space="preserve">The reason for their being a range of N and F values is because in most cases there would be a range of </w:t>
      </w:r>
      <w:r w:rsidR="008D37D1">
        <w:t>buildings</w:t>
      </w:r>
      <w:r>
        <w:t xml:space="preserve"> in the vicinity of the pipeline that could be affected by </w:t>
      </w:r>
      <w:r w:rsidR="008D37D1">
        <w:t xml:space="preserve">different points along </w:t>
      </w:r>
      <w:r>
        <w:t xml:space="preserve">the pipeline section of concern.  </w:t>
      </w:r>
    </w:p>
    <w:p w14:paraId="4DFBE85B" w14:textId="45C9B9B9" w:rsidR="00E705C4" w:rsidRDefault="00E705C4" w:rsidP="008D37D1">
      <w:pPr>
        <w:pStyle w:val="BodyText"/>
      </w:pPr>
      <w:r>
        <w:t>Societal risk can also be quantified in terms of Expectation Value</w:t>
      </w:r>
      <w:r w:rsidR="008D37D1">
        <w:t xml:space="preserve"> (EV)</w:t>
      </w:r>
      <w:r>
        <w:t>. This is the summation of each of the calculated individual F values multiplied by the corresponding N values</w:t>
      </w:r>
      <w:r w:rsidR="008D37D1">
        <w:t xml:space="preserve">. </w:t>
      </w:r>
      <w:r>
        <w:t xml:space="preserve">The expectation value is also often referred to as the Potential Loss of Life or (PLL). </w:t>
      </w:r>
    </w:p>
    <w:p w14:paraId="3AC95DD6" w14:textId="122770E6" w:rsidR="00E705C4" w:rsidRDefault="008D37D1" w:rsidP="008D37D1">
      <w:pPr>
        <w:pStyle w:val="Heading1"/>
      </w:pPr>
      <w:bookmarkStart w:id="14" w:name="_Toc21425770"/>
      <w:r>
        <w:lastRenderedPageBreak/>
        <w:t>Assessing and Managing Societal Risk</w:t>
      </w:r>
      <w:bookmarkEnd w:id="14"/>
    </w:p>
    <w:p w14:paraId="6A92298C" w14:textId="43FA6659" w:rsidR="008D37D1" w:rsidRDefault="008D37D1" w:rsidP="008D37D1">
      <w:pPr>
        <w:pStyle w:val="BodyText"/>
      </w:pPr>
      <w:r>
        <w:t xml:space="preserve">As identified in Section </w:t>
      </w:r>
      <w:r>
        <w:fldChar w:fldCharType="begin"/>
      </w:r>
      <w:r>
        <w:instrText xml:space="preserve"> REF _Ref534650754 \r \h </w:instrText>
      </w:r>
      <w:r>
        <w:fldChar w:fldCharType="separate"/>
      </w:r>
      <w:r w:rsidR="007C2889">
        <w:t>2</w:t>
      </w:r>
      <w:r>
        <w:fldChar w:fldCharType="end"/>
      </w:r>
      <w:r>
        <w:t xml:space="preserve"> the pipeline operator is required to demonstrate that the risks associated with his pipeline have been made ‘As Low as Reasonably Practicable’ or ALARP. As detailed in the HSE’s document Reducing Risks Protecting People (R2P2) </w:t>
      </w:r>
      <w:sdt>
        <w:sdtPr>
          <w:id w:val="1669439561"/>
          <w:citation/>
        </w:sdtPr>
        <w:sdtEndPr/>
        <w:sdtContent>
          <w:r>
            <w:fldChar w:fldCharType="begin"/>
          </w:r>
          <w:r>
            <w:instrText xml:space="preserve"> CITATION R2P2_2001 \l 2057 </w:instrText>
          </w:r>
          <w:r>
            <w:fldChar w:fldCharType="separate"/>
          </w:r>
          <w:r>
            <w:rPr>
              <w:noProof/>
            </w:rPr>
            <w:t>[9]</w:t>
          </w:r>
          <w:r>
            <w:fldChar w:fldCharType="end"/>
          </w:r>
        </w:sdtContent>
      </w:sdt>
      <w:r>
        <w:t xml:space="preserve"> following industry good practice such as the requirements of IGEM/TD/1 would normally be accepted as ALARP, i.e. operators would not be expected to undertake additional cost benefit calculations to demonstrate that the risks are ALARP if the pipeline fully complies with the code. </w:t>
      </w:r>
    </w:p>
    <w:p w14:paraId="0450DF8B" w14:textId="2F315D8D" w:rsidR="008D37D1" w:rsidRDefault="008D37D1" w:rsidP="008D37D1">
      <w:pPr>
        <w:pStyle w:val="BodyText"/>
      </w:pPr>
      <w:r>
        <w:t xml:space="preserve">However, ALARP demonstrations would be required at the locations along the pipeline that did not comply with IGEM/TD/1. As identified in Section </w:t>
      </w:r>
      <w:r>
        <w:fldChar w:fldCharType="begin"/>
      </w:r>
      <w:r>
        <w:instrText xml:space="preserve"> REF _Ref534650754 \r \h </w:instrText>
      </w:r>
      <w:r>
        <w:fldChar w:fldCharType="separate"/>
      </w:r>
      <w:r w:rsidR="007C2889">
        <w:t>2</w:t>
      </w:r>
      <w:r>
        <w:fldChar w:fldCharType="end"/>
      </w:r>
      <w:r>
        <w:t xml:space="preserve"> code non compliances would typically be </w:t>
      </w:r>
      <w:r w:rsidRPr="007A5E50">
        <w:t>proximity infringements or p</w:t>
      </w:r>
      <w:r>
        <w:t>opulation density infringements, or as a consequence of the protection requirements changing in later editions of the code, e.g. requirements for extended protection against external interference damage at major road crossings. These code non-compliances would normally be identified through the 4-yearly IGEM/TD/1 Affirmation of MOP Audit process.</w:t>
      </w:r>
    </w:p>
    <w:p w14:paraId="2D9C7864" w14:textId="77777777" w:rsidR="008D37D1" w:rsidRDefault="008D37D1" w:rsidP="008D37D1">
      <w:pPr>
        <w:pStyle w:val="BodyText"/>
      </w:pPr>
      <w:r>
        <w:t>Where non-compliances are identified these should be justified to be ALARP through quantitative risk assessment. This would include demonstrating that the risks associated with non-compliances that might result in societal risk concerns, i.e. high numbers of casualties or fatalities, can be demonstrated to be ALARP.</w:t>
      </w:r>
    </w:p>
    <w:p w14:paraId="33CCB195" w14:textId="44437B43" w:rsidR="00AD21F9" w:rsidRDefault="00AD21F9" w:rsidP="00AD21F9">
      <w:pPr>
        <w:pStyle w:val="BodyText"/>
      </w:pPr>
      <w:r>
        <w:t xml:space="preserve">IGEM/TD/2 </w:t>
      </w:r>
      <w:sdt>
        <w:sdtPr>
          <w:id w:val="1799574821"/>
          <w:citation/>
        </w:sdtPr>
        <w:sdtEndPr/>
        <w:sdtContent>
          <w:r>
            <w:fldChar w:fldCharType="begin"/>
          </w:r>
          <w:r>
            <w:instrText xml:space="preserve"> CITATION TD2_Ed2 \l 2057 </w:instrText>
          </w:r>
          <w:r>
            <w:fldChar w:fldCharType="separate"/>
          </w:r>
          <w:r>
            <w:rPr>
              <w:noProof/>
            </w:rPr>
            <w:t>[4]</w:t>
          </w:r>
          <w:r>
            <w:fldChar w:fldCharType="end"/>
          </w:r>
        </w:sdtContent>
      </w:sdt>
      <w:r>
        <w:t xml:space="preserve"> specifies a societal risk criterion in the form of an FN curve,</w:t>
      </w:r>
      <w:r w:rsidRPr="00AD21F9">
        <w:t xml:space="preserve"> </w:t>
      </w:r>
      <w:r>
        <w:t xml:space="preserve">see </w:t>
      </w:r>
      <w:r>
        <w:fldChar w:fldCharType="begin"/>
      </w:r>
      <w:r>
        <w:instrText xml:space="preserve"> REF _Ref534652000 \h </w:instrText>
      </w:r>
      <w:r>
        <w:fldChar w:fldCharType="separate"/>
      </w:r>
      <w:r>
        <w:t xml:space="preserve">Figure </w:t>
      </w:r>
      <w:r>
        <w:rPr>
          <w:noProof/>
        </w:rPr>
        <w:t>4</w:t>
      </w:r>
      <w:r>
        <w:t>.</w:t>
      </w:r>
      <w:r>
        <w:rPr>
          <w:noProof/>
        </w:rPr>
        <w:t>1</w:t>
      </w:r>
      <w:r>
        <w:fldChar w:fldCharType="end"/>
      </w:r>
      <w:r>
        <w:t>, which shows the cumulative frequency ‘F’ (usually per year) of accidents causing N or more fatalities. The criterion envelope was</w:t>
      </w:r>
      <w:r w:rsidRPr="00554108">
        <w:t xml:space="preserve"> developed with the objective of representing an acceptable risk consistent with the design, construction an</w:t>
      </w:r>
      <w:r>
        <w:t xml:space="preserve">d operation of the </w:t>
      </w:r>
      <w:r w:rsidR="00667707">
        <w:t>high-pressure</w:t>
      </w:r>
      <w:r>
        <w:t xml:space="preserve"> gas pipelines which are</w:t>
      </w:r>
      <w:r w:rsidRPr="00554108">
        <w:t xml:space="preserve"> generally in accordance with IGEM/TD/1</w:t>
      </w:r>
      <w:r>
        <w:t>. In addition, the envelope was intended</w:t>
      </w:r>
      <w:r w:rsidRPr="00554108">
        <w:t xml:space="preserve"> to be consistent </w:t>
      </w:r>
      <w:r>
        <w:t xml:space="preserve">as far as possible </w:t>
      </w:r>
      <w:r w:rsidRPr="00554108">
        <w:t>with the philosophy adopted by the HSE in its use of individual risk criteria for land-use planning in the vicinity of fixed major hazard installations, in which developments for sensitive (or vulnerable) persons were required to be at a lower risk than for the average population.</w:t>
      </w:r>
    </w:p>
    <w:p w14:paraId="4EC56E87" w14:textId="53D0C967" w:rsidR="00AD21F9" w:rsidRPr="00554108" w:rsidRDefault="00AD21F9" w:rsidP="00AD21F9">
      <w:pPr>
        <w:pStyle w:val="BodyText"/>
      </w:pPr>
      <w:r>
        <w:t>Once the F</w:t>
      </w:r>
      <w:r w:rsidRPr="00554108">
        <w:t>N curve has been calculated for an assessment lo</w:t>
      </w:r>
      <w:r>
        <w:t>cation,</w:t>
      </w:r>
      <w:r w:rsidRPr="00554108">
        <w:t xml:space="preserve"> it ca</w:t>
      </w:r>
      <w:r>
        <w:t>n be compared with the IGEM/TD/2 societal risk criterion</w:t>
      </w:r>
      <w:r w:rsidRPr="00554108">
        <w:t xml:space="preserve"> e</w:t>
      </w:r>
      <w:r>
        <w:t>nvelope. In cases where the F</w:t>
      </w:r>
      <w:r w:rsidRPr="00554108">
        <w:t>N curve from an assessment is well within the criterion envelope</w:t>
      </w:r>
      <w:r>
        <w:t>,</w:t>
      </w:r>
      <w:r w:rsidRPr="00554108">
        <w:t xml:space="preserve"> the risk wou</w:t>
      </w:r>
      <w:r>
        <w:t>ld be deemed to be acceptable. However, where the F</w:t>
      </w:r>
      <w:r w:rsidRPr="00554108">
        <w:t>N curve is close to</w:t>
      </w:r>
      <w:r>
        <w:t>, or crosses the criteria</w:t>
      </w:r>
      <w:r w:rsidRPr="00554108">
        <w:t xml:space="preserve"> envelope, </w:t>
      </w:r>
      <w:r>
        <w:t xml:space="preserve">it is recommended that a cost-benefit analysis is undertaken in order </w:t>
      </w:r>
      <w:r w:rsidRPr="00554108">
        <w:t xml:space="preserve">to demonstrate whether </w:t>
      </w:r>
      <w:r>
        <w:t xml:space="preserve">the societal risk is </w:t>
      </w:r>
      <w:proofErr w:type="spellStart"/>
      <w:r>
        <w:t>ALARP</w:t>
      </w:r>
      <w:proofErr w:type="spellEnd"/>
      <w:r>
        <w:t>.</w:t>
      </w:r>
    </w:p>
    <w:p w14:paraId="52885DDB" w14:textId="34D5FBF0" w:rsidR="00AD21F9" w:rsidRDefault="00AD21F9" w:rsidP="008D37D1">
      <w:pPr>
        <w:pStyle w:val="BodyText"/>
      </w:pPr>
      <w:r>
        <w:t xml:space="preserve">Further details on the recommended approach to cost benefit analysis can be found in  </w:t>
      </w:r>
      <w:r w:rsidR="00F769DF" w:rsidRPr="00F769DF">
        <w:t xml:space="preserve">UKOPA/GP/025 </w:t>
      </w:r>
      <w:r w:rsidR="00BB535F" w:rsidRPr="00BB535F">
        <w:t xml:space="preserve">Application of cost benefit analysis to demonstrate </w:t>
      </w:r>
      <w:proofErr w:type="spellStart"/>
      <w:r w:rsidR="00BB535F" w:rsidRPr="00BB535F">
        <w:t>ALARP</w:t>
      </w:r>
      <w:proofErr w:type="spellEnd"/>
      <w:r>
        <w:t xml:space="preserve"> and the overall ALARP assessment process is shown in </w:t>
      </w:r>
      <w:r>
        <w:fldChar w:fldCharType="begin"/>
      </w:r>
      <w:r>
        <w:instrText xml:space="preserve"> REF _Ref534652369 \h </w:instrText>
      </w:r>
      <w:r>
        <w:fldChar w:fldCharType="separate"/>
      </w:r>
      <w:r>
        <w:t xml:space="preserve">Figure </w:t>
      </w:r>
      <w:r>
        <w:rPr>
          <w:noProof/>
        </w:rPr>
        <w:t>4</w:t>
      </w:r>
      <w:r>
        <w:t>.</w:t>
      </w:r>
      <w:r>
        <w:rPr>
          <w:noProof/>
        </w:rPr>
        <w:t>2</w:t>
      </w:r>
      <w:r>
        <w:fldChar w:fldCharType="end"/>
      </w:r>
      <w:r>
        <w:t>.</w:t>
      </w:r>
    </w:p>
    <w:p w14:paraId="25021A09" w14:textId="77777777" w:rsidR="00AD21F9" w:rsidRDefault="00AD21F9" w:rsidP="00AD21F9">
      <w:pPr>
        <w:pStyle w:val="BodyText"/>
        <w:keepNext/>
        <w:jc w:val="center"/>
      </w:pPr>
      <w:r w:rsidRPr="00AD21F9">
        <w:rPr>
          <w:noProof/>
          <w:lang w:val="en-US" w:eastAsia="zh-CN"/>
        </w:rPr>
        <w:lastRenderedPageBreak/>
        <w:drawing>
          <wp:inline distT="0" distB="0" distL="0" distR="0" wp14:anchorId="49B3EAC7" wp14:editId="150FCE58">
            <wp:extent cx="3476031" cy="4248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7097" r="7836"/>
                    <a:stretch/>
                  </pic:blipFill>
                  <pic:spPr bwMode="auto">
                    <a:xfrm>
                      <a:off x="0" y="0"/>
                      <a:ext cx="3476031" cy="4248000"/>
                    </a:xfrm>
                    <a:prstGeom prst="rect">
                      <a:avLst/>
                    </a:prstGeom>
                    <a:ln>
                      <a:noFill/>
                    </a:ln>
                    <a:extLst>
                      <a:ext uri="{53640926-AAD7-44D8-BBD7-CCE9431645EC}">
                        <a14:shadowObscured xmlns:a14="http://schemas.microsoft.com/office/drawing/2010/main"/>
                      </a:ext>
                    </a:extLst>
                  </pic:spPr>
                </pic:pic>
              </a:graphicData>
            </a:graphic>
          </wp:inline>
        </w:drawing>
      </w:r>
    </w:p>
    <w:p w14:paraId="2BA073EA" w14:textId="51440BCC" w:rsidR="00AD21F9" w:rsidRDefault="00AD21F9" w:rsidP="00AD21F9">
      <w:pPr>
        <w:pStyle w:val="Caption"/>
      </w:pPr>
      <w:bookmarkStart w:id="15" w:name="_Ref534652000"/>
      <w:r>
        <w:t>Figure </w:t>
      </w:r>
      <w:fldSimple w:instr=" STYLEREF 1 \s ">
        <w:r>
          <w:rPr>
            <w:noProof/>
          </w:rPr>
          <w:t>4</w:t>
        </w:r>
      </w:fldSimple>
      <w:r>
        <w:t>.</w:t>
      </w:r>
      <w:fldSimple w:instr=" SEQ Figure \* ARABIC \s 1 ">
        <w:r>
          <w:rPr>
            <w:noProof/>
          </w:rPr>
          <w:t>1</w:t>
        </w:r>
      </w:fldSimple>
      <w:bookmarkEnd w:id="15"/>
      <w:r>
        <w:t>: IGEM/TD/2 FN Criterion Envelope</w:t>
      </w:r>
    </w:p>
    <w:p w14:paraId="04AEBFE1" w14:textId="77777777" w:rsidR="00AD21F9" w:rsidRDefault="00AD21F9" w:rsidP="00AD21F9">
      <w:pPr>
        <w:pStyle w:val="BodyText"/>
        <w:keepNext/>
        <w:jc w:val="center"/>
      </w:pPr>
      <w:r>
        <w:rPr>
          <w:noProof/>
          <w:lang w:val="en-US" w:eastAsia="zh-CN"/>
        </w:rPr>
        <w:drawing>
          <wp:inline distT="0" distB="0" distL="0" distR="0" wp14:anchorId="101F04C0" wp14:editId="74594B52">
            <wp:extent cx="4712934" cy="3600000"/>
            <wp:effectExtent l="19050" t="19050" r="12065" b="196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12934" cy="3600000"/>
                    </a:xfrm>
                    <a:prstGeom prst="rect">
                      <a:avLst/>
                    </a:prstGeom>
                    <a:noFill/>
                    <a:ln w="6350">
                      <a:solidFill>
                        <a:srgbClr val="000000"/>
                      </a:solidFill>
                    </a:ln>
                  </pic:spPr>
                </pic:pic>
              </a:graphicData>
            </a:graphic>
          </wp:inline>
        </w:drawing>
      </w:r>
    </w:p>
    <w:p w14:paraId="3F03CEBD" w14:textId="77777777" w:rsidR="00AD21F9" w:rsidRDefault="00AD21F9" w:rsidP="00AD21F9">
      <w:pPr>
        <w:pStyle w:val="Caption"/>
      </w:pPr>
      <w:bookmarkStart w:id="16" w:name="_Ref534652369"/>
      <w:r>
        <w:t xml:space="preserve">Figure </w:t>
      </w:r>
      <w:fldSimple w:instr=" STYLEREF 1 \s ">
        <w:r>
          <w:rPr>
            <w:noProof/>
          </w:rPr>
          <w:t>4</w:t>
        </w:r>
      </w:fldSimple>
      <w:r>
        <w:t>.</w:t>
      </w:r>
      <w:fldSimple w:instr=" SEQ Figure \* ARABIC \s 1 ">
        <w:r>
          <w:rPr>
            <w:noProof/>
          </w:rPr>
          <w:t>2</w:t>
        </w:r>
      </w:fldSimple>
      <w:bookmarkEnd w:id="16"/>
      <w:r>
        <w:t>: Overview of ALARP Assessment Process</w:t>
      </w:r>
    </w:p>
    <w:p w14:paraId="006D3B7C" w14:textId="77777777" w:rsidR="007C2889" w:rsidRPr="009E1114" w:rsidRDefault="007C2889" w:rsidP="007C2889">
      <w:pPr>
        <w:pStyle w:val="Heading2"/>
      </w:pPr>
      <w:bookmarkStart w:id="17" w:name="_Toc465849091"/>
      <w:bookmarkStart w:id="18" w:name="_Toc21425771"/>
      <w:r>
        <w:lastRenderedPageBreak/>
        <w:t>Multiple Infringement Locations</w:t>
      </w:r>
      <w:bookmarkEnd w:id="17"/>
      <w:bookmarkEnd w:id="18"/>
    </w:p>
    <w:p w14:paraId="798FC635" w14:textId="7F7E3A20" w:rsidR="007C2889" w:rsidRDefault="007C2889" w:rsidP="007C2889">
      <w:pPr>
        <w:pStyle w:val="BodyText"/>
        <w:rPr>
          <w:noProof/>
          <w:lang w:eastAsia="en-GB"/>
        </w:rPr>
      </w:pPr>
      <w:r>
        <w:rPr>
          <w:noProof/>
          <w:lang w:eastAsia="en-GB"/>
        </w:rPr>
        <w:t>There may be some pipelines that have very large numbers of individual infringements. Where this is the case then the societal risk integrated along the length of the pipeline must be considered rather than just considering the risk in isolation for individual infringements. When considering reasonably practicable measures these should be extended to include measures that might reduce the risk along the length of the pipeline, for example increased surveillance along the whole pipeline length, or rerouting of the pipeline taking into account that the risk would be reduced or removed at a number of locations not just individual locations.</w:t>
      </w:r>
    </w:p>
    <w:p w14:paraId="0DAA679C" w14:textId="77777777" w:rsidR="007C2889" w:rsidRPr="007C2889" w:rsidRDefault="007C2889" w:rsidP="007C2889">
      <w:pPr>
        <w:pStyle w:val="BodyText"/>
      </w:pPr>
    </w:p>
    <w:bookmarkStart w:id="19" w:name="_Toc21425772" w:displacedByCustomXml="next"/>
    <w:sdt>
      <w:sdtPr>
        <w:rPr>
          <w:rFonts w:asciiTheme="minorHAnsi" w:hAnsiTheme="minorHAnsi"/>
          <w:b w:val="0"/>
          <w:caps w:val="0"/>
          <w:noProof w:val="0"/>
          <w:color w:val="auto"/>
          <w:kern w:val="0"/>
          <w:sz w:val="20"/>
        </w:rPr>
        <w:id w:val="-1468276097"/>
        <w:docPartObj>
          <w:docPartGallery w:val="Bibliographies"/>
          <w:docPartUnique/>
        </w:docPartObj>
      </w:sdtPr>
      <w:sdtEndPr/>
      <w:sdtContent>
        <w:p w14:paraId="3FDAFB66" w14:textId="452FC24F" w:rsidR="00F719F0" w:rsidRDefault="00F719F0">
          <w:pPr>
            <w:pStyle w:val="Heading1"/>
          </w:pPr>
          <w:r>
            <w:t>References</w:t>
          </w:r>
          <w:bookmarkEnd w:id="19"/>
        </w:p>
        <w:sdt>
          <w:sdtPr>
            <w:id w:val="-573587230"/>
            <w:bibliography/>
          </w:sdtPr>
          <w:sdtEndPr/>
          <w:sdtContent>
            <w:p w14:paraId="078EB14D" w14:textId="77777777" w:rsidR="00AA1279" w:rsidRDefault="00F719F0">
              <w:pPr>
                <w:rPr>
                  <w:rFonts w:ascii="Times New Roman" w:hAnsi="Times New Roman"/>
                  <w:noProof/>
                  <w:lang w:eastAsia="en-GB"/>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664"/>
              </w:tblGrid>
              <w:tr w:rsidR="00AA1279" w14:paraId="048D9B36" w14:textId="77777777">
                <w:trPr>
                  <w:divId w:val="1715737584"/>
                  <w:tblCellSpacing w:w="15" w:type="dxa"/>
                </w:trPr>
                <w:tc>
                  <w:tcPr>
                    <w:tcW w:w="50" w:type="pct"/>
                    <w:hideMark/>
                  </w:tcPr>
                  <w:p w14:paraId="61090068" w14:textId="0665B99F" w:rsidR="00AA1279" w:rsidRDefault="00AA1279">
                    <w:pPr>
                      <w:pStyle w:val="Bibliography"/>
                      <w:rPr>
                        <w:noProof/>
                        <w:sz w:val="24"/>
                        <w:szCs w:val="24"/>
                      </w:rPr>
                    </w:pPr>
                    <w:r>
                      <w:rPr>
                        <w:noProof/>
                      </w:rPr>
                      <w:t xml:space="preserve">[1] </w:t>
                    </w:r>
                  </w:p>
                </w:tc>
                <w:tc>
                  <w:tcPr>
                    <w:tcW w:w="0" w:type="auto"/>
                    <w:hideMark/>
                  </w:tcPr>
                  <w:p w14:paraId="3161808E" w14:textId="77777777" w:rsidR="00AA1279" w:rsidRDefault="00AA1279">
                    <w:pPr>
                      <w:pStyle w:val="Bibliography"/>
                      <w:rPr>
                        <w:noProof/>
                      </w:rPr>
                    </w:pPr>
                    <w:r>
                      <w:rPr>
                        <w:noProof/>
                      </w:rPr>
                      <w:t xml:space="preserve">SI 1996 No. 825, </w:t>
                    </w:r>
                    <w:r>
                      <w:rPr>
                        <w:i/>
                        <w:iCs/>
                        <w:noProof/>
                      </w:rPr>
                      <w:t xml:space="preserve">The Pipelines Safety Regulations 1996, as amended, </w:t>
                    </w:r>
                    <w:r>
                      <w:rPr>
                        <w:noProof/>
                      </w:rPr>
                      <w:t xml:space="preserve">HMSO. </w:t>
                    </w:r>
                  </w:p>
                </w:tc>
              </w:tr>
              <w:tr w:rsidR="00AA1279" w14:paraId="2A2789E7" w14:textId="77777777">
                <w:trPr>
                  <w:divId w:val="1715737584"/>
                  <w:tblCellSpacing w:w="15" w:type="dxa"/>
                </w:trPr>
                <w:tc>
                  <w:tcPr>
                    <w:tcW w:w="50" w:type="pct"/>
                    <w:hideMark/>
                  </w:tcPr>
                  <w:p w14:paraId="47880F01" w14:textId="77777777" w:rsidR="00AA1279" w:rsidRDefault="00AA1279">
                    <w:pPr>
                      <w:pStyle w:val="Bibliography"/>
                      <w:rPr>
                        <w:noProof/>
                      </w:rPr>
                    </w:pPr>
                    <w:r>
                      <w:rPr>
                        <w:noProof/>
                      </w:rPr>
                      <w:t xml:space="preserve">[2] </w:t>
                    </w:r>
                  </w:p>
                </w:tc>
                <w:tc>
                  <w:tcPr>
                    <w:tcW w:w="0" w:type="auto"/>
                    <w:hideMark/>
                  </w:tcPr>
                  <w:p w14:paraId="49B46F88" w14:textId="77777777" w:rsidR="00AA1279" w:rsidRDefault="00AA1279">
                    <w:pPr>
                      <w:pStyle w:val="Bibliography"/>
                      <w:rPr>
                        <w:noProof/>
                      </w:rPr>
                    </w:pPr>
                    <w:r>
                      <w:rPr>
                        <w:noProof/>
                      </w:rPr>
                      <w:t xml:space="preserve">IGEM/TD/1 Edition 5 with amendments, </w:t>
                    </w:r>
                    <w:r>
                      <w:rPr>
                        <w:i/>
                        <w:iCs/>
                        <w:noProof/>
                      </w:rPr>
                      <w:t xml:space="preserve">Steel pipelines and associated installations for high pressure gas transmission, </w:t>
                    </w:r>
                    <w:r>
                      <w:rPr>
                        <w:noProof/>
                      </w:rPr>
                      <w:t xml:space="preserve">Communication 1789, Institution of Gas Engineers &amp; Managers, July 2016. </w:t>
                    </w:r>
                  </w:p>
                </w:tc>
              </w:tr>
              <w:tr w:rsidR="00AA1279" w14:paraId="02B70F13" w14:textId="77777777">
                <w:trPr>
                  <w:divId w:val="1715737584"/>
                  <w:tblCellSpacing w:w="15" w:type="dxa"/>
                </w:trPr>
                <w:tc>
                  <w:tcPr>
                    <w:tcW w:w="50" w:type="pct"/>
                    <w:hideMark/>
                  </w:tcPr>
                  <w:p w14:paraId="49E2200F" w14:textId="77777777" w:rsidR="00AA1279" w:rsidRDefault="00AA1279">
                    <w:pPr>
                      <w:pStyle w:val="Bibliography"/>
                      <w:rPr>
                        <w:noProof/>
                      </w:rPr>
                    </w:pPr>
                    <w:r>
                      <w:rPr>
                        <w:noProof/>
                      </w:rPr>
                      <w:t xml:space="preserve">[3] </w:t>
                    </w:r>
                  </w:p>
                </w:tc>
                <w:tc>
                  <w:tcPr>
                    <w:tcW w:w="0" w:type="auto"/>
                    <w:hideMark/>
                  </w:tcPr>
                  <w:p w14:paraId="02F4C1AF" w14:textId="77777777" w:rsidR="00AA1279" w:rsidRDefault="00AA1279">
                    <w:pPr>
                      <w:pStyle w:val="Bibliography"/>
                      <w:rPr>
                        <w:noProof/>
                      </w:rPr>
                    </w:pPr>
                    <w:r>
                      <w:rPr>
                        <w:noProof/>
                      </w:rPr>
                      <w:t xml:space="preserve">IGEM/TD/3 Edition 5, </w:t>
                    </w:r>
                    <w:r>
                      <w:rPr>
                        <w:i/>
                        <w:iCs/>
                        <w:noProof/>
                      </w:rPr>
                      <w:t xml:space="preserve">Steel and PE pipelines for gas distribution, </w:t>
                    </w:r>
                    <w:r>
                      <w:rPr>
                        <w:noProof/>
                      </w:rPr>
                      <w:t xml:space="preserve">Communication 1770, Institution of Gas Engineers &amp; Managers, 2014. </w:t>
                    </w:r>
                  </w:p>
                </w:tc>
              </w:tr>
              <w:tr w:rsidR="00AA1279" w14:paraId="28BCDDBB" w14:textId="77777777">
                <w:trPr>
                  <w:divId w:val="1715737584"/>
                  <w:tblCellSpacing w:w="15" w:type="dxa"/>
                </w:trPr>
                <w:tc>
                  <w:tcPr>
                    <w:tcW w:w="50" w:type="pct"/>
                    <w:hideMark/>
                  </w:tcPr>
                  <w:p w14:paraId="43C9FDBB" w14:textId="77777777" w:rsidR="00AA1279" w:rsidRDefault="00AA1279">
                    <w:pPr>
                      <w:pStyle w:val="Bibliography"/>
                      <w:rPr>
                        <w:noProof/>
                      </w:rPr>
                    </w:pPr>
                    <w:r>
                      <w:rPr>
                        <w:noProof/>
                      </w:rPr>
                      <w:t xml:space="preserve">[4] </w:t>
                    </w:r>
                  </w:p>
                </w:tc>
                <w:tc>
                  <w:tcPr>
                    <w:tcW w:w="0" w:type="auto"/>
                    <w:hideMark/>
                  </w:tcPr>
                  <w:p w14:paraId="3717D7C1" w14:textId="77777777" w:rsidR="00AA1279" w:rsidRDefault="00AA1279">
                    <w:pPr>
                      <w:pStyle w:val="Bibliography"/>
                      <w:rPr>
                        <w:noProof/>
                      </w:rPr>
                    </w:pPr>
                    <w:r>
                      <w:rPr>
                        <w:noProof/>
                      </w:rPr>
                      <w:t xml:space="preserve">IGEM/TD/2 Edition 2, </w:t>
                    </w:r>
                    <w:r>
                      <w:rPr>
                        <w:i/>
                        <w:iCs/>
                        <w:noProof/>
                      </w:rPr>
                      <w:t xml:space="preserve">Assessing the risks from high pressure natural gas pipelines, </w:t>
                    </w:r>
                    <w:r>
                      <w:rPr>
                        <w:noProof/>
                      </w:rPr>
                      <w:t xml:space="preserve">Institution of Gas Engineers &amp; Managers, 2013. </w:t>
                    </w:r>
                  </w:p>
                </w:tc>
              </w:tr>
              <w:tr w:rsidR="00AA1279" w14:paraId="7CE6C7CB" w14:textId="77777777">
                <w:trPr>
                  <w:divId w:val="1715737584"/>
                  <w:tblCellSpacing w:w="15" w:type="dxa"/>
                </w:trPr>
                <w:tc>
                  <w:tcPr>
                    <w:tcW w:w="50" w:type="pct"/>
                    <w:hideMark/>
                  </w:tcPr>
                  <w:p w14:paraId="709327DF" w14:textId="77777777" w:rsidR="00AA1279" w:rsidRDefault="00AA1279">
                    <w:pPr>
                      <w:pStyle w:val="Bibliography"/>
                      <w:rPr>
                        <w:noProof/>
                      </w:rPr>
                    </w:pPr>
                    <w:r>
                      <w:rPr>
                        <w:noProof/>
                      </w:rPr>
                      <w:t xml:space="preserve">[5] </w:t>
                    </w:r>
                  </w:p>
                </w:tc>
                <w:tc>
                  <w:tcPr>
                    <w:tcW w:w="0" w:type="auto"/>
                    <w:hideMark/>
                  </w:tcPr>
                  <w:p w14:paraId="586D8727" w14:textId="77777777" w:rsidR="00AA1279" w:rsidRDefault="00AA1279">
                    <w:pPr>
                      <w:pStyle w:val="Bibliography"/>
                      <w:rPr>
                        <w:noProof/>
                      </w:rPr>
                    </w:pPr>
                    <w:r>
                      <w:rPr>
                        <w:noProof/>
                      </w:rPr>
                      <w:t>Health and Safety Executive, “HSE’S LAND USE PLANNING METHODOLOGY,” [Online]. Available: http://www.hse.gov.uk/landuseplanning/methodology.pdf. [Accessed 15 12 2017].</w:t>
                    </w:r>
                  </w:p>
                </w:tc>
              </w:tr>
              <w:tr w:rsidR="00AA1279" w14:paraId="45F15994" w14:textId="77777777">
                <w:trPr>
                  <w:divId w:val="1715737584"/>
                  <w:tblCellSpacing w:w="15" w:type="dxa"/>
                </w:trPr>
                <w:tc>
                  <w:tcPr>
                    <w:tcW w:w="50" w:type="pct"/>
                    <w:hideMark/>
                  </w:tcPr>
                  <w:p w14:paraId="3C8BB4C7" w14:textId="77777777" w:rsidR="00AA1279" w:rsidRDefault="00AA1279">
                    <w:pPr>
                      <w:pStyle w:val="Bibliography"/>
                      <w:rPr>
                        <w:noProof/>
                      </w:rPr>
                    </w:pPr>
                    <w:r>
                      <w:rPr>
                        <w:noProof/>
                      </w:rPr>
                      <w:t xml:space="preserve">[6] </w:t>
                    </w:r>
                  </w:p>
                </w:tc>
                <w:tc>
                  <w:tcPr>
                    <w:tcW w:w="0" w:type="auto"/>
                    <w:hideMark/>
                  </w:tcPr>
                  <w:p w14:paraId="56A2FDD9" w14:textId="77777777" w:rsidR="00AA1279" w:rsidRDefault="00AA1279">
                    <w:pPr>
                      <w:pStyle w:val="Bibliography"/>
                      <w:rPr>
                        <w:noProof/>
                      </w:rPr>
                    </w:pPr>
                    <w:r>
                      <w:rPr>
                        <w:noProof/>
                      </w:rPr>
                      <w:t>G. D. Goodfellow, C. J. Lyons and J. V. Haswell, “UKOPA Pipeline Product Loss Incidents and Faults Reports (1962 - 2016),” UKOPA/17/002, Issue 1.1, February 2018.</w:t>
                    </w:r>
                  </w:p>
                </w:tc>
              </w:tr>
              <w:tr w:rsidR="00AA1279" w14:paraId="6AE4E26B" w14:textId="77777777">
                <w:trPr>
                  <w:divId w:val="1715737584"/>
                  <w:tblCellSpacing w:w="15" w:type="dxa"/>
                </w:trPr>
                <w:tc>
                  <w:tcPr>
                    <w:tcW w:w="50" w:type="pct"/>
                    <w:hideMark/>
                  </w:tcPr>
                  <w:p w14:paraId="5706643F" w14:textId="77777777" w:rsidR="00AA1279" w:rsidRDefault="00AA1279">
                    <w:pPr>
                      <w:pStyle w:val="Bibliography"/>
                      <w:rPr>
                        <w:noProof/>
                      </w:rPr>
                    </w:pPr>
                    <w:r>
                      <w:rPr>
                        <w:noProof/>
                      </w:rPr>
                      <w:t xml:space="preserve">[7] </w:t>
                    </w:r>
                  </w:p>
                </w:tc>
                <w:tc>
                  <w:tcPr>
                    <w:tcW w:w="0" w:type="auto"/>
                    <w:hideMark/>
                  </w:tcPr>
                  <w:p w14:paraId="2B40AACA" w14:textId="77777777" w:rsidR="00AA1279" w:rsidRDefault="00AA1279">
                    <w:pPr>
                      <w:pStyle w:val="Bibliography"/>
                      <w:rPr>
                        <w:noProof/>
                      </w:rPr>
                    </w:pPr>
                    <w:r>
                      <w:rPr>
                        <w:noProof/>
                      </w:rPr>
                      <w:t>EGIG, “10th Report of the European Gas Pipeline Incident Data Group,” VA 17.R.0395, March 2018.</w:t>
                    </w:r>
                  </w:p>
                </w:tc>
              </w:tr>
              <w:tr w:rsidR="00AA1279" w14:paraId="3F5FECB3" w14:textId="77777777">
                <w:trPr>
                  <w:divId w:val="1715737584"/>
                  <w:tblCellSpacing w:w="15" w:type="dxa"/>
                </w:trPr>
                <w:tc>
                  <w:tcPr>
                    <w:tcW w:w="50" w:type="pct"/>
                    <w:hideMark/>
                  </w:tcPr>
                  <w:p w14:paraId="69CF174F" w14:textId="77777777" w:rsidR="00AA1279" w:rsidRDefault="00AA1279">
                    <w:pPr>
                      <w:pStyle w:val="Bibliography"/>
                      <w:rPr>
                        <w:noProof/>
                      </w:rPr>
                    </w:pPr>
                    <w:r>
                      <w:rPr>
                        <w:noProof/>
                      </w:rPr>
                      <w:t xml:space="preserve">[8] </w:t>
                    </w:r>
                  </w:p>
                </w:tc>
                <w:tc>
                  <w:tcPr>
                    <w:tcW w:w="0" w:type="auto"/>
                    <w:hideMark/>
                  </w:tcPr>
                  <w:p w14:paraId="48BE1607" w14:textId="77777777" w:rsidR="00AA1279" w:rsidRDefault="00AA1279">
                    <w:pPr>
                      <w:pStyle w:val="Bibliography"/>
                      <w:rPr>
                        <w:noProof/>
                      </w:rPr>
                    </w:pPr>
                    <w:r>
                      <w:rPr>
                        <w:noProof/>
                      </w:rPr>
                      <w:t>M. R. Acton, T. R. Baldwin and E. E. R. Jager, “Recent Developments in the Design and Application of the Pipesafe Risk Assessment Package for Gas Transmission Pipelines,” IPC2002-27196, Proceedings of IPC'02, 4th International Pipeline Conference, Calgary, 2002.</w:t>
                    </w:r>
                  </w:p>
                </w:tc>
              </w:tr>
              <w:tr w:rsidR="00AA1279" w14:paraId="40560806" w14:textId="77777777">
                <w:trPr>
                  <w:divId w:val="1715737584"/>
                  <w:tblCellSpacing w:w="15" w:type="dxa"/>
                </w:trPr>
                <w:tc>
                  <w:tcPr>
                    <w:tcW w:w="50" w:type="pct"/>
                    <w:hideMark/>
                  </w:tcPr>
                  <w:p w14:paraId="5E0866EB" w14:textId="77777777" w:rsidR="00AA1279" w:rsidRDefault="00AA1279">
                    <w:pPr>
                      <w:pStyle w:val="Bibliography"/>
                      <w:rPr>
                        <w:noProof/>
                      </w:rPr>
                    </w:pPr>
                    <w:r>
                      <w:rPr>
                        <w:noProof/>
                      </w:rPr>
                      <w:t xml:space="preserve">[9] </w:t>
                    </w:r>
                  </w:p>
                </w:tc>
                <w:tc>
                  <w:tcPr>
                    <w:tcW w:w="0" w:type="auto"/>
                    <w:hideMark/>
                  </w:tcPr>
                  <w:p w14:paraId="036121B0" w14:textId="77777777" w:rsidR="00AA1279" w:rsidRDefault="00AA1279">
                    <w:pPr>
                      <w:pStyle w:val="Bibliography"/>
                      <w:rPr>
                        <w:noProof/>
                      </w:rPr>
                    </w:pPr>
                    <w:r>
                      <w:rPr>
                        <w:noProof/>
                      </w:rPr>
                      <w:t>Anon, “Reducing risks, protecting people. HSE's decision-making process,” HMSO, London, 2001.</w:t>
                    </w:r>
                  </w:p>
                </w:tc>
              </w:tr>
              <w:tr w:rsidR="00AA1279" w14:paraId="62A946F5" w14:textId="77777777">
                <w:trPr>
                  <w:divId w:val="1715737584"/>
                  <w:tblCellSpacing w:w="15" w:type="dxa"/>
                </w:trPr>
                <w:tc>
                  <w:tcPr>
                    <w:tcW w:w="50" w:type="pct"/>
                    <w:hideMark/>
                  </w:tcPr>
                  <w:p w14:paraId="3F7E92AA" w14:textId="77777777" w:rsidR="00AA1279" w:rsidRDefault="00AA1279">
                    <w:pPr>
                      <w:pStyle w:val="Bibliography"/>
                      <w:rPr>
                        <w:noProof/>
                      </w:rPr>
                    </w:pPr>
                    <w:r>
                      <w:rPr>
                        <w:noProof/>
                      </w:rPr>
                      <w:t xml:space="preserve">[10] </w:t>
                    </w:r>
                  </w:p>
                </w:tc>
                <w:tc>
                  <w:tcPr>
                    <w:tcW w:w="0" w:type="auto"/>
                    <w:hideMark/>
                  </w:tcPr>
                  <w:p w14:paraId="75CD5E58" w14:textId="77777777" w:rsidR="00AA1279" w:rsidRDefault="00AA1279">
                    <w:pPr>
                      <w:pStyle w:val="Bibliography"/>
                      <w:rPr>
                        <w:noProof/>
                      </w:rPr>
                    </w:pPr>
                    <w:r>
                      <w:rPr>
                        <w:noProof/>
                      </w:rPr>
                      <w:t>UKOPA, “UK Onshore Pipeline Operators' Association - Industry Good Practice Guide, Cost Benefit Analysis,” UKOPA/GP/xxx.</w:t>
                    </w:r>
                  </w:p>
                </w:tc>
              </w:tr>
            </w:tbl>
            <w:p w14:paraId="131421EA" w14:textId="77777777" w:rsidR="00AA1279" w:rsidRDefault="00AA1279">
              <w:pPr>
                <w:divId w:val="1715737584"/>
                <w:rPr>
                  <w:noProof/>
                </w:rPr>
              </w:pPr>
            </w:p>
            <w:p w14:paraId="4EEB43A8" w14:textId="176CD4E3" w:rsidR="00F719F0" w:rsidRDefault="00F719F0">
              <w:r>
                <w:rPr>
                  <w:b/>
                  <w:bCs/>
                  <w:noProof/>
                </w:rPr>
                <w:fldChar w:fldCharType="end"/>
              </w:r>
            </w:p>
          </w:sdtContent>
        </w:sdt>
      </w:sdtContent>
    </w:sdt>
    <w:p w14:paraId="44F62A87" w14:textId="77777777" w:rsidR="00CC6D83" w:rsidRPr="00CC6D83" w:rsidRDefault="00CC6D83" w:rsidP="00CC6D83">
      <w:pPr>
        <w:pStyle w:val="BodyText"/>
      </w:pPr>
    </w:p>
    <w:sectPr w:rsidR="00CC6D83" w:rsidRPr="00CC6D83" w:rsidSect="007D70C0">
      <w:footerReference w:type="default" r:id="rId25"/>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DA0D6" w14:textId="77777777" w:rsidR="00303FDD" w:rsidRDefault="00303FDD" w:rsidP="007D7FDC"/>
  </w:endnote>
  <w:endnote w:type="continuationSeparator" w:id="0">
    <w:p w14:paraId="7E250A1B" w14:textId="77777777" w:rsidR="00303FDD" w:rsidRDefault="00303FDD"/>
  </w:endnote>
  <w:endnote w:type="continuationNotice" w:id="1">
    <w:p w14:paraId="4E783DB3" w14:textId="77777777" w:rsidR="00303FDD" w:rsidRDefault="00303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CB4F" w14:textId="77777777" w:rsidR="00AD21F9" w:rsidRDefault="00AD21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74D7E26" w14:textId="77777777" w:rsidR="00AD21F9" w:rsidRDefault="00AD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AAE7" w14:textId="77777777" w:rsidR="00AD21F9" w:rsidRPr="006E4D29" w:rsidRDefault="00AD21F9" w:rsidP="006E4D29">
    <w:pPr>
      <w:pStyle w:val="Footer"/>
      <w:pBdr>
        <w:top w:val="none" w:sz="0" w:space="0" w:color="auto"/>
      </w:pBdr>
      <w:spacing w:before="120"/>
      <w:jc w:val="center"/>
      <w:rPr>
        <w:sz w:val="20"/>
      </w:rPr>
    </w:pPr>
    <w:r>
      <w:rPr>
        <w:noProof/>
        <w:lang w:val="en-US" w:eastAsia="zh-CN"/>
      </w:rPr>
      <mc:AlternateContent>
        <mc:Choice Requires="wps">
          <w:drawing>
            <wp:anchor distT="0" distB="0" distL="114300" distR="114300" simplePos="0" relativeHeight="251660288" behindDoc="0" locked="0" layoutInCell="1" allowOverlap="1" wp14:anchorId="6C20754C" wp14:editId="3440D707">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698C3F" w14:textId="77777777" w:rsidR="00AD21F9" w:rsidRDefault="00AD21F9"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20754C"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" fillcolor="#bebfc1 [1942]" stroked="f">
              <v:textbox>
                <w:txbxContent>
                  <w:p w14:paraId="33698C3F" w14:textId="77777777" w:rsidR="00AD21F9" w:rsidRDefault="00AD21F9"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D4A3" w14:textId="082D9DA6" w:rsidR="00AD21F9" w:rsidRPr="008F1518" w:rsidRDefault="00AD21F9" w:rsidP="008F1518">
    <w:pPr>
      <w:pStyle w:val="Footer"/>
    </w:pPr>
    <w:r>
      <w:tab/>
    </w:r>
    <w:r>
      <w:tab/>
    </w:r>
    <w:r w:rsidR="00EE1350">
      <w:fldChar w:fldCharType="begin"/>
    </w:r>
    <w:r w:rsidR="00EE1350">
      <w:instrText xml:space="preserve"> COMMENTS \* MERGEFORMAT </w:instrText>
    </w:r>
    <w:r w:rsidR="00EE1350">
      <w:fldChar w:fldCharType="separate"/>
    </w:r>
    <w:r>
      <w:t>UKOPA/TBN/XXX Edition B</w:t>
    </w:r>
    <w:r w:rsidR="00EE135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1EB2" w14:textId="13313265" w:rsidR="00AD21F9" w:rsidRPr="00F44755" w:rsidRDefault="00AD21F9"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1215A8">
          <w:rPr>
            <w:color w:val="00243A"/>
          </w:rPr>
          <w:t>UKOPA/TBN/02 Edition 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2782" w14:textId="7438D28B" w:rsidR="00AD21F9" w:rsidRDefault="00AD21F9" w:rsidP="008F1518">
    <w:pPr>
      <w:pStyle w:val="Footer"/>
    </w:pPr>
    <w:r>
      <w:rPr>
        <w:noProof/>
      </w:rPr>
      <w:fldChar w:fldCharType="begin"/>
    </w:r>
    <w:r>
      <w:rPr>
        <w:noProof/>
      </w:rPr>
      <w:instrText xml:space="preserve"> STYLEREF "Heading 1" \* MERGEFORMAT </w:instrText>
    </w:r>
    <w:r>
      <w:rPr>
        <w:noProof/>
      </w:rPr>
      <w:fldChar w:fldCharType="separate"/>
    </w:r>
    <w:r w:rsidR="00EE1350">
      <w:rPr>
        <w:noProof/>
      </w:rPr>
      <w:t>Assessing and Managing Societal Risk</w:t>
    </w:r>
    <w:r>
      <w:rPr>
        <w:noProof/>
      </w:rPr>
      <w:fldChar w:fldCharType="end"/>
    </w:r>
    <w:bookmarkStart w:id="20"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314CC3">
      <w:rPr>
        <w:rStyle w:val="PageNumber"/>
        <w:noProof/>
      </w:rPr>
      <w:t>1</w:t>
    </w:r>
    <w:r>
      <w:rPr>
        <w:rStyle w:val="PageNumber"/>
      </w:rPr>
      <w:fldChar w:fldCharType="end"/>
    </w:r>
    <w:r>
      <w:rPr>
        <w:rStyle w:val="PageNumber"/>
        <w:snapToGrid w:val="0"/>
      </w:rPr>
      <w:t xml:space="preserve"> of </w:t>
    </w:r>
    <w:r>
      <w:rPr>
        <w:rStyle w:val="PageNumber"/>
        <w:noProof/>
        <w:snapToGrid w:val="0"/>
      </w:rPr>
      <w:fldChar w:fldCharType="begin"/>
    </w:r>
    <w:r>
      <w:rPr>
        <w:rStyle w:val="PageNumber"/>
        <w:noProof/>
        <w:snapToGrid w:val="0"/>
      </w:rPr>
      <w:instrText xml:space="preserve"> SECTIONPAGES   \* MERGEFORMAT </w:instrText>
    </w:r>
    <w:r>
      <w:rPr>
        <w:rStyle w:val="PageNumber"/>
        <w:noProof/>
        <w:snapToGrid w:val="0"/>
      </w:rPr>
      <w:fldChar w:fldCharType="separate"/>
    </w:r>
    <w:r w:rsidR="00EE1350">
      <w:rPr>
        <w:rStyle w:val="PageNumber"/>
        <w:noProof/>
        <w:snapToGrid w:val="0"/>
      </w:rPr>
      <w:t>10</w:t>
    </w:r>
    <w:r>
      <w:rPr>
        <w:rStyle w:val="PageNumber"/>
        <w:noProof/>
        <w:snapToGrid w:val="0"/>
      </w:rPr>
      <w:fldChar w:fldCharType="end"/>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1215A8">
          <w:t>UKOPA/TBN/02 Edition 1</w:t>
        </w:r>
      </w:sdtContent>
    </w:sdt>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F130" w14:textId="77777777" w:rsidR="00303FDD" w:rsidRDefault="00303FDD" w:rsidP="005855C5">
      <w:pPr>
        <w:ind w:left="851"/>
      </w:pPr>
      <w:r>
        <w:separator/>
      </w:r>
    </w:p>
  </w:footnote>
  <w:footnote w:type="continuationSeparator" w:id="0">
    <w:p w14:paraId="05744B03" w14:textId="77777777" w:rsidR="00303FDD" w:rsidRDefault="0030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4EFF" w14:textId="77777777" w:rsidR="00AD21F9" w:rsidRDefault="00AD21F9" w:rsidP="008D636A">
    <w:pPr>
      <w:pStyle w:val="Header"/>
      <w:pBdr>
        <w:top w:val="none" w:sz="0" w:space="0" w:color="auto"/>
        <w:bottom w:val="none" w:sz="0" w:space="0" w:color="auto"/>
      </w:pBdr>
      <w:spacing w:after="0"/>
      <w:jc w:val="left"/>
    </w:pPr>
    <w:r>
      <w:rPr>
        <w:noProof/>
        <w:lang w:val="en-US" w:eastAsia="zh-CN"/>
      </w:rPr>
      <mc:AlternateContent>
        <mc:Choice Requires="wps">
          <w:drawing>
            <wp:anchor distT="0" distB="0" distL="114300" distR="114300" simplePos="0" relativeHeight="251658240" behindDoc="0" locked="0" layoutInCell="1" allowOverlap="1" wp14:anchorId="14989F23" wp14:editId="3E1DC3E1">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FE5C6E" w14:textId="77777777" w:rsidR="00AD21F9" w:rsidRDefault="00AD21F9"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989F23"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" fillcolor="#bebfc1 [1942]" stroked="f">
              <v:textbox>
                <w:txbxContent>
                  <w:p w14:paraId="4CFE5C6E" w14:textId="77777777" w:rsidR="00AD21F9" w:rsidRDefault="00AD21F9" w:rsidP="006E4D29"/>
                </w:txbxContent>
              </v:textbox>
              <w10:wrap type="square"/>
            </v:shape>
          </w:pict>
        </mc:Fallback>
      </mc:AlternateContent>
    </w:r>
    <w:r>
      <w:rPr>
        <w:noProof/>
        <w:lang w:val="en-US" w:eastAsia="zh-CN"/>
      </w:rPr>
      <w:drawing>
        <wp:inline distT="0" distB="0" distL="0" distR="0" wp14:anchorId="16F05121" wp14:editId="1C650FEB">
          <wp:extent cx="6647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4ABD3F4A" w14:textId="77777777" w:rsidR="00AD21F9" w:rsidRDefault="00AD21F9"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F151" w14:textId="77777777" w:rsidR="00AD21F9" w:rsidRPr="00003254" w:rsidRDefault="00AD21F9"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9AD6" w14:textId="77777777" w:rsidR="00AD21F9" w:rsidRPr="00F44755" w:rsidRDefault="00AD21F9" w:rsidP="00F63740">
    <w:pPr>
      <w:pStyle w:val="Header"/>
      <w:tabs>
        <w:tab w:val="right" w:pos="9072"/>
      </w:tabs>
      <w:spacing w:after="60"/>
      <w:jc w:val="left"/>
      <w:rPr>
        <w:color w:val="00243A"/>
      </w:rPr>
    </w:pPr>
    <w:r>
      <w:rPr>
        <w:noProof/>
        <w:lang w:val="en-US" w:eastAsia="zh-CN"/>
      </w:rPr>
      <w:drawing>
        <wp:inline distT="0" distB="0" distL="0" distR="0" wp14:anchorId="1E19FBCB" wp14:editId="65DD55CA">
          <wp:extent cx="1416894" cy="324000"/>
          <wp:effectExtent l="0" t="0" r="0" b="0"/>
          <wp:docPr id="11" name="Picture 11"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r w:rsidRPr="00BF7AD5">
      <w:rPr>
        <w:color w:val="003656" w:themeColor="accent4" w:themeTint="E6"/>
      </w:rPr>
      <w:tab/>
    </w:r>
    <w:sdt>
      <w:sdtPr>
        <w:rPr>
          <w:color w:val="00243A"/>
        </w:rPr>
        <w:alias w:val="Title"/>
        <w:tag w:val=""/>
        <w:id w:val="-1110960896"/>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388029573"/>
      <w:dataBinding w:prefixMappings="xmlns:ns0='http://purl.org/dc/elements/1.1/' xmlns:ns1='http://schemas.openxmlformats.org/package/2006/metadata/core-properties' " w:xpath="/ns1:coreProperties[1]/ns0:subject[1]" w:storeItemID="{6C3C8BC8-F283-45AE-878A-BAB7291924A1}"/>
      <w:text/>
    </w:sdtPr>
    <w:sdtEndPr/>
    <w:sdtContent>
      <w:p w14:paraId="179764CB" w14:textId="41CCD339" w:rsidR="00AD21F9" w:rsidRPr="00F63740" w:rsidRDefault="00667707" w:rsidP="00F63740">
        <w:pPr>
          <w:pStyle w:val="Header"/>
          <w:tabs>
            <w:tab w:val="right" w:pos="9072"/>
          </w:tabs>
          <w:spacing w:after="60"/>
          <w:rPr>
            <w:color w:val="00243A"/>
          </w:rPr>
        </w:pPr>
        <w:r>
          <w:rPr>
            <w:color w:val="00243A"/>
          </w:rPr>
          <w:t>Managing societal risk in the vicinity of high-pressure natural gas pipelines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BAD5" w14:textId="77777777" w:rsidR="00AD21F9" w:rsidRDefault="00AD21F9" w:rsidP="00406430">
    <w:pPr>
      <w:pStyle w:val="Header"/>
    </w:pPr>
  </w:p>
  <w:p w14:paraId="73F0374C" w14:textId="77777777" w:rsidR="00AD21F9" w:rsidRDefault="00AD21F9" w:rsidP="00406430">
    <w:pPr>
      <w:pStyle w:val="Header"/>
    </w:pPr>
  </w:p>
  <w:p w14:paraId="6186481B" w14:textId="77777777" w:rsidR="00AD21F9" w:rsidRPr="00406430" w:rsidRDefault="00AD21F9"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3950" w14:textId="67DB56B6" w:rsidR="00AD21F9" w:rsidRPr="00F44755" w:rsidRDefault="00AD21F9" w:rsidP="004B1D22">
    <w:pPr>
      <w:pStyle w:val="Header"/>
      <w:tabs>
        <w:tab w:val="right" w:pos="9072"/>
      </w:tabs>
      <w:spacing w:after="60"/>
      <w:jc w:val="left"/>
      <w:rPr>
        <w:color w:val="00243A"/>
      </w:rPr>
    </w:pPr>
    <w:r>
      <w:rPr>
        <w:noProof/>
        <w:lang w:val="en-US" w:eastAsia="zh-CN"/>
      </w:rPr>
      <w:drawing>
        <wp:inline distT="0" distB="0" distL="0" distR="0" wp14:anchorId="79DCDFF0" wp14:editId="2987FD3D">
          <wp:extent cx="1416894" cy="324000"/>
          <wp:effectExtent l="0" t="0" r="0" b="0"/>
          <wp:docPr id="294" name="Picture 29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r w:rsidRPr="00BF7AD5">
      <w:rPr>
        <w:color w:val="003656" w:themeColor="accent4" w:themeTint="E6"/>
      </w:rPr>
      <w:tab/>
    </w:r>
    <w:sdt>
      <w:sdtPr>
        <w:rPr>
          <w:color w:val="00243A"/>
        </w:rPr>
        <w:alias w:val="Title"/>
        <w:tag w:val=""/>
        <w:id w:val="1491142613"/>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1128311162"/>
      <w:dataBinding w:prefixMappings="xmlns:ns0='http://purl.org/dc/elements/1.1/' xmlns:ns1='http://schemas.openxmlformats.org/package/2006/metadata/core-properties' " w:xpath="/ns1:coreProperties[1]/ns0:subject[1]" w:storeItemID="{6C3C8BC8-F283-45AE-878A-BAB7291924A1}"/>
      <w:text/>
    </w:sdtPr>
    <w:sdtEndPr/>
    <w:sdtContent>
      <w:p w14:paraId="35FCA860" w14:textId="6DB98722" w:rsidR="00AD21F9" w:rsidRPr="00F44755" w:rsidRDefault="00667707" w:rsidP="004B1D22">
        <w:pPr>
          <w:pStyle w:val="Header"/>
          <w:tabs>
            <w:tab w:val="right" w:pos="9072"/>
          </w:tabs>
          <w:spacing w:after="60"/>
          <w:rPr>
            <w:color w:val="00243A"/>
          </w:rPr>
        </w:pPr>
        <w:r>
          <w:rPr>
            <w:color w:val="00243A"/>
          </w:rPr>
          <w:t>Managing societal risk in the vicinity of high-pressure natural gas pipelines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766203A"/>
    <w:lvl w:ilvl="0">
      <w:start w:val="1"/>
      <w:numFmt w:val="decimal"/>
      <w:lvlText w:val="%1."/>
      <w:lvlJc w:val="left"/>
      <w:pPr>
        <w:tabs>
          <w:tab w:val="num" w:pos="1701"/>
        </w:tabs>
        <w:ind w:left="1701" w:hanging="1701"/>
      </w:pPr>
      <w:rPr>
        <w:u w:val="none"/>
      </w:rPr>
    </w:lvl>
    <w:lvl w:ilvl="1">
      <w:start w:val="1"/>
      <w:numFmt w:val="decimal"/>
      <w:lvlText w:val="%1.%2"/>
      <w:lvlJc w:val="left"/>
      <w:pPr>
        <w:tabs>
          <w:tab w:val="num" w:pos="1701"/>
        </w:tabs>
        <w:ind w:left="1701" w:hanging="1701"/>
      </w:pPr>
      <w:rPr>
        <w:u w:val="none"/>
      </w:rPr>
    </w:lvl>
    <w:lvl w:ilvl="2">
      <w:start w:val="1"/>
      <w:numFmt w:val="decimal"/>
      <w:lvlText w:val="%1.%2.%3"/>
      <w:lvlJc w:val="left"/>
      <w:pPr>
        <w:tabs>
          <w:tab w:val="num" w:pos="1701"/>
        </w:tabs>
        <w:ind w:left="1701" w:hanging="170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u w:val="none"/>
      </w:rPr>
    </w:lvl>
    <w:lvl w:ilvl="4">
      <w:start w:val="1"/>
      <w:numFmt w:val="none"/>
      <w:lvlText w:val=""/>
      <w:lvlJc w:val="left"/>
      <w:pPr>
        <w:tabs>
          <w:tab w:val="num" w:pos="360"/>
        </w:tabs>
        <w:ind w:left="0" w:firstLine="0"/>
      </w:pPr>
      <w:rPr>
        <w:rFonts w:ascii="Arial Bold" w:hAnsi="Arial Bold" w:hint="default"/>
        <w:b/>
        <w:i w:val="0"/>
        <w:u w:val="none"/>
      </w:rPr>
    </w:lvl>
    <w:lvl w:ilvl="5">
      <w:start w:val="1"/>
      <w:numFmt w:val="decimal"/>
      <w:lvlText w:val="%1.%2.%3.%4.%5.%6"/>
      <w:lvlJc w:val="left"/>
      <w:pPr>
        <w:tabs>
          <w:tab w:val="num" w:pos="1440"/>
        </w:tabs>
        <w:ind w:left="0" w:firstLine="0"/>
      </w:pPr>
      <w:rPr>
        <w:u w:val="none"/>
      </w:r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FFFFFFFE"/>
    <w:multiLevelType w:val="singleLevel"/>
    <w:tmpl w:val="9BCA43E4"/>
    <w:lvl w:ilvl="0">
      <w:numFmt w:val="decimal"/>
      <w:pStyle w:val="List-"/>
      <w:lvlText w:val="*"/>
      <w:lvlJc w:val="left"/>
    </w:lvl>
  </w:abstractNum>
  <w:abstractNum w:abstractNumId="11"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2" w15:restartNumberingAfterBreak="0">
    <w:nsid w:val="019A0CB6"/>
    <w:multiLevelType w:val="hybridMultilevel"/>
    <w:tmpl w:val="884A1A0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08310139"/>
    <w:multiLevelType w:val="hybridMultilevel"/>
    <w:tmpl w:val="61D8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89473B"/>
    <w:multiLevelType w:val="hybridMultilevel"/>
    <w:tmpl w:val="CDB428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6" w15:restartNumberingAfterBreak="0">
    <w:nsid w:val="17960A1A"/>
    <w:multiLevelType w:val="hybridMultilevel"/>
    <w:tmpl w:val="B568E7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EC91A07"/>
    <w:multiLevelType w:val="hybridMultilevel"/>
    <w:tmpl w:val="5216AC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FFC101A"/>
    <w:multiLevelType w:val="hybridMultilevel"/>
    <w:tmpl w:val="CCAC88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A076DC9"/>
    <w:multiLevelType w:val="hybridMultilevel"/>
    <w:tmpl w:val="0C36E69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3"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5" w15:restartNumberingAfterBreak="0">
    <w:nsid w:val="4CDC5D50"/>
    <w:multiLevelType w:val="hybridMultilevel"/>
    <w:tmpl w:val="0C9E6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7" w15:restartNumberingAfterBreak="0">
    <w:nsid w:val="5D386EBA"/>
    <w:multiLevelType w:val="hybridMultilevel"/>
    <w:tmpl w:val="6C92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94E44"/>
    <w:multiLevelType w:val="hybridMultilevel"/>
    <w:tmpl w:val="80245268"/>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9" w15:restartNumberingAfterBreak="0">
    <w:nsid w:val="64626245"/>
    <w:multiLevelType w:val="multilevel"/>
    <w:tmpl w:val="68A4FA1E"/>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0" w15:restartNumberingAfterBreak="0">
    <w:nsid w:val="68513133"/>
    <w:multiLevelType w:val="hybridMultilevel"/>
    <w:tmpl w:val="CECE6F0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6360D"/>
    <w:multiLevelType w:val="hybridMultilevel"/>
    <w:tmpl w:val="4E7EC5F8"/>
    <w:lvl w:ilvl="0" w:tplc="B434A9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72737406"/>
    <w:multiLevelType w:val="hybridMultilevel"/>
    <w:tmpl w:val="CD747C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7F704EC2"/>
    <w:multiLevelType w:val="hybridMultilevel"/>
    <w:tmpl w:val="6FD6C7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2"/>
  </w:num>
  <w:num w:numId="2">
    <w:abstractNumId w:val="6"/>
  </w:num>
  <w:num w:numId="3">
    <w:abstractNumId w:val="5"/>
  </w:num>
  <w:num w:numId="4">
    <w:abstractNumId w:val="4"/>
  </w:num>
  <w:num w:numId="5">
    <w:abstractNumId w:val="8"/>
  </w:num>
  <w:num w:numId="6">
    <w:abstractNumId w:val="24"/>
  </w:num>
  <w:num w:numId="7">
    <w:abstractNumId w:val="26"/>
  </w:num>
  <w:num w:numId="8">
    <w:abstractNumId w:val="15"/>
  </w:num>
  <w:num w:numId="9">
    <w:abstractNumId w:val="9"/>
  </w:num>
  <w:num w:numId="10">
    <w:abstractNumId w:val="17"/>
  </w:num>
  <w:num w:numId="11">
    <w:abstractNumId w:val="11"/>
  </w:num>
  <w:num w:numId="12">
    <w:abstractNumId w:val="10"/>
  </w:num>
  <w:num w:numId="13">
    <w:abstractNumId w:val="23"/>
  </w:num>
  <w:num w:numId="14">
    <w:abstractNumId w:val="7"/>
  </w:num>
  <w:num w:numId="15">
    <w:abstractNumId w:val="3"/>
  </w:num>
  <w:num w:numId="16">
    <w:abstractNumId w:val="2"/>
  </w:num>
  <w:num w:numId="17">
    <w:abstractNumId w:val="1"/>
  </w:num>
  <w:num w:numId="18">
    <w:abstractNumId w:val="0"/>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5"/>
  </w:num>
  <w:num w:numId="37">
    <w:abstractNumId w:val="12"/>
  </w:num>
  <w:num w:numId="38">
    <w:abstractNumId w:val="20"/>
  </w:num>
  <w:num w:numId="39">
    <w:abstractNumId w:val="32"/>
  </w:num>
  <w:num w:numId="40">
    <w:abstractNumId w:val="18"/>
  </w:num>
  <w:num w:numId="41">
    <w:abstractNumId w:val="14"/>
  </w:num>
  <w:num w:numId="42">
    <w:abstractNumId w:val="28"/>
  </w:num>
  <w:num w:numId="43">
    <w:abstractNumId w:val="19"/>
  </w:num>
  <w:num w:numId="44">
    <w:abstractNumId w:val="21"/>
  </w:num>
  <w:num w:numId="45">
    <w:abstractNumId w:val="30"/>
  </w:num>
  <w:num w:numId="46">
    <w:abstractNumId w:val="31"/>
  </w:num>
  <w:num w:numId="47">
    <w:abstractNumId w:val="27"/>
  </w:num>
  <w:num w:numId="48">
    <w:abstractNumId w:val="33"/>
  </w:num>
  <w:num w:numId="49">
    <w:abstractNumId w:val="13"/>
  </w:num>
  <w:num w:numId="5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4F"/>
    <w:rsid w:val="0000086A"/>
    <w:rsid w:val="00003254"/>
    <w:rsid w:val="00005A28"/>
    <w:rsid w:val="00006911"/>
    <w:rsid w:val="00012BC8"/>
    <w:rsid w:val="00012F42"/>
    <w:rsid w:val="00013BC1"/>
    <w:rsid w:val="000378F0"/>
    <w:rsid w:val="00042D13"/>
    <w:rsid w:val="00045052"/>
    <w:rsid w:val="00056389"/>
    <w:rsid w:val="000623F9"/>
    <w:rsid w:val="0006544B"/>
    <w:rsid w:val="000706FA"/>
    <w:rsid w:val="00073324"/>
    <w:rsid w:val="0007338D"/>
    <w:rsid w:val="00080475"/>
    <w:rsid w:val="00080B92"/>
    <w:rsid w:val="00083A92"/>
    <w:rsid w:val="0008619B"/>
    <w:rsid w:val="000901B6"/>
    <w:rsid w:val="00090732"/>
    <w:rsid w:val="000939C5"/>
    <w:rsid w:val="00095172"/>
    <w:rsid w:val="000A2272"/>
    <w:rsid w:val="000A3827"/>
    <w:rsid w:val="000A786D"/>
    <w:rsid w:val="000B19F3"/>
    <w:rsid w:val="000C789E"/>
    <w:rsid w:val="000D37A4"/>
    <w:rsid w:val="000D5A97"/>
    <w:rsid w:val="000D7706"/>
    <w:rsid w:val="000D7982"/>
    <w:rsid w:val="000E1D9B"/>
    <w:rsid w:val="000E7207"/>
    <w:rsid w:val="000F177D"/>
    <w:rsid w:val="000F6DB6"/>
    <w:rsid w:val="00101463"/>
    <w:rsid w:val="0011093D"/>
    <w:rsid w:val="0011195D"/>
    <w:rsid w:val="001135E9"/>
    <w:rsid w:val="001154CA"/>
    <w:rsid w:val="00115EB4"/>
    <w:rsid w:val="001167E6"/>
    <w:rsid w:val="001215A8"/>
    <w:rsid w:val="00125213"/>
    <w:rsid w:val="00134F1E"/>
    <w:rsid w:val="00135352"/>
    <w:rsid w:val="00142E77"/>
    <w:rsid w:val="0016010F"/>
    <w:rsid w:val="0016400F"/>
    <w:rsid w:val="00165B44"/>
    <w:rsid w:val="00171716"/>
    <w:rsid w:val="00171B5C"/>
    <w:rsid w:val="00172C9D"/>
    <w:rsid w:val="00175244"/>
    <w:rsid w:val="00184727"/>
    <w:rsid w:val="001931EC"/>
    <w:rsid w:val="001965BC"/>
    <w:rsid w:val="0019743F"/>
    <w:rsid w:val="001A1EE3"/>
    <w:rsid w:val="001A79B1"/>
    <w:rsid w:val="001A7CCD"/>
    <w:rsid w:val="001B2C54"/>
    <w:rsid w:val="001B516A"/>
    <w:rsid w:val="001C51D2"/>
    <w:rsid w:val="001C5BE5"/>
    <w:rsid w:val="001C7D64"/>
    <w:rsid w:val="001C7D94"/>
    <w:rsid w:val="001D2D21"/>
    <w:rsid w:val="001E4D56"/>
    <w:rsid w:val="001F1053"/>
    <w:rsid w:val="001F2169"/>
    <w:rsid w:val="001F5367"/>
    <w:rsid w:val="00200B84"/>
    <w:rsid w:val="00201C7E"/>
    <w:rsid w:val="00203400"/>
    <w:rsid w:val="00210E0B"/>
    <w:rsid w:val="00211BF8"/>
    <w:rsid w:val="002226B7"/>
    <w:rsid w:val="0022538E"/>
    <w:rsid w:val="002346E5"/>
    <w:rsid w:val="00236F3B"/>
    <w:rsid w:val="0024038F"/>
    <w:rsid w:val="00250106"/>
    <w:rsid w:val="002507ED"/>
    <w:rsid w:val="00251D27"/>
    <w:rsid w:val="00252D73"/>
    <w:rsid w:val="0025302B"/>
    <w:rsid w:val="00254767"/>
    <w:rsid w:val="00254B4E"/>
    <w:rsid w:val="00257378"/>
    <w:rsid w:val="00260144"/>
    <w:rsid w:val="00265116"/>
    <w:rsid w:val="002714DD"/>
    <w:rsid w:val="00273442"/>
    <w:rsid w:val="002823CB"/>
    <w:rsid w:val="00284E91"/>
    <w:rsid w:val="00286156"/>
    <w:rsid w:val="00287085"/>
    <w:rsid w:val="00287657"/>
    <w:rsid w:val="0029456F"/>
    <w:rsid w:val="00295EE5"/>
    <w:rsid w:val="0029661A"/>
    <w:rsid w:val="002A061D"/>
    <w:rsid w:val="002A068A"/>
    <w:rsid w:val="002A2C96"/>
    <w:rsid w:val="002A7991"/>
    <w:rsid w:val="002B6494"/>
    <w:rsid w:val="002C2A2E"/>
    <w:rsid w:val="002C31D9"/>
    <w:rsid w:val="002C5005"/>
    <w:rsid w:val="002D4DA1"/>
    <w:rsid w:val="002D5C87"/>
    <w:rsid w:val="002E3B18"/>
    <w:rsid w:val="002E499F"/>
    <w:rsid w:val="002F1438"/>
    <w:rsid w:val="002F4C7B"/>
    <w:rsid w:val="002F63B5"/>
    <w:rsid w:val="00301585"/>
    <w:rsid w:val="00303FDD"/>
    <w:rsid w:val="00314CC3"/>
    <w:rsid w:val="00327726"/>
    <w:rsid w:val="00344DA1"/>
    <w:rsid w:val="00350EF4"/>
    <w:rsid w:val="00351101"/>
    <w:rsid w:val="00351B14"/>
    <w:rsid w:val="003620EF"/>
    <w:rsid w:val="0036378D"/>
    <w:rsid w:val="00367453"/>
    <w:rsid w:val="00367879"/>
    <w:rsid w:val="00371400"/>
    <w:rsid w:val="003732C2"/>
    <w:rsid w:val="0037487B"/>
    <w:rsid w:val="00380AE7"/>
    <w:rsid w:val="00380F45"/>
    <w:rsid w:val="0038301B"/>
    <w:rsid w:val="00383209"/>
    <w:rsid w:val="00393F74"/>
    <w:rsid w:val="00395B86"/>
    <w:rsid w:val="00395C81"/>
    <w:rsid w:val="003B1B03"/>
    <w:rsid w:val="003B5F97"/>
    <w:rsid w:val="003C1027"/>
    <w:rsid w:val="003C1982"/>
    <w:rsid w:val="003C23AB"/>
    <w:rsid w:val="003C404F"/>
    <w:rsid w:val="003E2B32"/>
    <w:rsid w:val="003E4465"/>
    <w:rsid w:val="003E5906"/>
    <w:rsid w:val="003E66DC"/>
    <w:rsid w:val="003E683C"/>
    <w:rsid w:val="003E779B"/>
    <w:rsid w:val="003F7240"/>
    <w:rsid w:val="00406430"/>
    <w:rsid w:val="00407073"/>
    <w:rsid w:val="00407115"/>
    <w:rsid w:val="00411F6E"/>
    <w:rsid w:val="00415524"/>
    <w:rsid w:val="004211FF"/>
    <w:rsid w:val="0042459A"/>
    <w:rsid w:val="00425B98"/>
    <w:rsid w:val="004371DA"/>
    <w:rsid w:val="00444038"/>
    <w:rsid w:val="00445A9B"/>
    <w:rsid w:val="004519E1"/>
    <w:rsid w:val="004533EF"/>
    <w:rsid w:val="00453E30"/>
    <w:rsid w:val="00454AD2"/>
    <w:rsid w:val="00456033"/>
    <w:rsid w:val="00457131"/>
    <w:rsid w:val="00463A0B"/>
    <w:rsid w:val="004732C7"/>
    <w:rsid w:val="004742B5"/>
    <w:rsid w:val="0047670C"/>
    <w:rsid w:val="004931C5"/>
    <w:rsid w:val="0049619F"/>
    <w:rsid w:val="004A60A9"/>
    <w:rsid w:val="004A64A9"/>
    <w:rsid w:val="004A6EB8"/>
    <w:rsid w:val="004A7039"/>
    <w:rsid w:val="004B1D22"/>
    <w:rsid w:val="004B605E"/>
    <w:rsid w:val="004B6385"/>
    <w:rsid w:val="004C7306"/>
    <w:rsid w:val="004E1D1E"/>
    <w:rsid w:val="004E7ABA"/>
    <w:rsid w:val="004F082B"/>
    <w:rsid w:val="004F2E2B"/>
    <w:rsid w:val="004F30AA"/>
    <w:rsid w:val="004F3227"/>
    <w:rsid w:val="004F66DC"/>
    <w:rsid w:val="004F72A9"/>
    <w:rsid w:val="004F7772"/>
    <w:rsid w:val="005021E2"/>
    <w:rsid w:val="0051098F"/>
    <w:rsid w:val="00511076"/>
    <w:rsid w:val="005114EB"/>
    <w:rsid w:val="00527EC5"/>
    <w:rsid w:val="00530B8F"/>
    <w:rsid w:val="0053133D"/>
    <w:rsid w:val="0053157C"/>
    <w:rsid w:val="00533EE5"/>
    <w:rsid w:val="0053513B"/>
    <w:rsid w:val="005501E8"/>
    <w:rsid w:val="00551E8A"/>
    <w:rsid w:val="005554E4"/>
    <w:rsid w:val="00557ADC"/>
    <w:rsid w:val="005624A4"/>
    <w:rsid w:val="005715C4"/>
    <w:rsid w:val="00572AA3"/>
    <w:rsid w:val="0057501B"/>
    <w:rsid w:val="00580EBB"/>
    <w:rsid w:val="005855C5"/>
    <w:rsid w:val="00585919"/>
    <w:rsid w:val="00587B5E"/>
    <w:rsid w:val="00595741"/>
    <w:rsid w:val="005968BD"/>
    <w:rsid w:val="005A0526"/>
    <w:rsid w:val="005A18D7"/>
    <w:rsid w:val="005A3A4A"/>
    <w:rsid w:val="005A4BFB"/>
    <w:rsid w:val="005A4ECD"/>
    <w:rsid w:val="005B20A5"/>
    <w:rsid w:val="005B237B"/>
    <w:rsid w:val="005C33B3"/>
    <w:rsid w:val="005C6581"/>
    <w:rsid w:val="005D0567"/>
    <w:rsid w:val="005D4875"/>
    <w:rsid w:val="005E4F8A"/>
    <w:rsid w:val="005E6B1D"/>
    <w:rsid w:val="00607672"/>
    <w:rsid w:val="006111B6"/>
    <w:rsid w:val="0061132F"/>
    <w:rsid w:val="00614830"/>
    <w:rsid w:val="00621AA9"/>
    <w:rsid w:val="0062328D"/>
    <w:rsid w:val="006278C2"/>
    <w:rsid w:val="00631044"/>
    <w:rsid w:val="0063378F"/>
    <w:rsid w:val="00635628"/>
    <w:rsid w:val="00635644"/>
    <w:rsid w:val="00635F39"/>
    <w:rsid w:val="00637809"/>
    <w:rsid w:val="00644A55"/>
    <w:rsid w:val="006461F6"/>
    <w:rsid w:val="00656B98"/>
    <w:rsid w:val="006625BD"/>
    <w:rsid w:val="006631F8"/>
    <w:rsid w:val="00667707"/>
    <w:rsid w:val="00670337"/>
    <w:rsid w:val="00670E91"/>
    <w:rsid w:val="00675D04"/>
    <w:rsid w:val="006801E7"/>
    <w:rsid w:val="006932DD"/>
    <w:rsid w:val="00693D61"/>
    <w:rsid w:val="00694EBF"/>
    <w:rsid w:val="00695C0F"/>
    <w:rsid w:val="006960C6"/>
    <w:rsid w:val="00697CDD"/>
    <w:rsid w:val="006A1141"/>
    <w:rsid w:val="006B14CE"/>
    <w:rsid w:val="006B39B0"/>
    <w:rsid w:val="006B6893"/>
    <w:rsid w:val="006D16A3"/>
    <w:rsid w:val="006D600D"/>
    <w:rsid w:val="006E3F6D"/>
    <w:rsid w:val="006E4D29"/>
    <w:rsid w:val="006E62A3"/>
    <w:rsid w:val="006E7843"/>
    <w:rsid w:val="006F4670"/>
    <w:rsid w:val="006F57F2"/>
    <w:rsid w:val="006F5ECE"/>
    <w:rsid w:val="006F646D"/>
    <w:rsid w:val="007012FE"/>
    <w:rsid w:val="00703917"/>
    <w:rsid w:val="00704507"/>
    <w:rsid w:val="00710F52"/>
    <w:rsid w:val="0072154B"/>
    <w:rsid w:val="007225E9"/>
    <w:rsid w:val="00726B86"/>
    <w:rsid w:val="00735FAB"/>
    <w:rsid w:val="007462DD"/>
    <w:rsid w:val="00747B71"/>
    <w:rsid w:val="0075077E"/>
    <w:rsid w:val="00762530"/>
    <w:rsid w:val="00765E02"/>
    <w:rsid w:val="00766BB2"/>
    <w:rsid w:val="00766BCB"/>
    <w:rsid w:val="00775BF5"/>
    <w:rsid w:val="007811FD"/>
    <w:rsid w:val="0078432A"/>
    <w:rsid w:val="0078552B"/>
    <w:rsid w:val="00786503"/>
    <w:rsid w:val="00793F09"/>
    <w:rsid w:val="0079644B"/>
    <w:rsid w:val="00796ADA"/>
    <w:rsid w:val="007A09E5"/>
    <w:rsid w:val="007A7484"/>
    <w:rsid w:val="007A77AB"/>
    <w:rsid w:val="007B02F4"/>
    <w:rsid w:val="007C2889"/>
    <w:rsid w:val="007D3B82"/>
    <w:rsid w:val="007D3FD5"/>
    <w:rsid w:val="007D70C0"/>
    <w:rsid w:val="007D7FDC"/>
    <w:rsid w:val="007E2919"/>
    <w:rsid w:val="007E48BB"/>
    <w:rsid w:val="007E636F"/>
    <w:rsid w:val="007E7A2A"/>
    <w:rsid w:val="007F5B71"/>
    <w:rsid w:val="007F75B5"/>
    <w:rsid w:val="007F7805"/>
    <w:rsid w:val="00801256"/>
    <w:rsid w:val="00805A9C"/>
    <w:rsid w:val="00827ECD"/>
    <w:rsid w:val="008302FB"/>
    <w:rsid w:val="00845903"/>
    <w:rsid w:val="0085346E"/>
    <w:rsid w:val="008545C6"/>
    <w:rsid w:val="008637D1"/>
    <w:rsid w:val="00864020"/>
    <w:rsid w:val="0086794B"/>
    <w:rsid w:val="00871D24"/>
    <w:rsid w:val="0087630F"/>
    <w:rsid w:val="00877F14"/>
    <w:rsid w:val="008827F4"/>
    <w:rsid w:val="008905FE"/>
    <w:rsid w:val="00890CE1"/>
    <w:rsid w:val="00890E72"/>
    <w:rsid w:val="008968A2"/>
    <w:rsid w:val="00896F41"/>
    <w:rsid w:val="008B5C01"/>
    <w:rsid w:val="008C3664"/>
    <w:rsid w:val="008C754A"/>
    <w:rsid w:val="008D0DFA"/>
    <w:rsid w:val="008D172D"/>
    <w:rsid w:val="008D3677"/>
    <w:rsid w:val="008D37D1"/>
    <w:rsid w:val="008D3939"/>
    <w:rsid w:val="008D5976"/>
    <w:rsid w:val="008D636A"/>
    <w:rsid w:val="008E0A48"/>
    <w:rsid w:val="008E1E57"/>
    <w:rsid w:val="008E35A0"/>
    <w:rsid w:val="008E4FFC"/>
    <w:rsid w:val="008F1518"/>
    <w:rsid w:val="008F15D4"/>
    <w:rsid w:val="008F1C04"/>
    <w:rsid w:val="008F5EC0"/>
    <w:rsid w:val="008F7278"/>
    <w:rsid w:val="00906037"/>
    <w:rsid w:val="00912757"/>
    <w:rsid w:val="009142C2"/>
    <w:rsid w:val="00916BD5"/>
    <w:rsid w:val="00920FCB"/>
    <w:rsid w:val="009243BE"/>
    <w:rsid w:val="00936F3F"/>
    <w:rsid w:val="00940677"/>
    <w:rsid w:val="0095301A"/>
    <w:rsid w:val="0095432A"/>
    <w:rsid w:val="00955064"/>
    <w:rsid w:val="009579D2"/>
    <w:rsid w:val="00962B01"/>
    <w:rsid w:val="009664B1"/>
    <w:rsid w:val="00971773"/>
    <w:rsid w:val="00985675"/>
    <w:rsid w:val="00986E97"/>
    <w:rsid w:val="009870A3"/>
    <w:rsid w:val="00990D54"/>
    <w:rsid w:val="0099409D"/>
    <w:rsid w:val="00994777"/>
    <w:rsid w:val="00997863"/>
    <w:rsid w:val="009A1362"/>
    <w:rsid w:val="009A7CE3"/>
    <w:rsid w:val="009C20C9"/>
    <w:rsid w:val="009C61FB"/>
    <w:rsid w:val="009D1228"/>
    <w:rsid w:val="009D74EC"/>
    <w:rsid w:val="009E2B6A"/>
    <w:rsid w:val="009E2C11"/>
    <w:rsid w:val="009E4B4A"/>
    <w:rsid w:val="009E63B9"/>
    <w:rsid w:val="009F03C5"/>
    <w:rsid w:val="009F334C"/>
    <w:rsid w:val="009F4D7B"/>
    <w:rsid w:val="009F5595"/>
    <w:rsid w:val="00A01544"/>
    <w:rsid w:val="00A03039"/>
    <w:rsid w:val="00A03B32"/>
    <w:rsid w:val="00A124E7"/>
    <w:rsid w:val="00A12FB9"/>
    <w:rsid w:val="00A141AC"/>
    <w:rsid w:val="00A36989"/>
    <w:rsid w:val="00A474FF"/>
    <w:rsid w:val="00A542E7"/>
    <w:rsid w:val="00A5444A"/>
    <w:rsid w:val="00A5491E"/>
    <w:rsid w:val="00A60F68"/>
    <w:rsid w:val="00A62914"/>
    <w:rsid w:val="00A70459"/>
    <w:rsid w:val="00A70AD3"/>
    <w:rsid w:val="00A77603"/>
    <w:rsid w:val="00A80B8A"/>
    <w:rsid w:val="00A8178F"/>
    <w:rsid w:val="00A86549"/>
    <w:rsid w:val="00A9085C"/>
    <w:rsid w:val="00A913EC"/>
    <w:rsid w:val="00A962AE"/>
    <w:rsid w:val="00A965D5"/>
    <w:rsid w:val="00A966EC"/>
    <w:rsid w:val="00AA1279"/>
    <w:rsid w:val="00AB022C"/>
    <w:rsid w:val="00AB5309"/>
    <w:rsid w:val="00AB76FB"/>
    <w:rsid w:val="00AC5F64"/>
    <w:rsid w:val="00AD21F9"/>
    <w:rsid w:val="00AD7D64"/>
    <w:rsid w:val="00AE0271"/>
    <w:rsid w:val="00AE212D"/>
    <w:rsid w:val="00AE4647"/>
    <w:rsid w:val="00AE52B7"/>
    <w:rsid w:val="00AE55B8"/>
    <w:rsid w:val="00AE5C89"/>
    <w:rsid w:val="00B01B93"/>
    <w:rsid w:val="00B02BD5"/>
    <w:rsid w:val="00B04FB7"/>
    <w:rsid w:val="00B050A3"/>
    <w:rsid w:val="00B07AE6"/>
    <w:rsid w:val="00B1368B"/>
    <w:rsid w:val="00B1594B"/>
    <w:rsid w:val="00B16850"/>
    <w:rsid w:val="00B16B51"/>
    <w:rsid w:val="00B24A3F"/>
    <w:rsid w:val="00B263C3"/>
    <w:rsid w:val="00B33074"/>
    <w:rsid w:val="00B425A6"/>
    <w:rsid w:val="00B449B1"/>
    <w:rsid w:val="00B46A26"/>
    <w:rsid w:val="00B5138B"/>
    <w:rsid w:val="00B5681D"/>
    <w:rsid w:val="00B6155A"/>
    <w:rsid w:val="00B659AD"/>
    <w:rsid w:val="00B762A2"/>
    <w:rsid w:val="00B83DC4"/>
    <w:rsid w:val="00B85F91"/>
    <w:rsid w:val="00B8671B"/>
    <w:rsid w:val="00B9194F"/>
    <w:rsid w:val="00B93938"/>
    <w:rsid w:val="00BA198E"/>
    <w:rsid w:val="00BB4AD1"/>
    <w:rsid w:val="00BB535F"/>
    <w:rsid w:val="00BB789E"/>
    <w:rsid w:val="00BC2EA2"/>
    <w:rsid w:val="00BC56F0"/>
    <w:rsid w:val="00BC68C3"/>
    <w:rsid w:val="00BC7C2C"/>
    <w:rsid w:val="00BD48FB"/>
    <w:rsid w:val="00BE241D"/>
    <w:rsid w:val="00BE332E"/>
    <w:rsid w:val="00BE404E"/>
    <w:rsid w:val="00BE6BAA"/>
    <w:rsid w:val="00BF0263"/>
    <w:rsid w:val="00BF2A51"/>
    <w:rsid w:val="00BF3A85"/>
    <w:rsid w:val="00BF7AD5"/>
    <w:rsid w:val="00C002ED"/>
    <w:rsid w:val="00C074C2"/>
    <w:rsid w:val="00C134CE"/>
    <w:rsid w:val="00C2200A"/>
    <w:rsid w:val="00C27876"/>
    <w:rsid w:val="00C346D5"/>
    <w:rsid w:val="00C34EDE"/>
    <w:rsid w:val="00C37583"/>
    <w:rsid w:val="00C37EB2"/>
    <w:rsid w:val="00C437C3"/>
    <w:rsid w:val="00C47D26"/>
    <w:rsid w:val="00C47E1E"/>
    <w:rsid w:val="00C50627"/>
    <w:rsid w:val="00C51F88"/>
    <w:rsid w:val="00C54EE1"/>
    <w:rsid w:val="00C554C1"/>
    <w:rsid w:val="00C67A85"/>
    <w:rsid w:val="00C77FAD"/>
    <w:rsid w:val="00C80B32"/>
    <w:rsid w:val="00C8521A"/>
    <w:rsid w:val="00C85B1B"/>
    <w:rsid w:val="00C86B3B"/>
    <w:rsid w:val="00C86CEE"/>
    <w:rsid w:val="00C871D9"/>
    <w:rsid w:val="00C90CC5"/>
    <w:rsid w:val="00C92D8A"/>
    <w:rsid w:val="00C95193"/>
    <w:rsid w:val="00CA1463"/>
    <w:rsid w:val="00CA3CA8"/>
    <w:rsid w:val="00CB21BA"/>
    <w:rsid w:val="00CB45F2"/>
    <w:rsid w:val="00CB65CA"/>
    <w:rsid w:val="00CB7924"/>
    <w:rsid w:val="00CC6D83"/>
    <w:rsid w:val="00CD27BA"/>
    <w:rsid w:val="00CD5060"/>
    <w:rsid w:val="00CD70F2"/>
    <w:rsid w:val="00CE1BFF"/>
    <w:rsid w:val="00CE6520"/>
    <w:rsid w:val="00CE6864"/>
    <w:rsid w:val="00CF1BF8"/>
    <w:rsid w:val="00CF6648"/>
    <w:rsid w:val="00D02DCD"/>
    <w:rsid w:val="00D10A7A"/>
    <w:rsid w:val="00D153CB"/>
    <w:rsid w:val="00D20C9A"/>
    <w:rsid w:val="00D24585"/>
    <w:rsid w:val="00D25AD6"/>
    <w:rsid w:val="00D2680D"/>
    <w:rsid w:val="00D27824"/>
    <w:rsid w:val="00D328B3"/>
    <w:rsid w:val="00D32D8A"/>
    <w:rsid w:val="00D3348B"/>
    <w:rsid w:val="00D34425"/>
    <w:rsid w:val="00D350B2"/>
    <w:rsid w:val="00D412B0"/>
    <w:rsid w:val="00D51D47"/>
    <w:rsid w:val="00D535C0"/>
    <w:rsid w:val="00D62119"/>
    <w:rsid w:val="00D62483"/>
    <w:rsid w:val="00D73ADF"/>
    <w:rsid w:val="00D746BC"/>
    <w:rsid w:val="00D762FC"/>
    <w:rsid w:val="00D83662"/>
    <w:rsid w:val="00D90F87"/>
    <w:rsid w:val="00D93473"/>
    <w:rsid w:val="00DA0984"/>
    <w:rsid w:val="00DA0EC4"/>
    <w:rsid w:val="00DA1F06"/>
    <w:rsid w:val="00DA2E16"/>
    <w:rsid w:val="00DA63B2"/>
    <w:rsid w:val="00DB3C2C"/>
    <w:rsid w:val="00DB646F"/>
    <w:rsid w:val="00DB6DE6"/>
    <w:rsid w:val="00DC3950"/>
    <w:rsid w:val="00DC3B1D"/>
    <w:rsid w:val="00DC794F"/>
    <w:rsid w:val="00DD0527"/>
    <w:rsid w:val="00DE162D"/>
    <w:rsid w:val="00DE3C15"/>
    <w:rsid w:val="00DF0E46"/>
    <w:rsid w:val="00DF1713"/>
    <w:rsid w:val="00DF25EE"/>
    <w:rsid w:val="00DF385D"/>
    <w:rsid w:val="00DF386C"/>
    <w:rsid w:val="00DF609C"/>
    <w:rsid w:val="00E02900"/>
    <w:rsid w:val="00E02C71"/>
    <w:rsid w:val="00E11DC0"/>
    <w:rsid w:val="00E16F06"/>
    <w:rsid w:val="00E21F63"/>
    <w:rsid w:val="00E236BE"/>
    <w:rsid w:val="00E26FCD"/>
    <w:rsid w:val="00E35D54"/>
    <w:rsid w:val="00E42823"/>
    <w:rsid w:val="00E4585D"/>
    <w:rsid w:val="00E5002F"/>
    <w:rsid w:val="00E51886"/>
    <w:rsid w:val="00E51B70"/>
    <w:rsid w:val="00E524DA"/>
    <w:rsid w:val="00E62AFA"/>
    <w:rsid w:val="00E63201"/>
    <w:rsid w:val="00E64ADC"/>
    <w:rsid w:val="00E655BD"/>
    <w:rsid w:val="00E705C4"/>
    <w:rsid w:val="00E718AF"/>
    <w:rsid w:val="00E71A75"/>
    <w:rsid w:val="00E729C0"/>
    <w:rsid w:val="00E733AD"/>
    <w:rsid w:val="00E82827"/>
    <w:rsid w:val="00E863E9"/>
    <w:rsid w:val="00E90598"/>
    <w:rsid w:val="00E91334"/>
    <w:rsid w:val="00EA01A8"/>
    <w:rsid w:val="00EA2436"/>
    <w:rsid w:val="00EA4BA6"/>
    <w:rsid w:val="00EA6867"/>
    <w:rsid w:val="00EA6C06"/>
    <w:rsid w:val="00EB20DF"/>
    <w:rsid w:val="00EB20E6"/>
    <w:rsid w:val="00EB4097"/>
    <w:rsid w:val="00EB5572"/>
    <w:rsid w:val="00EC00ED"/>
    <w:rsid w:val="00ED54C5"/>
    <w:rsid w:val="00ED63E2"/>
    <w:rsid w:val="00ED644D"/>
    <w:rsid w:val="00EE1350"/>
    <w:rsid w:val="00EE6096"/>
    <w:rsid w:val="00EF1270"/>
    <w:rsid w:val="00EF1D81"/>
    <w:rsid w:val="00EF6102"/>
    <w:rsid w:val="00EF6E37"/>
    <w:rsid w:val="00F02D0F"/>
    <w:rsid w:val="00F12BCC"/>
    <w:rsid w:val="00F138A1"/>
    <w:rsid w:val="00F156BD"/>
    <w:rsid w:val="00F17B4D"/>
    <w:rsid w:val="00F21DB1"/>
    <w:rsid w:val="00F237D1"/>
    <w:rsid w:val="00F239AD"/>
    <w:rsid w:val="00F23D24"/>
    <w:rsid w:val="00F273F0"/>
    <w:rsid w:val="00F3285C"/>
    <w:rsid w:val="00F34CFE"/>
    <w:rsid w:val="00F368C2"/>
    <w:rsid w:val="00F37EA0"/>
    <w:rsid w:val="00F44755"/>
    <w:rsid w:val="00F4530F"/>
    <w:rsid w:val="00F4544F"/>
    <w:rsid w:val="00F50F72"/>
    <w:rsid w:val="00F539FF"/>
    <w:rsid w:val="00F54261"/>
    <w:rsid w:val="00F626BD"/>
    <w:rsid w:val="00F63740"/>
    <w:rsid w:val="00F70727"/>
    <w:rsid w:val="00F719F0"/>
    <w:rsid w:val="00F744CE"/>
    <w:rsid w:val="00F769DF"/>
    <w:rsid w:val="00F90A73"/>
    <w:rsid w:val="00F94B78"/>
    <w:rsid w:val="00F95985"/>
    <w:rsid w:val="00F97F6F"/>
    <w:rsid w:val="00FA28B2"/>
    <w:rsid w:val="00FA683B"/>
    <w:rsid w:val="00FB07F1"/>
    <w:rsid w:val="00FB324D"/>
    <w:rsid w:val="00FB698F"/>
    <w:rsid w:val="00FD30A4"/>
    <w:rsid w:val="00FD405F"/>
    <w:rsid w:val="00FE23B6"/>
    <w:rsid w:val="00FE23D2"/>
    <w:rsid w:val="00FF2545"/>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D0A807"/>
  <w15:docId w15:val="{60AB35D6-5078-4AD1-B264-3ED9F2E2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2"/>
    <w:lsdException w:name="heading 6" w:uiPriority="2"/>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2"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1"/>
    <w:qFormat/>
    <w:rsid w:val="00C8521A"/>
    <w:pPr>
      <w:suppressAutoHyphens/>
      <w:spacing w:before="60" w:after="60"/>
      <w:jc w:val="both"/>
    </w:pPr>
    <w:rPr>
      <w:rFonts w:asciiTheme="minorHAnsi" w:hAnsiTheme="minorHAnsi"/>
      <w:lang w:eastAsia="en-US"/>
    </w:rPr>
  </w:style>
  <w:style w:type="paragraph" w:styleId="Heading1">
    <w:name w:val="heading 1"/>
    <w:basedOn w:val="Normal"/>
    <w:next w:val="BodyText"/>
    <w:link w:val="Heading1Char"/>
    <w:qFormat/>
    <w:rsid w:val="008E4FFC"/>
    <w:pPr>
      <w:keepNext/>
      <w:keepLines/>
      <w:pageBreakBefore/>
      <w:numPr>
        <w:numId w:val="35"/>
      </w:numPr>
      <w:tabs>
        <w:tab w:val="clear" w:pos="1701"/>
        <w:tab w:val="left" w:pos="851"/>
      </w:tabs>
      <w:spacing w:after="240"/>
      <w:ind w:left="851" w:hanging="851"/>
      <w:outlineLvl w:val="0"/>
    </w:pPr>
    <w:rPr>
      <w:rFonts w:asciiTheme="majorHAnsi" w:hAnsiTheme="majorHAnsi"/>
      <w:b/>
      <w:caps/>
      <w:noProof/>
      <w:color w:val="00243A"/>
      <w:kern w:val="28"/>
      <w:sz w:val="24"/>
    </w:rPr>
  </w:style>
  <w:style w:type="paragraph" w:styleId="Heading2">
    <w:name w:val="heading 2"/>
    <w:basedOn w:val="Normal"/>
    <w:next w:val="BodyText"/>
    <w:link w:val="Heading2Char"/>
    <w:qFormat/>
    <w:rsid w:val="00F44755"/>
    <w:pPr>
      <w:keepNext/>
      <w:keepLines/>
      <w:numPr>
        <w:ilvl w:val="1"/>
        <w:numId w:val="35"/>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35"/>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35"/>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35"/>
      </w:numPr>
      <w:tabs>
        <w:tab w:val="left" w:pos="2268"/>
      </w:tabs>
      <w:spacing w:before="240"/>
      <w:outlineLvl w:val="4"/>
    </w:pPr>
  </w:style>
  <w:style w:type="paragraph" w:styleId="Heading6">
    <w:name w:val="heading 6"/>
    <w:basedOn w:val="Normal"/>
    <w:next w:val="Normal"/>
    <w:uiPriority w:val="2"/>
    <w:rsid w:val="009F5595"/>
    <w:pPr>
      <w:numPr>
        <w:ilvl w:val="5"/>
        <w:numId w:val="35"/>
      </w:numPr>
      <w:spacing w:before="240"/>
      <w:outlineLvl w:val="5"/>
    </w:pPr>
    <w:rPr>
      <w:i/>
      <w:sz w:val="22"/>
    </w:rPr>
  </w:style>
  <w:style w:type="paragraph" w:styleId="Heading7">
    <w:name w:val="heading 7"/>
    <w:basedOn w:val="Normal"/>
    <w:next w:val="Normal"/>
    <w:uiPriority w:val="2"/>
    <w:rsid w:val="009F5595"/>
    <w:pPr>
      <w:numPr>
        <w:ilvl w:val="6"/>
        <w:numId w:val="35"/>
      </w:numPr>
      <w:spacing w:before="240"/>
      <w:outlineLvl w:val="6"/>
    </w:pPr>
  </w:style>
  <w:style w:type="paragraph" w:styleId="Heading8">
    <w:name w:val="heading 8"/>
    <w:aliases w:val="E. 1 Heading 8"/>
    <w:basedOn w:val="Normal"/>
    <w:next w:val="Normal"/>
    <w:uiPriority w:val="2"/>
    <w:rsid w:val="009F5595"/>
    <w:pPr>
      <w:numPr>
        <w:ilvl w:val="7"/>
        <w:numId w:val="35"/>
      </w:numPr>
      <w:spacing w:before="240"/>
      <w:outlineLvl w:val="7"/>
    </w:pPr>
    <w:rPr>
      <w:i/>
    </w:rPr>
  </w:style>
  <w:style w:type="paragraph" w:styleId="Heading9">
    <w:name w:val="heading 9"/>
    <w:basedOn w:val="Normal"/>
    <w:next w:val="Normal"/>
    <w:uiPriority w:val="2"/>
    <w:rsid w:val="009F5595"/>
    <w:pPr>
      <w:numPr>
        <w:ilvl w:val="8"/>
        <w:numId w:val="35"/>
      </w:num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0459"/>
    <w:pPr>
      <w:suppressAutoHyphens w:val="0"/>
      <w:spacing w:before="240" w:after="0" w:line="264" w:lineRule="auto"/>
      <w:ind w:left="851"/>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pPr>
    <w:rPr>
      <w:b/>
      <w:spacing w:val="-2"/>
      <w:sz w:val="24"/>
    </w:rPr>
  </w:style>
  <w:style w:type="paragraph" w:customStyle="1" w:styleId="List10">
    <w:name w:val="List (1)"/>
    <w:basedOn w:val="Normal"/>
    <w:uiPriority w:val="2"/>
    <w:rsid w:val="00B6155A"/>
    <w:pPr>
      <w:numPr>
        <w:numId w:val="13"/>
      </w:numPr>
      <w:spacing w:before="120" w:line="264" w:lineRule="auto"/>
    </w:pPr>
    <w:rPr>
      <w:spacing w:val="-2"/>
    </w:rPr>
  </w:style>
  <w:style w:type="paragraph" w:customStyle="1" w:styleId="List-">
    <w:name w:val="List -"/>
    <w:basedOn w:val="ListBullet"/>
    <w:uiPriority w:val="2"/>
    <w:rsid w:val="00B6155A"/>
    <w:pPr>
      <w:numPr>
        <w:numId w:val="12"/>
      </w:numPr>
      <w:tabs>
        <w:tab w:val="left" w:pos="1701"/>
      </w:tabs>
      <w:spacing w:before="240"/>
      <w:ind w:left="0" w:firstLine="0"/>
    </w:pPr>
    <w:rPr>
      <w:snapToGrid w:val="0"/>
    </w:rPr>
  </w:style>
  <w:style w:type="paragraph" w:customStyle="1" w:styleId="List1">
    <w:name w:val="List 1."/>
    <w:basedOn w:val="List"/>
    <w:uiPriority w:val="2"/>
    <w:rsid w:val="00B6155A"/>
    <w:pPr>
      <w:numPr>
        <w:numId w:val="11"/>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D328B3"/>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10"/>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99"/>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350EF4"/>
    <w:pPr>
      <w:ind w:left="851"/>
    </w:pPr>
    <w:rPr>
      <w:sz w:val="16"/>
    </w:r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4"/>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5"/>
      </w:numPr>
    </w:pPr>
  </w:style>
  <w:style w:type="paragraph" w:styleId="ListNumber3">
    <w:name w:val="List Number 3"/>
    <w:basedOn w:val="Normal"/>
    <w:uiPriority w:val="2"/>
    <w:rsid w:val="00B6155A"/>
    <w:pPr>
      <w:numPr>
        <w:numId w:val="16"/>
      </w:numPr>
    </w:pPr>
  </w:style>
  <w:style w:type="paragraph" w:styleId="ListNumber4">
    <w:name w:val="List Number 4"/>
    <w:basedOn w:val="Normal"/>
    <w:uiPriority w:val="2"/>
    <w:rsid w:val="00B6155A"/>
    <w:pPr>
      <w:numPr>
        <w:numId w:val="17"/>
      </w:numPr>
    </w:pPr>
  </w:style>
  <w:style w:type="paragraph" w:styleId="ListNumber5">
    <w:name w:val="List Number 5"/>
    <w:basedOn w:val="Normal"/>
    <w:uiPriority w:val="2"/>
    <w:rsid w:val="00B6155A"/>
    <w:pPr>
      <w:numPr>
        <w:numId w:val="18"/>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350EF4"/>
    <w:rPr>
      <w:sz w:val="16"/>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99"/>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99"/>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paragraph" w:styleId="ListParagraph">
    <w:name w:val="List Paragraph"/>
    <w:basedOn w:val="Normal"/>
    <w:uiPriority w:val="34"/>
    <w:qFormat/>
    <w:rsid w:val="009A7CE3"/>
    <w:pPr>
      <w:ind w:left="720"/>
      <w:contextualSpacing/>
    </w:pPr>
  </w:style>
  <w:style w:type="character" w:customStyle="1" w:styleId="Heading1Char">
    <w:name w:val="Heading 1 Char"/>
    <w:basedOn w:val="DefaultParagraphFont"/>
    <w:link w:val="Heading1"/>
    <w:uiPriority w:val="9"/>
    <w:rsid w:val="00E863E9"/>
    <w:rPr>
      <w:rFonts w:asciiTheme="majorHAnsi" w:hAnsiTheme="majorHAnsi"/>
      <w:b/>
      <w:caps/>
      <w:noProof/>
      <w:color w:val="00243A"/>
      <w:kern w:val="28"/>
      <w:sz w:val="24"/>
      <w:lang w:eastAsia="en-US"/>
    </w:rPr>
  </w:style>
  <w:style w:type="paragraph" w:styleId="Bibliography">
    <w:name w:val="Bibliography"/>
    <w:basedOn w:val="Normal"/>
    <w:next w:val="Normal"/>
    <w:uiPriority w:val="37"/>
    <w:unhideWhenUsed/>
    <w:rsid w:val="00E863E9"/>
  </w:style>
  <w:style w:type="character" w:customStyle="1" w:styleId="Heading2Char">
    <w:name w:val="Heading 2 Char"/>
    <w:basedOn w:val="DefaultParagraphFont"/>
    <w:link w:val="Heading2"/>
    <w:rsid w:val="00F4544F"/>
    <w:rPr>
      <w:rFonts w:asciiTheme="majorHAnsi" w:hAnsiTheme="majorHAnsi"/>
      <w:b/>
      <w:color w:val="00243A"/>
      <w:lang w:eastAsia="en-US"/>
    </w:rPr>
  </w:style>
  <w:style w:type="character" w:customStyle="1" w:styleId="BodyTextChar">
    <w:name w:val="Body Text Char"/>
    <w:basedOn w:val="DefaultParagraphFont"/>
    <w:link w:val="BodyText"/>
    <w:rsid w:val="00F4544F"/>
    <w:rPr>
      <w:rFonts w:asciiTheme="minorHAnsi" w:hAnsiTheme="minorHAnsi"/>
      <w:lang w:eastAsia="en-US"/>
    </w:rPr>
  </w:style>
  <w:style w:type="paragraph" w:styleId="Revision">
    <w:name w:val="Revision"/>
    <w:hidden/>
    <w:uiPriority w:val="99"/>
    <w:semiHidden/>
    <w:rsid w:val="00EF6102"/>
    <w:rPr>
      <w:rFonts w:asciiTheme="minorHAnsi" w:hAnsiTheme="minorHAnsi"/>
      <w:lang w:eastAsia="en-US"/>
    </w:rPr>
  </w:style>
  <w:style w:type="character" w:styleId="IntenseEmphasis">
    <w:name w:val="Intense Emphasis"/>
    <w:basedOn w:val="DefaultParagraphFont"/>
    <w:uiPriority w:val="21"/>
    <w:qFormat/>
    <w:rsid w:val="00E705C4"/>
    <w:rPr>
      <w:i/>
      <w:iCs/>
      <w:color w:val="00455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697">
      <w:bodyDiv w:val="1"/>
      <w:marLeft w:val="0"/>
      <w:marRight w:val="0"/>
      <w:marTop w:val="0"/>
      <w:marBottom w:val="0"/>
      <w:divBdr>
        <w:top w:val="none" w:sz="0" w:space="0" w:color="auto"/>
        <w:left w:val="none" w:sz="0" w:space="0" w:color="auto"/>
        <w:bottom w:val="none" w:sz="0" w:space="0" w:color="auto"/>
        <w:right w:val="none" w:sz="0" w:space="0" w:color="auto"/>
      </w:divBdr>
    </w:div>
    <w:div w:id="17900121">
      <w:bodyDiv w:val="1"/>
      <w:marLeft w:val="0"/>
      <w:marRight w:val="0"/>
      <w:marTop w:val="0"/>
      <w:marBottom w:val="0"/>
      <w:divBdr>
        <w:top w:val="none" w:sz="0" w:space="0" w:color="auto"/>
        <w:left w:val="none" w:sz="0" w:space="0" w:color="auto"/>
        <w:bottom w:val="none" w:sz="0" w:space="0" w:color="auto"/>
        <w:right w:val="none" w:sz="0" w:space="0" w:color="auto"/>
      </w:divBdr>
    </w:div>
    <w:div w:id="21633266">
      <w:bodyDiv w:val="1"/>
      <w:marLeft w:val="0"/>
      <w:marRight w:val="0"/>
      <w:marTop w:val="0"/>
      <w:marBottom w:val="0"/>
      <w:divBdr>
        <w:top w:val="none" w:sz="0" w:space="0" w:color="auto"/>
        <w:left w:val="none" w:sz="0" w:space="0" w:color="auto"/>
        <w:bottom w:val="none" w:sz="0" w:space="0" w:color="auto"/>
        <w:right w:val="none" w:sz="0" w:space="0" w:color="auto"/>
      </w:divBdr>
    </w:div>
    <w:div w:id="22441004">
      <w:bodyDiv w:val="1"/>
      <w:marLeft w:val="0"/>
      <w:marRight w:val="0"/>
      <w:marTop w:val="0"/>
      <w:marBottom w:val="0"/>
      <w:divBdr>
        <w:top w:val="none" w:sz="0" w:space="0" w:color="auto"/>
        <w:left w:val="none" w:sz="0" w:space="0" w:color="auto"/>
        <w:bottom w:val="none" w:sz="0" w:space="0" w:color="auto"/>
        <w:right w:val="none" w:sz="0" w:space="0" w:color="auto"/>
      </w:divBdr>
    </w:div>
    <w:div w:id="36856985">
      <w:bodyDiv w:val="1"/>
      <w:marLeft w:val="0"/>
      <w:marRight w:val="0"/>
      <w:marTop w:val="0"/>
      <w:marBottom w:val="0"/>
      <w:divBdr>
        <w:top w:val="none" w:sz="0" w:space="0" w:color="auto"/>
        <w:left w:val="none" w:sz="0" w:space="0" w:color="auto"/>
        <w:bottom w:val="none" w:sz="0" w:space="0" w:color="auto"/>
        <w:right w:val="none" w:sz="0" w:space="0" w:color="auto"/>
      </w:divBdr>
    </w:div>
    <w:div w:id="45640268">
      <w:bodyDiv w:val="1"/>
      <w:marLeft w:val="0"/>
      <w:marRight w:val="0"/>
      <w:marTop w:val="0"/>
      <w:marBottom w:val="0"/>
      <w:divBdr>
        <w:top w:val="none" w:sz="0" w:space="0" w:color="auto"/>
        <w:left w:val="none" w:sz="0" w:space="0" w:color="auto"/>
        <w:bottom w:val="none" w:sz="0" w:space="0" w:color="auto"/>
        <w:right w:val="none" w:sz="0" w:space="0" w:color="auto"/>
      </w:divBdr>
    </w:div>
    <w:div w:id="56169102">
      <w:bodyDiv w:val="1"/>
      <w:marLeft w:val="0"/>
      <w:marRight w:val="0"/>
      <w:marTop w:val="0"/>
      <w:marBottom w:val="0"/>
      <w:divBdr>
        <w:top w:val="none" w:sz="0" w:space="0" w:color="auto"/>
        <w:left w:val="none" w:sz="0" w:space="0" w:color="auto"/>
        <w:bottom w:val="none" w:sz="0" w:space="0" w:color="auto"/>
        <w:right w:val="none" w:sz="0" w:space="0" w:color="auto"/>
      </w:divBdr>
    </w:div>
    <w:div w:id="63339358">
      <w:bodyDiv w:val="1"/>
      <w:marLeft w:val="0"/>
      <w:marRight w:val="0"/>
      <w:marTop w:val="0"/>
      <w:marBottom w:val="0"/>
      <w:divBdr>
        <w:top w:val="none" w:sz="0" w:space="0" w:color="auto"/>
        <w:left w:val="none" w:sz="0" w:space="0" w:color="auto"/>
        <w:bottom w:val="none" w:sz="0" w:space="0" w:color="auto"/>
        <w:right w:val="none" w:sz="0" w:space="0" w:color="auto"/>
      </w:divBdr>
    </w:div>
    <w:div w:id="72898635">
      <w:bodyDiv w:val="1"/>
      <w:marLeft w:val="0"/>
      <w:marRight w:val="0"/>
      <w:marTop w:val="0"/>
      <w:marBottom w:val="0"/>
      <w:divBdr>
        <w:top w:val="none" w:sz="0" w:space="0" w:color="auto"/>
        <w:left w:val="none" w:sz="0" w:space="0" w:color="auto"/>
        <w:bottom w:val="none" w:sz="0" w:space="0" w:color="auto"/>
        <w:right w:val="none" w:sz="0" w:space="0" w:color="auto"/>
      </w:divBdr>
    </w:div>
    <w:div w:id="74790322">
      <w:bodyDiv w:val="1"/>
      <w:marLeft w:val="0"/>
      <w:marRight w:val="0"/>
      <w:marTop w:val="0"/>
      <w:marBottom w:val="0"/>
      <w:divBdr>
        <w:top w:val="none" w:sz="0" w:space="0" w:color="auto"/>
        <w:left w:val="none" w:sz="0" w:space="0" w:color="auto"/>
        <w:bottom w:val="none" w:sz="0" w:space="0" w:color="auto"/>
        <w:right w:val="none" w:sz="0" w:space="0" w:color="auto"/>
      </w:divBdr>
    </w:div>
    <w:div w:id="88812796">
      <w:bodyDiv w:val="1"/>
      <w:marLeft w:val="0"/>
      <w:marRight w:val="0"/>
      <w:marTop w:val="0"/>
      <w:marBottom w:val="0"/>
      <w:divBdr>
        <w:top w:val="none" w:sz="0" w:space="0" w:color="auto"/>
        <w:left w:val="none" w:sz="0" w:space="0" w:color="auto"/>
        <w:bottom w:val="none" w:sz="0" w:space="0" w:color="auto"/>
        <w:right w:val="none" w:sz="0" w:space="0" w:color="auto"/>
      </w:divBdr>
    </w:div>
    <w:div w:id="141237455">
      <w:bodyDiv w:val="1"/>
      <w:marLeft w:val="0"/>
      <w:marRight w:val="0"/>
      <w:marTop w:val="0"/>
      <w:marBottom w:val="0"/>
      <w:divBdr>
        <w:top w:val="none" w:sz="0" w:space="0" w:color="auto"/>
        <w:left w:val="none" w:sz="0" w:space="0" w:color="auto"/>
        <w:bottom w:val="none" w:sz="0" w:space="0" w:color="auto"/>
        <w:right w:val="none" w:sz="0" w:space="0" w:color="auto"/>
      </w:divBdr>
    </w:div>
    <w:div w:id="173495166">
      <w:bodyDiv w:val="1"/>
      <w:marLeft w:val="0"/>
      <w:marRight w:val="0"/>
      <w:marTop w:val="0"/>
      <w:marBottom w:val="0"/>
      <w:divBdr>
        <w:top w:val="none" w:sz="0" w:space="0" w:color="auto"/>
        <w:left w:val="none" w:sz="0" w:space="0" w:color="auto"/>
        <w:bottom w:val="none" w:sz="0" w:space="0" w:color="auto"/>
        <w:right w:val="none" w:sz="0" w:space="0" w:color="auto"/>
      </w:divBdr>
    </w:div>
    <w:div w:id="197863873">
      <w:bodyDiv w:val="1"/>
      <w:marLeft w:val="0"/>
      <w:marRight w:val="0"/>
      <w:marTop w:val="0"/>
      <w:marBottom w:val="0"/>
      <w:divBdr>
        <w:top w:val="none" w:sz="0" w:space="0" w:color="auto"/>
        <w:left w:val="none" w:sz="0" w:space="0" w:color="auto"/>
        <w:bottom w:val="none" w:sz="0" w:space="0" w:color="auto"/>
        <w:right w:val="none" w:sz="0" w:space="0" w:color="auto"/>
      </w:divBdr>
    </w:div>
    <w:div w:id="204873008">
      <w:bodyDiv w:val="1"/>
      <w:marLeft w:val="0"/>
      <w:marRight w:val="0"/>
      <w:marTop w:val="0"/>
      <w:marBottom w:val="0"/>
      <w:divBdr>
        <w:top w:val="none" w:sz="0" w:space="0" w:color="auto"/>
        <w:left w:val="none" w:sz="0" w:space="0" w:color="auto"/>
        <w:bottom w:val="none" w:sz="0" w:space="0" w:color="auto"/>
        <w:right w:val="none" w:sz="0" w:space="0" w:color="auto"/>
      </w:divBdr>
    </w:div>
    <w:div w:id="209273480">
      <w:bodyDiv w:val="1"/>
      <w:marLeft w:val="0"/>
      <w:marRight w:val="0"/>
      <w:marTop w:val="0"/>
      <w:marBottom w:val="0"/>
      <w:divBdr>
        <w:top w:val="none" w:sz="0" w:space="0" w:color="auto"/>
        <w:left w:val="none" w:sz="0" w:space="0" w:color="auto"/>
        <w:bottom w:val="none" w:sz="0" w:space="0" w:color="auto"/>
        <w:right w:val="none" w:sz="0" w:space="0" w:color="auto"/>
      </w:divBdr>
    </w:div>
    <w:div w:id="213857297">
      <w:bodyDiv w:val="1"/>
      <w:marLeft w:val="0"/>
      <w:marRight w:val="0"/>
      <w:marTop w:val="0"/>
      <w:marBottom w:val="0"/>
      <w:divBdr>
        <w:top w:val="none" w:sz="0" w:space="0" w:color="auto"/>
        <w:left w:val="none" w:sz="0" w:space="0" w:color="auto"/>
        <w:bottom w:val="none" w:sz="0" w:space="0" w:color="auto"/>
        <w:right w:val="none" w:sz="0" w:space="0" w:color="auto"/>
      </w:divBdr>
    </w:div>
    <w:div w:id="233249115">
      <w:bodyDiv w:val="1"/>
      <w:marLeft w:val="0"/>
      <w:marRight w:val="0"/>
      <w:marTop w:val="0"/>
      <w:marBottom w:val="0"/>
      <w:divBdr>
        <w:top w:val="none" w:sz="0" w:space="0" w:color="auto"/>
        <w:left w:val="none" w:sz="0" w:space="0" w:color="auto"/>
        <w:bottom w:val="none" w:sz="0" w:space="0" w:color="auto"/>
        <w:right w:val="none" w:sz="0" w:space="0" w:color="auto"/>
      </w:divBdr>
    </w:div>
    <w:div w:id="262346890">
      <w:bodyDiv w:val="1"/>
      <w:marLeft w:val="0"/>
      <w:marRight w:val="0"/>
      <w:marTop w:val="0"/>
      <w:marBottom w:val="0"/>
      <w:divBdr>
        <w:top w:val="none" w:sz="0" w:space="0" w:color="auto"/>
        <w:left w:val="none" w:sz="0" w:space="0" w:color="auto"/>
        <w:bottom w:val="none" w:sz="0" w:space="0" w:color="auto"/>
        <w:right w:val="none" w:sz="0" w:space="0" w:color="auto"/>
      </w:divBdr>
    </w:div>
    <w:div w:id="279728818">
      <w:bodyDiv w:val="1"/>
      <w:marLeft w:val="0"/>
      <w:marRight w:val="0"/>
      <w:marTop w:val="0"/>
      <w:marBottom w:val="0"/>
      <w:divBdr>
        <w:top w:val="none" w:sz="0" w:space="0" w:color="auto"/>
        <w:left w:val="none" w:sz="0" w:space="0" w:color="auto"/>
        <w:bottom w:val="none" w:sz="0" w:space="0" w:color="auto"/>
        <w:right w:val="none" w:sz="0" w:space="0" w:color="auto"/>
      </w:divBdr>
    </w:div>
    <w:div w:id="281234082">
      <w:bodyDiv w:val="1"/>
      <w:marLeft w:val="0"/>
      <w:marRight w:val="0"/>
      <w:marTop w:val="0"/>
      <w:marBottom w:val="0"/>
      <w:divBdr>
        <w:top w:val="none" w:sz="0" w:space="0" w:color="auto"/>
        <w:left w:val="none" w:sz="0" w:space="0" w:color="auto"/>
        <w:bottom w:val="none" w:sz="0" w:space="0" w:color="auto"/>
        <w:right w:val="none" w:sz="0" w:space="0" w:color="auto"/>
      </w:divBdr>
    </w:div>
    <w:div w:id="288970859">
      <w:bodyDiv w:val="1"/>
      <w:marLeft w:val="0"/>
      <w:marRight w:val="0"/>
      <w:marTop w:val="0"/>
      <w:marBottom w:val="0"/>
      <w:divBdr>
        <w:top w:val="none" w:sz="0" w:space="0" w:color="auto"/>
        <w:left w:val="none" w:sz="0" w:space="0" w:color="auto"/>
        <w:bottom w:val="none" w:sz="0" w:space="0" w:color="auto"/>
        <w:right w:val="none" w:sz="0" w:space="0" w:color="auto"/>
      </w:divBdr>
    </w:div>
    <w:div w:id="297539348">
      <w:bodyDiv w:val="1"/>
      <w:marLeft w:val="0"/>
      <w:marRight w:val="0"/>
      <w:marTop w:val="0"/>
      <w:marBottom w:val="0"/>
      <w:divBdr>
        <w:top w:val="none" w:sz="0" w:space="0" w:color="auto"/>
        <w:left w:val="none" w:sz="0" w:space="0" w:color="auto"/>
        <w:bottom w:val="none" w:sz="0" w:space="0" w:color="auto"/>
        <w:right w:val="none" w:sz="0" w:space="0" w:color="auto"/>
      </w:divBdr>
    </w:div>
    <w:div w:id="299266049">
      <w:bodyDiv w:val="1"/>
      <w:marLeft w:val="0"/>
      <w:marRight w:val="0"/>
      <w:marTop w:val="0"/>
      <w:marBottom w:val="0"/>
      <w:divBdr>
        <w:top w:val="none" w:sz="0" w:space="0" w:color="auto"/>
        <w:left w:val="none" w:sz="0" w:space="0" w:color="auto"/>
        <w:bottom w:val="none" w:sz="0" w:space="0" w:color="auto"/>
        <w:right w:val="none" w:sz="0" w:space="0" w:color="auto"/>
      </w:divBdr>
    </w:div>
    <w:div w:id="300114137">
      <w:bodyDiv w:val="1"/>
      <w:marLeft w:val="0"/>
      <w:marRight w:val="0"/>
      <w:marTop w:val="0"/>
      <w:marBottom w:val="0"/>
      <w:divBdr>
        <w:top w:val="none" w:sz="0" w:space="0" w:color="auto"/>
        <w:left w:val="none" w:sz="0" w:space="0" w:color="auto"/>
        <w:bottom w:val="none" w:sz="0" w:space="0" w:color="auto"/>
        <w:right w:val="none" w:sz="0" w:space="0" w:color="auto"/>
      </w:divBdr>
    </w:div>
    <w:div w:id="304746024">
      <w:bodyDiv w:val="1"/>
      <w:marLeft w:val="0"/>
      <w:marRight w:val="0"/>
      <w:marTop w:val="0"/>
      <w:marBottom w:val="0"/>
      <w:divBdr>
        <w:top w:val="none" w:sz="0" w:space="0" w:color="auto"/>
        <w:left w:val="none" w:sz="0" w:space="0" w:color="auto"/>
        <w:bottom w:val="none" w:sz="0" w:space="0" w:color="auto"/>
        <w:right w:val="none" w:sz="0" w:space="0" w:color="auto"/>
      </w:divBdr>
    </w:div>
    <w:div w:id="305934863">
      <w:bodyDiv w:val="1"/>
      <w:marLeft w:val="0"/>
      <w:marRight w:val="0"/>
      <w:marTop w:val="0"/>
      <w:marBottom w:val="0"/>
      <w:divBdr>
        <w:top w:val="none" w:sz="0" w:space="0" w:color="auto"/>
        <w:left w:val="none" w:sz="0" w:space="0" w:color="auto"/>
        <w:bottom w:val="none" w:sz="0" w:space="0" w:color="auto"/>
        <w:right w:val="none" w:sz="0" w:space="0" w:color="auto"/>
      </w:divBdr>
    </w:div>
    <w:div w:id="307829439">
      <w:bodyDiv w:val="1"/>
      <w:marLeft w:val="0"/>
      <w:marRight w:val="0"/>
      <w:marTop w:val="0"/>
      <w:marBottom w:val="0"/>
      <w:divBdr>
        <w:top w:val="none" w:sz="0" w:space="0" w:color="auto"/>
        <w:left w:val="none" w:sz="0" w:space="0" w:color="auto"/>
        <w:bottom w:val="none" w:sz="0" w:space="0" w:color="auto"/>
        <w:right w:val="none" w:sz="0" w:space="0" w:color="auto"/>
      </w:divBdr>
    </w:div>
    <w:div w:id="310910707">
      <w:bodyDiv w:val="1"/>
      <w:marLeft w:val="0"/>
      <w:marRight w:val="0"/>
      <w:marTop w:val="0"/>
      <w:marBottom w:val="0"/>
      <w:divBdr>
        <w:top w:val="none" w:sz="0" w:space="0" w:color="auto"/>
        <w:left w:val="none" w:sz="0" w:space="0" w:color="auto"/>
        <w:bottom w:val="none" w:sz="0" w:space="0" w:color="auto"/>
        <w:right w:val="none" w:sz="0" w:space="0" w:color="auto"/>
      </w:divBdr>
    </w:div>
    <w:div w:id="333533427">
      <w:bodyDiv w:val="1"/>
      <w:marLeft w:val="0"/>
      <w:marRight w:val="0"/>
      <w:marTop w:val="0"/>
      <w:marBottom w:val="0"/>
      <w:divBdr>
        <w:top w:val="none" w:sz="0" w:space="0" w:color="auto"/>
        <w:left w:val="none" w:sz="0" w:space="0" w:color="auto"/>
        <w:bottom w:val="none" w:sz="0" w:space="0" w:color="auto"/>
        <w:right w:val="none" w:sz="0" w:space="0" w:color="auto"/>
      </w:divBdr>
    </w:div>
    <w:div w:id="342705163">
      <w:bodyDiv w:val="1"/>
      <w:marLeft w:val="0"/>
      <w:marRight w:val="0"/>
      <w:marTop w:val="0"/>
      <w:marBottom w:val="0"/>
      <w:divBdr>
        <w:top w:val="none" w:sz="0" w:space="0" w:color="auto"/>
        <w:left w:val="none" w:sz="0" w:space="0" w:color="auto"/>
        <w:bottom w:val="none" w:sz="0" w:space="0" w:color="auto"/>
        <w:right w:val="none" w:sz="0" w:space="0" w:color="auto"/>
      </w:divBdr>
    </w:div>
    <w:div w:id="344096522">
      <w:bodyDiv w:val="1"/>
      <w:marLeft w:val="0"/>
      <w:marRight w:val="0"/>
      <w:marTop w:val="0"/>
      <w:marBottom w:val="0"/>
      <w:divBdr>
        <w:top w:val="none" w:sz="0" w:space="0" w:color="auto"/>
        <w:left w:val="none" w:sz="0" w:space="0" w:color="auto"/>
        <w:bottom w:val="none" w:sz="0" w:space="0" w:color="auto"/>
        <w:right w:val="none" w:sz="0" w:space="0" w:color="auto"/>
      </w:divBdr>
    </w:div>
    <w:div w:id="345836070">
      <w:bodyDiv w:val="1"/>
      <w:marLeft w:val="0"/>
      <w:marRight w:val="0"/>
      <w:marTop w:val="0"/>
      <w:marBottom w:val="0"/>
      <w:divBdr>
        <w:top w:val="none" w:sz="0" w:space="0" w:color="auto"/>
        <w:left w:val="none" w:sz="0" w:space="0" w:color="auto"/>
        <w:bottom w:val="none" w:sz="0" w:space="0" w:color="auto"/>
        <w:right w:val="none" w:sz="0" w:space="0" w:color="auto"/>
      </w:divBdr>
    </w:div>
    <w:div w:id="347755475">
      <w:bodyDiv w:val="1"/>
      <w:marLeft w:val="0"/>
      <w:marRight w:val="0"/>
      <w:marTop w:val="0"/>
      <w:marBottom w:val="0"/>
      <w:divBdr>
        <w:top w:val="none" w:sz="0" w:space="0" w:color="auto"/>
        <w:left w:val="none" w:sz="0" w:space="0" w:color="auto"/>
        <w:bottom w:val="none" w:sz="0" w:space="0" w:color="auto"/>
        <w:right w:val="none" w:sz="0" w:space="0" w:color="auto"/>
      </w:divBdr>
    </w:div>
    <w:div w:id="353725019">
      <w:bodyDiv w:val="1"/>
      <w:marLeft w:val="0"/>
      <w:marRight w:val="0"/>
      <w:marTop w:val="0"/>
      <w:marBottom w:val="0"/>
      <w:divBdr>
        <w:top w:val="none" w:sz="0" w:space="0" w:color="auto"/>
        <w:left w:val="none" w:sz="0" w:space="0" w:color="auto"/>
        <w:bottom w:val="none" w:sz="0" w:space="0" w:color="auto"/>
        <w:right w:val="none" w:sz="0" w:space="0" w:color="auto"/>
      </w:divBdr>
    </w:div>
    <w:div w:id="362561586">
      <w:bodyDiv w:val="1"/>
      <w:marLeft w:val="0"/>
      <w:marRight w:val="0"/>
      <w:marTop w:val="0"/>
      <w:marBottom w:val="0"/>
      <w:divBdr>
        <w:top w:val="none" w:sz="0" w:space="0" w:color="auto"/>
        <w:left w:val="none" w:sz="0" w:space="0" w:color="auto"/>
        <w:bottom w:val="none" w:sz="0" w:space="0" w:color="auto"/>
        <w:right w:val="none" w:sz="0" w:space="0" w:color="auto"/>
      </w:divBdr>
    </w:div>
    <w:div w:id="377507488">
      <w:bodyDiv w:val="1"/>
      <w:marLeft w:val="0"/>
      <w:marRight w:val="0"/>
      <w:marTop w:val="0"/>
      <w:marBottom w:val="0"/>
      <w:divBdr>
        <w:top w:val="none" w:sz="0" w:space="0" w:color="auto"/>
        <w:left w:val="none" w:sz="0" w:space="0" w:color="auto"/>
        <w:bottom w:val="none" w:sz="0" w:space="0" w:color="auto"/>
        <w:right w:val="none" w:sz="0" w:space="0" w:color="auto"/>
      </w:divBdr>
    </w:div>
    <w:div w:id="401832221">
      <w:bodyDiv w:val="1"/>
      <w:marLeft w:val="0"/>
      <w:marRight w:val="0"/>
      <w:marTop w:val="0"/>
      <w:marBottom w:val="0"/>
      <w:divBdr>
        <w:top w:val="none" w:sz="0" w:space="0" w:color="auto"/>
        <w:left w:val="none" w:sz="0" w:space="0" w:color="auto"/>
        <w:bottom w:val="none" w:sz="0" w:space="0" w:color="auto"/>
        <w:right w:val="none" w:sz="0" w:space="0" w:color="auto"/>
      </w:divBdr>
    </w:div>
    <w:div w:id="408816343">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52029">
      <w:bodyDiv w:val="1"/>
      <w:marLeft w:val="0"/>
      <w:marRight w:val="0"/>
      <w:marTop w:val="0"/>
      <w:marBottom w:val="0"/>
      <w:divBdr>
        <w:top w:val="none" w:sz="0" w:space="0" w:color="auto"/>
        <w:left w:val="none" w:sz="0" w:space="0" w:color="auto"/>
        <w:bottom w:val="none" w:sz="0" w:space="0" w:color="auto"/>
        <w:right w:val="none" w:sz="0" w:space="0" w:color="auto"/>
      </w:divBdr>
    </w:div>
    <w:div w:id="420564188">
      <w:bodyDiv w:val="1"/>
      <w:marLeft w:val="0"/>
      <w:marRight w:val="0"/>
      <w:marTop w:val="0"/>
      <w:marBottom w:val="0"/>
      <w:divBdr>
        <w:top w:val="none" w:sz="0" w:space="0" w:color="auto"/>
        <w:left w:val="none" w:sz="0" w:space="0" w:color="auto"/>
        <w:bottom w:val="none" w:sz="0" w:space="0" w:color="auto"/>
        <w:right w:val="none" w:sz="0" w:space="0" w:color="auto"/>
      </w:divBdr>
    </w:div>
    <w:div w:id="453257348">
      <w:bodyDiv w:val="1"/>
      <w:marLeft w:val="0"/>
      <w:marRight w:val="0"/>
      <w:marTop w:val="0"/>
      <w:marBottom w:val="0"/>
      <w:divBdr>
        <w:top w:val="none" w:sz="0" w:space="0" w:color="auto"/>
        <w:left w:val="none" w:sz="0" w:space="0" w:color="auto"/>
        <w:bottom w:val="none" w:sz="0" w:space="0" w:color="auto"/>
        <w:right w:val="none" w:sz="0" w:space="0" w:color="auto"/>
      </w:divBdr>
    </w:div>
    <w:div w:id="462777462">
      <w:bodyDiv w:val="1"/>
      <w:marLeft w:val="0"/>
      <w:marRight w:val="0"/>
      <w:marTop w:val="0"/>
      <w:marBottom w:val="0"/>
      <w:divBdr>
        <w:top w:val="none" w:sz="0" w:space="0" w:color="auto"/>
        <w:left w:val="none" w:sz="0" w:space="0" w:color="auto"/>
        <w:bottom w:val="none" w:sz="0" w:space="0" w:color="auto"/>
        <w:right w:val="none" w:sz="0" w:space="0" w:color="auto"/>
      </w:divBdr>
    </w:div>
    <w:div w:id="474108052">
      <w:bodyDiv w:val="1"/>
      <w:marLeft w:val="0"/>
      <w:marRight w:val="0"/>
      <w:marTop w:val="0"/>
      <w:marBottom w:val="0"/>
      <w:divBdr>
        <w:top w:val="none" w:sz="0" w:space="0" w:color="auto"/>
        <w:left w:val="none" w:sz="0" w:space="0" w:color="auto"/>
        <w:bottom w:val="none" w:sz="0" w:space="0" w:color="auto"/>
        <w:right w:val="none" w:sz="0" w:space="0" w:color="auto"/>
      </w:divBdr>
    </w:div>
    <w:div w:id="475993679">
      <w:bodyDiv w:val="1"/>
      <w:marLeft w:val="0"/>
      <w:marRight w:val="0"/>
      <w:marTop w:val="0"/>
      <w:marBottom w:val="0"/>
      <w:divBdr>
        <w:top w:val="none" w:sz="0" w:space="0" w:color="auto"/>
        <w:left w:val="none" w:sz="0" w:space="0" w:color="auto"/>
        <w:bottom w:val="none" w:sz="0" w:space="0" w:color="auto"/>
        <w:right w:val="none" w:sz="0" w:space="0" w:color="auto"/>
      </w:divBdr>
    </w:div>
    <w:div w:id="477380586">
      <w:bodyDiv w:val="1"/>
      <w:marLeft w:val="0"/>
      <w:marRight w:val="0"/>
      <w:marTop w:val="0"/>
      <w:marBottom w:val="0"/>
      <w:divBdr>
        <w:top w:val="none" w:sz="0" w:space="0" w:color="auto"/>
        <w:left w:val="none" w:sz="0" w:space="0" w:color="auto"/>
        <w:bottom w:val="none" w:sz="0" w:space="0" w:color="auto"/>
        <w:right w:val="none" w:sz="0" w:space="0" w:color="auto"/>
      </w:divBdr>
    </w:div>
    <w:div w:id="486167945">
      <w:bodyDiv w:val="1"/>
      <w:marLeft w:val="0"/>
      <w:marRight w:val="0"/>
      <w:marTop w:val="0"/>
      <w:marBottom w:val="0"/>
      <w:divBdr>
        <w:top w:val="none" w:sz="0" w:space="0" w:color="auto"/>
        <w:left w:val="none" w:sz="0" w:space="0" w:color="auto"/>
        <w:bottom w:val="none" w:sz="0" w:space="0" w:color="auto"/>
        <w:right w:val="none" w:sz="0" w:space="0" w:color="auto"/>
      </w:divBdr>
    </w:div>
    <w:div w:id="489714910">
      <w:bodyDiv w:val="1"/>
      <w:marLeft w:val="0"/>
      <w:marRight w:val="0"/>
      <w:marTop w:val="0"/>
      <w:marBottom w:val="0"/>
      <w:divBdr>
        <w:top w:val="none" w:sz="0" w:space="0" w:color="auto"/>
        <w:left w:val="none" w:sz="0" w:space="0" w:color="auto"/>
        <w:bottom w:val="none" w:sz="0" w:space="0" w:color="auto"/>
        <w:right w:val="none" w:sz="0" w:space="0" w:color="auto"/>
      </w:divBdr>
    </w:div>
    <w:div w:id="507912558">
      <w:bodyDiv w:val="1"/>
      <w:marLeft w:val="0"/>
      <w:marRight w:val="0"/>
      <w:marTop w:val="0"/>
      <w:marBottom w:val="0"/>
      <w:divBdr>
        <w:top w:val="none" w:sz="0" w:space="0" w:color="auto"/>
        <w:left w:val="none" w:sz="0" w:space="0" w:color="auto"/>
        <w:bottom w:val="none" w:sz="0" w:space="0" w:color="auto"/>
        <w:right w:val="none" w:sz="0" w:space="0" w:color="auto"/>
      </w:divBdr>
    </w:div>
    <w:div w:id="510997041">
      <w:bodyDiv w:val="1"/>
      <w:marLeft w:val="0"/>
      <w:marRight w:val="0"/>
      <w:marTop w:val="0"/>
      <w:marBottom w:val="0"/>
      <w:divBdr>
        <w:top w:val="none" w:sz="0" w:space="0" w:color="auto"/>
        <w:left w:val="none" w:sz="0" w:space="0" w:color="auto"/>
        <w:bottom w:val="none" w:sz="0" w:space="0" w:color="auto"/>
        <w:right w:val="none" w:sz="0" w:space="0" w:color="auto"/>
      </w:divBdr>
    </w:div>
    <w:div w:id="534079468">
      <w:bodyDiv w:val="1"/>
      <w:marLeft w:val="0"/>
      <w:marRight w:val="0"/>
      <w:marTop w:val="0"/>
      <w:marBottom w:val="0"/>
      <w:divBdr>
        <w:top w:val="none" w:sz="0" w:space="0" w:color="auto"/>
        <w:left w:val="none" w:sz="0" w:space="0" w:color="auto"/>
        <w:bottom w:val="none" w:sz="0" w:space="0" w:color="auto"/>
        <w:right w:val="none" w:sz="0" w:space="0" w:color="auto"/>
      </w:divBdr>
    </w:div>
    <w:div w:id="543761575">
      <w:bodyDiv w:val="1"/>
      <w:marLeft w:val="0"/>
      <w:marRight w:val="0"/>
      <w:marTop w:val="0"/>
      <w:marBottom w:val="0"/>
      <w:divBdr>
        <w:top w:val="none" w:sz="0" w:space="0" w:color="auto"/>
        <w:left w:val="none" w:sz="0" w:space="0" w:color="auto"/>
        <w:bottom w:val="none" w:sz="0" w:space="0" w:color="auto"/>
        <w:right w:val="none" w:sz="0" w:space="0" w:color="auto"/>
      </w:divBdr>
    </w:div>
    <w:div w:id="549926733">
      <w:bodyDiv w:val="1"/>
      <w:marLeft w:val="0"/>
      <w:marRight w:val="0"/>
      <w:marTop w:val="0"/>
      <w:marBottom w:val="0"/>
      <w:divBdr>
        <w:top w:val="none" w:sz="0" w:space="0" w:color="auto"/>
        <w:left w:val="none" w:sz="0" w:space="0" w:color="auto"/>
        <w:bottom w:val="none" w:sz="0" w:space="0" w:color="auto"/>
        <w:right w:val="none" w:sz="0" w:space="0" w:color="auto"/>
      </w:divBdr>
    </w:div>
    <w:div w:id="554705200">
      <w:bodyDiv w:val="1"/>
      <w:marLeft w:val="0"/>
      <w:marRight w:val="0"/>
      <w:marTop w:val="0"/>
      <w:marBottom w:val="0"/>
      <w:divBdr>
        <w:top w:val="none" w:sz="0" w:space="0" w:color="auto"/>
        <w:left w:val="none" w:sz="0" w:space="0" w:color="auto"/>
        <w:bottom w:val="none" w:sz="0" w:space="0" w:color="auto"/>
        <w:right w:val="none" w:sz="0" w:space="0" w:color="auto"/>
      </w:divBdr>
    </w:div>
    <w:div w:id="555631139">
      <w:bodyDiv w:val="1"/>
      <w:marLeft w:val="0"/>
      <w:marRight w:val="0"/>
      <w:marTop w:val="0"/>
      <w:marBottom w:val="0"/>
      <w:divBdr>
        <w:top w:val="none" w:sz="0" w:space="0" w:color="auto"/>
        <w:left w:val="none" w:sz="0" w:space="0" w:color="auto"/>
        <w:bottom w:val="none" w:sz="0" w:space="0" w:color="auto"/>
        <w:right w:val="none" w:sz="0" w:space="0" w:color="auto"/>
      </w:divBdr>
    </w:div>
    <w:div w:id="585193544">
      <w:bodyDiv w:val="1"/>
      <w:marLeft w:val="0"/>
      <w:marRight w:val="0"/>
      <w:marTop w:val="0"/>
      <w:marBottom w:val="0"/>
      <w:divBdr>
        <w:top w:val="none" w:sz="0" w:space="0" w:color="auto"/>
        <w:left w:val="none" w:sz="0" w:space="0" w:color="auto"/>
        <w:bottom w:val="none" w:sz="0" w:space="0" w:color="auto"/>
        <w:right w:val="none" w:sz="0" w:space="0" w:color="auto"/>
      </w:divBdr>
    </w:div>
    <w:div w:id="587811913">
      <w:bodyDiv w:val="1"/>
      <w:marLeft w:val="0"/>
      <w:marRight w:val="0"/>
      <w:marTop w:val="0"/>
      <w:marBottom w:val="0"/>
      <w:divBdr>
        <w:top w:val="none" w:sz="0" w:space="0" w:color="auto"/>
        <w:left w:val="none" w:sz="0" w:space="0" w:color="auto"/>
        <w:bottom w:val="none" w:sz="0" w:space="0" w:color="auto"/>
        <w:right w:val="none" w:sz="0" w:space="0" w:color="auto"/>
      </w:divBdr>
    </w:div>
    <w:div w:id="590166617">
      <w:bodyDiv w:val="1"/>
      <w:marLeft w:val="0"/>
      <w:marRight w:val="0"/>
      <w:marTop w:val="0"/>
      <w:marBottom w:val="0"/>
      <w:divBdr>
        <w:top w:val="none" w:sz="0" w:space="0" w:color="auto"/>
        <w:left w:val="none" w:sz="0" w:space="0" w:color="auto"/>
        <w:bottom w:val="none" w:sz="0" w:space="0" w:color="auto"/>
        <w:right w:val="none" w:sz="0" w:space="0" w:color="auto"/>
      </w:divBdr>
    </w:div>
    <w:div w:id="605967579">
      <w:bodyDiv w:val="1"/>
      <w:marLeft w:val="0"/>
      <w:marRight w:val="0"/>
      <w:marTop w:val="0"/>
      <w:marBottom w:val="0"/>
      <w:divBdr>
        <w:top w:val="none" w:sz="0" w:space="0" w:color="auto"/>
        <w:left w:val="none" w:sz="0" w:space="0" w:color="auto"/>
        <w:bottom w:val="none" w:sz="0" w:space="0" w:color="auto"/>
        <w:right w:val="none" w:sz="0" w:space="0" w:color="auto"/>
      </w:divBdr>
    </w:div>
    <w:div w:id="622880794">
      <w:bodyDiv w:val="1"/>
      <w:marLeft w:val="0"/>
      <w:marRight w:val="0"/>
      <w:marTop w:val="0"/>
      <w:marBottom w:val="0"/>
      <w:divBdr>
        <w:top w:val="none" w:sz="0" w:space="0" w:color="auto"/>
        <w:left w:val="none" w:sz="0" w:space="0" w:color="auto"/>
        <w:bottom w:val="none" w:sz="0" w:space="0" w:color="auto"/>
        <w:right w:val="none" w:sz="0" w:space="0" w:color="auto"/>
      </w:divBdr>
    </w:div>
    <w:div w:id="639001079">
      <w:bodyDiv w:val="1"/>
      <w:marLeft w:val="0"/>
      <w:marRight w:val="0"/>
      <w:marTop w:val="0"/>
      <w:marBottom w:val="0"/>
      <w:divBdr>
        <w:top w:val="none" w:sz="0" w:space="0" w:color="auto"/>
        <w:left w:val="none" w:sz="0" w:space="0" w:color="auto"/>
        <w:bottom w:val="none" w:sz="0" w:space="0" w:color="auto"/>
        <w:right w:val="none" w:sz="0" w:space="0" w:color="auto"/>
      </w:divBdr>
    </w:div>
    <w:div w:id="655112583">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686949946">
      <w:bodyDiv w:val="1"/>
      <w:marLeft w:val="0"/>
      <w:marRight w:val="0"/>
      <w:marTop w:val="0"/>
      <w:marBottom w:val="0"/>
      <w:divBdr>
        <w:top w:val="none" w:sz="0" w:space="0" w:color="auto"/>
        <w:left w:val="none" w:sz="0" w:space="0" w:color="auto"/>
        <w:bottom w:val="none" w:sz="0" w:space="0" w:color="auto"/>
        <w:right w:val="none" w:sz="0" w:space="0" w:color="auto"/>
      </w:divBdr>
    </w:div>
    <w:div w:id="742991744">
      <w:bodyDiv w:val="1"/>
      <w:marLeft w:val="0"/>
      <w:marRight w:val="0"/>
      <w:marTop w:val="0"/>
      <w:marBottom w:val="0"/>
      <w:divBdr>
        <w:top w:val="none" w:sz="0" w:space="0" w:color="auto"/>
        <w:left w:val="none" w:sz="0" w:space="0" w:color="auto"/>
        <w:bottom w:val="none" w:sz="0" w:space="0" w:color="auto"/>
        <w:right w:val="none" w:sz="0" w:space="0" w:color="auto"/>
      </w:divBdr>
    </w:div>
    <w:div w:id="800078539">
      <w:bodyDiv w:val="1"/>
      <w:marLeft w:val="0"/>
      <w:marRight w:val="0"/>
      <w:marTop w:val="0"/>
      <w:marBottom w:val="0"/>
      <w:divBdr>
        <w:top w:val="none" w:sz="0" w:space="0" w:color="auto"/>
        <w:left w:val="none" w:sz="0" w:space="0" w:color="auto"/>
        <w:bottom w:val="none" w:sz="0" w:space="0" w:color="auto"/>
        <w:right w:val="none" w:sz="0" w:space="0" w:color="auto"/>
      </w:divBdr>
    </w:div>
    <w:div w:id="801121125">
      <w:bodyDiv w:val="1"/>
      <w:marLeft w:val="0"/>
      <w:marRight w:val="0"/>
      <w:marTop w:val="0"/>
      <w:marBottom w:val="0"/>
      <w:divBdr>
        <w:top w:val="none" w:sz="0" w:space="0" w:color="auto"/>
        <w:left w:val="none" w:sz="0" w:space="0" w:color="auto"/>
        <w:bottom w:val="none" w:sz="0" w:space="0" w:color="auto"/>
        <w:right w:val="none" w:sz="0" w:space="0" w:color="auto"/>
      </w:divBdr>
    </w:div>
    <w:div w:id="807167264">
      <w:bodyDiv w:val="1"/>
      <w:marLeft w:val="0"/>
      <w:marRight w:val="0"/>
      <w:marTop w:val="0"/>
      <w:marBottom w:val="0"/>
      <w:divBdr>
        <w:top w:val="none" w:sz="0" w:space="0" w:color="auto"/>
        <w:left w:val="none" w:sz="0" w:space="0" w:color="auto"/>
        <w:bottom w:val="none" w:sz="0" w:space="0" w:color="auto"/>
        <w:right w:val="none" w:sz="0" w:space="0" w:color="auto"/>
      </w:divBdr>
    </w:div>
    <w:div w:id="812068234">
      <w:bodyDiv w:val="1"/>
      <w:marLeft w:val="0"/>
      <w:marRight w:val="0"/>
      <w:marTop w:val="0"/>
      <w:marBottom w:val="0"/>
      <w:divBdr>
        <w:top w:val="none" w:sz="0" w:space="0" w:color="auto"/>
        <w:left w:val="none" w:sz="0" w:space="0" w:color="auto"/>
        <w:bottom w:val="none" w:sz="0" w:space="0" w:color="auto"/>
        <w:right w:val="none" w:sz="0" w:space="0" w:color="auto"/>
      </w:divBdr>
    </w:div>
    <w:div w:id="813793111">
      <w:bodyDiv w:val="1"/>
      <w:marLeft w:val="0"/>
      <w:marRight w:val="0"/>
      <w:marTop w:val="0"/>
      <w:marBottom w:val="0"/>
      <w:divBdr>
        <w:top w:val="none" w:sz="0" w:space="0" w:color="auto"/>
        <w:left w:val="none" w:sz="0" w:space="0" w:color="auto"/>
        <w:bottom w:val="none" w:sz="0" w:space="0" w:color="auto"/>
        <w:right w:val="none" w:sz="0" w:space="0" w:color="auto"/>
      </w:divBdr>
    </w:div>
    <w:div w:id="815757759">
      <w:bodyDiv w:val="1"/>
      <w:marLeft w:val="0"/>
      <w:marRight w:val="0"/>
      <w:marTop w:val="0"/>
      <w:marBottom w:val="0"/>
      <w:divBdr>
        <w:top w:val="none" w:sz="0" w:space="0" w:color="auto"/>
        <w:left w:val="none" w:sz="0" w:space="0" w:color="auto"/>
        <w:bottom w:val="none" w:sz="0" w:space="0" w:color="auto"/>
        <w:right w:val="none" w:sz="0" w:space="0" w:color="auto"/>
      </w:divBdr>
    </w:div>
    <w:div w:id="817261635">
      <w:bodyDiv w:val="1"/>
      <w:marLeft w:val="0"/>
      <w:marRight w:val="0"/>
      <w:marTop w:val="0"/>
      <w:marBottom w:val="0"/>
      <w:divBdr>
        <w:top w:val="none" w:sz="0" w:space="0" w:color="auto"/>
        <w:left w:val="none" w:sz="0" w:space="0" w:color="auto"/>
        <w:bottom w:val="none" w:sz="0" w:space="0" w:color="auto"/>
        <w:right w:val="none" w:sz="0" w:space="0" w:color="auto"/>
      </w:divBdr>
    </w:div>
    <w:div w:id="828204720">
      <w:bodyDiv w:val="1"/>
      <w:marLeft w:val="0"/>
      <w:marRight w:val="0"/>
      <w:marTop w:val="0"/>
      <w:marBottom w:val="0"/>
      <w:divBdr>
        <w:top w:val="none" w:sz="0" w:space="0" w:color="auto"/>
        <w:left w:val="none" w:sz="0" w:space="0" w:color="auto"/>
        <w:bottom w:val="none" w:sz="0" w:space="0" w:color="auto"/>
        <w:right w:val="none" w:sz="0" w:space="0" w:color="auto"/>
      </w:divBdr>
    </w:div>
    <w:div w:id="857236212">
      <w:bodyDiv w:val="1"/>
      <w:marLeft w:val="0"/>
      <w:marRight w:val="0"/>
      <w:marTop w:val="0"/>
      <w:marBottom w:val="0"/>
      <w:divBdr>
        <w:top w:val="none" w:sz="0" w:space="0" w:color="auto"/>
        <w:left w:val="none" w:sz="0" w:space="0" w:color="auto"/>
        <w:bottom w:val="none" w:sz="0" w:space="0" w:color="auto"/>
        <w:right w:val="none" w:sz="0" w:space="0" w:color="auto"/>
      </w:divBdr>
    </w:div>
    <w:div w:id="858542935">
      <w:bodyDiv w:val="1"/>
      <w:marLeft w:val="0"/>
      <w:marRight w:val="0"/>
      <w:marTop w:val="0"/>
      <w:marBottom w:val="0"/>
      <w:divBdr>
        <w:top w:val="none" w:sz="0" w:space="0" w:color="auto"/>
        <w:left w:val="none" w:sz="0" w:space="0" w:color="auto"/>
        <w:bottom w:val="none" w:sz="0" w:space="0" w:color="auto"/>
        <w:right w:val="none" w:sz="0" w:space="0" w:color="auto"/>
      </w:divBdr>
    </w:div>
    <w:div w:id="863445041">
      <w:bodyDiv w:val="1"/>
      <w:marLeft w:val="0"/>
      <w:marRight w:val="0"/>
      <w:marTop w:val="0"/>
      <w:marBottom w:val="0"/>
      <w:divBdr>
        <w:top w:val="none" w:sz="0" w:space="0" w:color="auto"/>
        <w:left w:val="none" w:sz="0" w:space="0" w:color="auto"/>
        <w:bottom w:val="none" w:sz="0" w:space="0" w:color="auto"/>
        <w:right w:val="none" w:sz="0" w:space="0" w:color="auto"/>
      </w:divBdr>
    </w:div>
    <w:div w:id="874194708">
      <w:bodyDiv w:val="1"/>
      <w:marLeft w:val="0"/>
      <w:marRight w:val="0"/>
      <w:marTop w:val="0"/>
      <w:marBottom w:val="0"/>
      <w:divBdr>
        <w:top w:val="none" w:sz="0" w:space="0" w:color="auto"/>
        <w:left w:val="none" w:sz="0" w:space="0" w:color="auto"/>
        <w:bottom w:val="none" w:sz="0" w:space="0" w:color="auto"/>
        <w:right w:val="none" w:sz="0" w:space="0" w:color="auto"/>
      </w:divBdr>
    </w:div>
    <w:div w:id="881552379">
      <w:bodyDiv w:val="1"/>
      <w:marLeft w:val="0"/>
      <w:marRight w:val="0"/>
      <w:marTop w:val="0"/>
      <w:marBottom w:val="0"/>
      <w:divBdr>
        <w:top w:val="none" w:sz="0" w:space="0" w:color="auto"/>
        <w:left w:val="none" w:sz="0" w:space="0" w:color="auto"/>
        <w:bottom w:val="none" w:sz="0" w:space="0" w:color="auto"/>
        <w:right w:val="none" w:sz="0" w:space="0" w:color="auto"/>
      </w:divBdr>
    </w:div>
    <w:div w:id="890773708">
      <w:bodyDiv w:val="1"/>
      <w:marLeft w:val="0"/>
      <w:marRight w:val="0"/>
      <w:marTop w:val="0"/>
      <w:marBottom w:val="0"/>
      <w:divBdr>
        <w:top w:val="none" w:sz="0" w:space="0" w:color="auto"/>
        <w:left w:val="none" w:sz="0" w:space="0" w:color="auto"/>
        <w:bottom w:val="none" w:sz="0" w:space="0" w:color="auto"/>
        <w:right w:val="none" w:sz="0" w:space="0" w:color="auto"/>
      </w:divBdr>
    </w:div>
    <w:div w:id="903415625">
      <w:bodyDiv w:val="1"/>
      <w:marLeft w:val="0"/>
      <w:marRight w:val="0"/>
      <w:marTop w:val="0"/>
      <w:marBottom w:val="0"/>
      <w:divBdr>
        <w:top w:val="none" w:sz="0" w:space="0" w:color="auto"/>
        <w:left w:val="none" w:sz="0" w:space="0" w:color="auto"/>
        <w:bottom w:val="none" w:sz="0" w:space="0" w:color="auto"/>
        <w:right w:val="none" w:sz="0" w:space="0" w:color="auto"/>
      </w:divBdr>
    </w:div>
    <w:div w:id="926503780">
      <w:bodyDiv w:val="1"/>
      <w:marLeft w:val="0"/>
      <w:marRight w:val="0"/>
      <w:marTop w:val="0"/>
      <w:marBottom w:val="0"/>
      <w:divBdr>
        <w:top w:val="none" w:sz="0" w:space="0" w:color="auto"/>
        <w:left w:val="none" w:sz="0" w:space="0" w:color="auto"/>
        <w:bottom w:val="none" w:sz="0" w:space="0" w:color="auto"/>
        <w:right w:val="none" w:sz="0" w:space="0" w:color="auto"/>
      </w:divBdr>
    </w:div>
    <w:div w:id="941307191">
      <w:bodyDiv w:val="1"/>
      <w:marLeft w:val="0"/>
      <w:marRight w:val="0"/>
      <w:marTop w:val="0"/>
      <w:marBottom w:val="0"/>
      <w:divBdr>
        <w:top w:val="none" w:sz="0" w:space="0" w:color="auto"/>
        <w:left w:val="none" w:sz="0" w:space="0" w:color="auto"/>
        <w:bottom w:val="none" w:sz="0" w:space="0" w:color="auto"/>
        <w:right w:val="none" w:sz="0" w:space="0" w:color="auto"/>
      </w:divBdr>
    </w:div>
    <w:div w:id="1000162371">
      <w:bodyDiv w:val="1"/>
      <w:marLeft w:val="0"/>
      <w:marRight w:val="0"/>
      <w:marTop w:val="0"/>
      <w:marBottom w:val="0"/>
      <w:divBdr>
        <w:top w:val="none" w:sz="0" w:space="0" w:color="auto"/>
        <w:left w:val="none" w:sz="0" w:space="0" w:color="auto"/>
        <w:bottom w:val="none" w:sz="0" w:space="0" w:color="auto"/>
        <w:right w:val="none" w:sz="0" w:space="0" w:color="auto"/>
      </w:divBdr>
      <w:divsChild>
        <w:div w:id="1341203356">
          <w:marLeft w:val="0"/>
          <w:marRight w:val="0"/>
          <w:marTop w:val="0"/>
          <w:marBottom w:val="0"/>
          <w:divBdr>
            <w:top w:val="none" w:sz="0" w:space="0" w:color="auto"/>
            <w:left w:val="none" w:sz="0" w:space="0" w:color="auto"/>
            <w:bottom w:val="none" w:sz="0" w:space="0" w:color="auto"/>
            <w:right w:val="none" w:sz="0" w:space="0" w:color="auto"/>
          </w:divBdr>
        </w:div>
        <w:div w:id="451173843">
          <w:marLeft w:val="0"/>
          <w:marRight w:val="0"/>
          <w:marTop w:val="0"/>
          <w:marBottom w:val="0"/>
          <w:divBdr>
            <w:top w:val="none" w:sz="0" w:space="0" w:color="auto"/>
            <w:left w:val="none" w:sz="0" w:space="0" w:color="auto"/>
            <w:bottom w:val="none" w:sz="0" w:space="0" w:color="auto"/>
            <w:right w:val="none" w:sz="0" w:space="0" w:color="auto"/>
          </w:divBdr>
        </w:div>
        <w:div w:id="15160768">
          <w:marLeft w:val="0"/>
          <w:marRight w:val="0"/>
          <w:marTop w:val="0"/>
          <w:marBottom w:val="0"/>
          <w:divBdr>
            <w:top w:val="none" w:sz="0" w:space="0" w:color="auto"/>
            <w:left w:val="none" w:sz="0" w:space="0" w:color="auto"/>
            <w:bottom w:val="none" w:sz="0" w:space="0" w:color="auto"/>
            <w:right w:val="none" w:sz="0" w:space="0" w:color="auto"/>
          </w:divBdr>
        </w:div>
        <w:div w:id="1426875580">
          <w:marLeft w:val="0"/>
          <w:marRight w:val="0"/>
          <w:marTop w:val="0"/>
          <w:marBottom w:val="0"/>
          <w:divBdr>
            <w:top w:val="none" w:sz="0" w:space="0" w:color="auto"/>
            <w:left w:val="none" w:sz="0" w:space="0" w:color="auto"/>
            <w:bottom w:val="none" w:sz="0" w:space="0" w:color="auto"/>
            <w:right w:val="none" w:sz="0" w:space="0" w:color="auto"/>
          </w:divBdr>
        </w:div>
        <w:div w:id="879901804">
          <w:marLeft w:val="0"/>
          <w:marRight w:val="0"/>
          <w:marTop w:val="0"/>
          <w:marBottom w:val="0"/>
          <w:divBdr>
            <w:top w:val="none" w:sz="0" w:space="0" w:color="auto"/>
            <w:left w:val="none" w:sz="0" w:space="0" w:color="auto"/>
            <w:bottom w:val="none" w:sz="0" w:space="0" w:color="auto"/>
            <w:right w:val="none" w:sz="0" w:space="0" w:color="auto"/>
          </w:divBdr>
        </w:div>
        <w:div w:id="161701764">
          <w:marLeft w:val="0"/>
          <w:marRight w:val="0"/>
          <w:marTop w:val="0"/>
          <w:marBottom w:val="0"/>
          <w:divBdr>
            <w:top w:val="none" w:sz="0" w:space="0" w:color="auto"/>
            <w:left w:val="none" w:sz="0" w:space="0" w:color="auto"/>
            <w:bottom w:val="none" w:sz="0" w:space="0" w:color="auto"/>
            <w:right w:val="none" w:sz="0" w:space="0" w:color="auto"/>
          </w:divBdr>
        </w:div>
        <w:div w:id="7609537">
          <w:marLeft w:val="0"/>
          <w:marRight w:val="0"/>
          <w:marTop w:val="0"/>
          <w:marBottom w:val="0"/>
          <w:divBdr>
            <w:top w:val="none" w:sz="0" w:space="0" w:color="auto"/>
            <w:left w:val="none" w:sz="0" w:space="0" w:color="auto"/>
            <w:bottom w:val="none" w:sz="0" w:space="0" w:color="auto"/>
            <w:right w:val="none" w:sz="0" w:space="0" w:color="auto"/>
          </w:divBdr>
        </w:div>
        <w:div w:id="442383751">
          <w:marLeft w:val="0"/>
          <w:marRight w:val="0"/>
          <w:marTop w:val="0"/>
          <w:marBottom w:val="0"/>
          <w:divBdr>
            <w:top w:val="none" w:sz="0" w:space="0" w:color="auto"/>
            <w:left w:val="none" w:sz="0" w:space="0" w:color="auto"/>
            <w:bottom w:val="none" w:sz="0" w:space="0" w:color="auto"/>
            <w:right w:val="none" w:sz="0" w:space="0" w:color="auto"/>
          </w:divBdr>
        </w:div>
        <w:div w:id="1949845523">
          <w:marLeft w:val="0"/>
          <w:marRight w:val="0"/>
          <w:marTop w:val="0"/>
          <w:marBottom w:val="0"/>
          <w:divBdr>
            <w:top w:val="none" w:sz="0" w:space="0" w:color="auto"/>
            <w:left w:val="none" w:sz="0" w:space="0" w:color="auto"/>
            <w:bottom w:val="none" w:sz="0" w:space="0" w:color="auto"/>
            <w:right w:val="none" w:sz="0" w:space="0" w:color="auto"/>
          </w:divBdr>
        </w:div>
        <w:div w:id="192882499">
          <w:marLeft w:val="0"/>
          <w:marRight w:val="0"/>
          <w:marTop w:val="0"/>
          <w:marBottom w:val="0"/>
          <w:divBdr>
            <w:top w:val="none" w:sz="0" w:space="0" w:color="auto"/>
            <w:left w:val="none" w:sz="0" w:space="0" w:color="auto"/>
            <w:bottom w:val="none" w:sz="0" w:space="0" w:color="auto"/>
            <w:right w:val="none" w:sz="0" w:space="0" w:color="auto"/>
          </w:divBdr>
        </w:div>
        <w:div w:id="1350524898">
          <w:marLeft w:val="0"/>
          <w:marRight w:val="0"/>
          <w:marTop w:val="0"/>
          <w:marBottom w:val="0"/>
          <w:divBdr>
            <w:top w:val="none" w:sz="0" w:space="0" w:color="auto"/>
            <w:left w:val="none" w:sz="0" w:space="0" w:color="auto"/>
            <w:bottom w:val="none" w:sz="0" w:space="0" w:color="auto"/>
            <w:right w:val="none" w:sz="0" w:space="0" w:color="auto"/>
          </w:divBdr>
        </w:div>
        <w:div w:id="1922061825">
          <w:marLeft w:val="0"/>
          <w:marRight w:val="0"/>
          <w:marTop w:val="0"/>
          <w:marBottom w:val="0"/>
          <w:divBdr>
            <w:top w:val="none" w:sz="0" w:space="0" w:color="auto"/>
            <w:left w:val="none" w:sz="0" w:space="0" w:color="auto"/>
            <w:bottom w:val="none" w:sz="0" w:space="0" w:color="auto"/>
            <w:right w:val="none" w:sz="0" w:space="0" w:color="auto"/>
          </w:divBdr>
        </w:div>
        <w:div w:id="1946503101">
          <w:marLeft w:val="0"/>
          <w:marRight w:val="0"/>
          <w:marTop w:val="0"/>
          <w:marBottom w:val="0"/>
          <w:divBdr>
            <w:top w:val="none" w:sz="0" w:space="0" w:color="auto"/>
            <w:left w:val="none" w:sz="0" w:space="0" w:color="auto"/>
            <w:bottom w:val="none" w:sz="0" w:space="0" w:color="auto"/>
            <w:right w:val="none" w:sz="0" w:space="0" w:color="auto"/>
          </w:divBdr>
        </w:div>
        <w:div w:id="991788279">
          <w:marLeft w:val="0"/>
          <w:marRight w:val="0"/>
          <w:marTop w:val="0"/>
          <w:marBottom w:val="0"/>
          <w:divBdr>
            <w:top w:val="none" w:sz="0" w:space="0" w:color="auto"/>
            <w:left w:val="none" w:sz="0" w:space="0" w:color="auto"/>
            <w:bottom w:val="none" w:sz="0" w:space="0" w:color="auto"/>
            <w:right w:val="none" w:sz="0" w:space="0" w:color="auto"/>
          </w:divBdr>
        </w:div>
      </w:divsChild>
    </w:div>
    <w:div w:id="1012150937">
      <w:bodyDiv w:val="1"/>
      <w:marLeft w:val="0"/>
      <w:marRight w:val="0"/>
      <w:marTop w:val="0"/>
      <w:marBottom w:val="0"/>
      <w:divBdr>
        <w:top w:val="none" w:sz="0" w:space="0" w:color="auto"/>
        <w:left w:val="none" w:sz="0" w:space="0" w:color="auto"/>
        <w:bottom w:val="none" w:sz="0" w:space="0" w:color="auto"/>
        <w:right w:val="none" w:sz="0" w:space="0" w:color="auto"/>
      </w:divBdr>
    </w:div>
    <w:div w:id="1022515371">
      <w:bodyDiv w:val="1"/>
      <w:marLeft w:val="0"/>
      <w:marRight w:val="0"/>
      <w:marTop w:val="0"/>
      <w:marBottom w:val="0"/>
      <w:divBdr>
        <w:top w:val="none" w:sz="0" w:space="0" w:color="auto"/>
        <w:left w:val="none" w:sz="0" w:space="0" w:color="auto"/>
        <w:bottom w:val="none" w:sz="0" w:space="0" w:color="auto"/>
        <w:right w:val="none" w:sz="0" w:space="0" w:color="auto"/>
      </w:divBdr>
    </w:div>
    <w:div w:id="1050346075">
      <w:bodyDiv w:val="1"/>
      <w:marLeft w:val="0"/>
      <w:marRight w:val="0"/>
      <w:marTop w:val="0"/>
      <w:marBottom w:val="0"/>
      <w:divBdr>
        <w:top w:val="none" w:sz="0" w:space="0" w:color="auto"/>
        <w:left w:val="none" w:sz="0" w:space="0" w:color="auto"/>
        <w:bottom w:val="none" w:sz="0" w:space="0" w:color="auto"/>
        <w:right w:val="none" w:sz="0" w:space="0" w:color="auto"/>
      </w:divBdr>
    </w:div>
    <w:div w:id="1050805020">
      <w:bodyDiv w:val="1"/>
      <w:marLeft w:val="0"/>
      <w:marRight w:val="0"/>
      <w:marTop w:val="0"/>
      <w:marBottom w:val="0"/>
      <w:divBdr>
        <w:top w:val="none" w:sz="0" w:space="0" w:color="auto"/>
        <w:left w:val="none" w:sz="0" w:space="0" w:color="auto"/>
        <w:bottom w:val="none" w:sz="0" w:space="0" w:color="auto"/>
        <w:right w:val="none" w:sz="0" w:space="0" w:color="auto"/>
      </w:divBdr>
    </w:div>
    <w:div w:id="1062630985">
      <w:bodyDiv w:val="1"/>
      <w:marLeft w:val="0"/>
      <w:marRight w:val="0"/>
      <w:marTop w:val="0"/>
      <w:marBottom w:val="0"/>
      <w:divBdr>
        <w:top w:val="none" w:sz="0" w:space="0" w:color="auto"/>
        <w:left w:val="none" w:sz="0" w:space="0" w:color="auto"/>
        <w:bottom w:val="none" w:sz="0" w:space="0" w:color="auto"/>
        <w:right w:val="none" w:sz="0" w:space="0" w:color="auto"/>
      </w:divBdr>
    </w:div>
    <w:div w:id="1063060334">
      <w:bodyDiv w:val="1"/>
      <w:marLeft w:val="0"/>
      <w:marRight w:val="0"/>
      <w:marTop w:val="0"/>
      <w:marBottom w:val="0"/>
      <w:divBdr>
        <w:top w:val="none" w:sz="0" w:space="0" w:color="auto"/>
        <w:left w:val="none" w:sz="0" w:space="0" w:color="auto"/>
        <w:bottom w:val="none" w:sz="0" w:space="0" w:color="auto"/>
        <w:right w:val="none" w:sz="0" w:space="0" w:color="auto"/>
      </w:divBdr>
    </w:div>
    <w:div w:id="1071657268">
      <w:bodyDiv w:val="1"/>
      <w:marLeft w:val="0"/>
      <w:marRight w:val="0"/>
      <w:marTop w:val="0"/>
      <w:marBottom w:val="0"/>
      <w:divBdr>
        <w:top w:val="none" w:sz="0" w:space="0" w:color="auto"/>
        <w:left w:val="none" w:sz="0" w:space="0" w:color="auto"/>
        <w:bottom w:val="none" w:sz="0" w:space="0" w:color="auto"/>
        <w:right w:val="none" w:sz="0" w:space="0" w:color="auto"/>
      </w:divBdr>
    </w:div>
    <w:div w:id="1101031788">
      <w:bodyDiv w:val="1"/>
      <w:marLeft w:val="0"/>
      <w:marRight w:val="0"/>
      <w:marTop w:val="0"/>
      <w:marBottom w:val="0"/>
      <w:divBdr>
        <w:top w:val="none" w:sz="0" w:space="0" w:color="auto"/>
        <w:left w:val="none" w:sz="0" w:space="0" w:color="auto"/>
        <w:bottom w:val="none" w:sz="0" w:space="0" w:color="auto"/>
        <w:right w:val="none" w:sz="0" w:space="0" w:color="auto"/>
      </w:divBdr>
    </w:div>
    <w:div w:id="1144855235">
      <w:bodyDiv w:val="1"/>
      <w:marLeft w:val="0"/>
      <w:marRight w:val="0"/>
      <w:marTop w:val="0"/>
      <w:marBottom w:val="0"/>
      <w:divBdr>
        <w:top w:val="none" w:sz="0" w:space="0" w:color="auto"/>
        <w:left w:val="none" w:sz="0" w:space="0" w:color="auto"/>
        <w:bottom w:val="none" w:sz="0" w:space="0" w:color="auto"/>
        <w:right w:val="none" w:sz="0" w:space="0" w:color="auto"/>
      </w:divBdr>
    </w:div>
    <w:div w:id="1155072138">
      <w:bodyDiv w:val="1"/>
      <w:marLeft w:val="0"/>
      <w:marRight w:val="0"/>
      <w:marTop w:val="0"/>
      <w:marBottom w:val="0"/>
      <w:divBdr>
        <w:top w:val="none" w:sz="0" w:space="0" w:color="auto"/>
        <w:left w:val="none" w:sz="0" w:space="0" w:color="auto"/>
        <w:bottom w:val="none" w:sz="0" w:space="0" w:color="auto"/>
        <w:right w:val="none" w:sz="0" w:space="0" w:color="auto"/>
      </w:divBdr>
    </w:div>
    <w:div w:id="1198153997">
      <w:bodyDiv w:val="1"/>
      <w:marLeft w:val="0"/>
      <w:marRight w:val="0"/>
      <w:marTop w:val="0"/>
      <w:marBottom w:val="0"/>
      <w:divBdr>
        <w:top w:val="none" w:sz="0" w:space="0" w:color="auto"/>
        <w:left w:val="none" w:sz="0" w:space="0" w:color="auto"/>
        <w:bottom w:val="none" w:sz="0" w:space="0" w:color="auto"/>
        <w:right w:val="none" w:sz="0" w:space="0" w:color="auto"/>
      </w:divBdr>
    </w:div>
    <w:div w:id="1206604911">
      <w:bodyDiv w:val="1"/>
      <w:marLeft w:val="0"/>
      <w:marRight w:val="0"/>
      <w:marTop w:val="0"/>
      <w:marBottom w:val="0"/>
      <w:divBdr>
        <w:top w:val="none" w:sz="0" w:space="0" w:color="auto"/>
        <w:left w:val="none" w:sz="0" w:space="0" w:color="auto"/>
        <w:bottom w:val="none" w:sz="0" w:space="0" w:color="auto"/>
        <w:right w:val="none" w:sz="0" w:space="0" w:color="auto"/>
      </w:divBdr>
    </w:div>
    <w:div w:id="1231773700">
      <w:bodyDiv w:val="1"/>
      <w:marLeft w:val="0"/>
      <w:marRight w:val="0"/>
      <w:marTop w:val="0"/>
      <w:marBottom w:val="0"/>
      <w:divBdr>
        <w:top w:val="none" w:sz="0" w:space="0" w:color="auto"/>
        <w:left w:val="none" w:sz="0" w:space="0" w:color="auto"/>
        <w:bottom w:val="none" w:sz="0" w:space="0" w:color="auto"/>
        <w:right w:val="none" w:sz="0" w:space="0" w:color="auto"/>
      </w:divBdr>
    </w:div>
    <w:div w:id="1251238120">
      <w:bodyDiv w:val="1"/>
      <w:marLeft w:val="0"/>
      <w:marRight w:val="0"/>
      <w:marTop w:val="0"/>
      <w:marBottom w:val="0"/>
      <w:divBdr>
        <w:top w:val="none" w:sz="0" w:space="0" w:color="auto"/>
        <w:left w:val="none" w:sz="0" w:space="0" w:color="auto"/>
        <w:bottom w:val="none" w:sz="0" w:space="0" w:color="auto"/>
        <w:right w:val="none" w:sz="0" w:space="0" w:color="auto"/>
      </w:divBdr>
    </w:div>
    <w:div w:id="1258951370">
      <w:bodyDiv w:val="1"/>
      <w:marLeft w:val="0"/>
      <w:marRight w:val="0"/>
      <w:marTop w:val="0"/>
      <w:marBottom w:val="0"/>
      <w:divBdr>
        <w:top w:val="none" w:sz="0" w:space="0" w:color="auto"/>
        <w:left w:val="none" w:sz="0" w:space="0" w:color="auto"/>
        <w:bottom w:val="none" w:sz="0" w:space="0" w:color="auto"/>
        <w:right w:val="none" w:sz="0" w:space="0" w:color="auto"/>
      </w:divBdr>
    </w:div>
    <w:div w:id="1283027828">
      <w:bodyDiv w:val="1"/>
      <w:marLeft w:val="0"/>
      <w:marRight w:val="0"/>
      <w:marTop w:val="0"/>
      <w:marBottom w:val="0"/>
      <w:divBdr>
        <w:top w:val="none" w:sz="0" w:space="0" w:color="auto"/>
        <w:left w:val="none" w:sz="0" w:space="0" w:color="auto"/>
        <w:bottom w:val="none" w:sz="0" w:space="0" w:color="auto"/>
        <w:right w:val="none" w:sz="0" w:space="0" w:color="auto"/>
      </w:divBdr>
    </w:div>
    <w:div w:id="1307929163">
      <w:bodyDiv w:val="1"/>
      <w:marLeft w:val="0"/>
      <w:marRight w:val="0"/>
      <w:marTop w:val="0"/>
      <w:marBottom w:val="0"/>
      <w:divBdr>
        <w:top w:val="none" w:sz="0" w:space="0" w:color="auto"/>
        <w:left w:val="none" w:sz="0" w:space="0" w:color="auto"/>
        <w:bottom w:val="none" w:sz="0" w:space="0" w:color="auto"/>
        <w:right w:val="none" w:sz="0" w:space="0" w:color="auto"/>
      </w:divBdr>
    </w:div>
    <w:div w:id="1322004496">
      <w:bodyDiv w:val="1"/>
      <w:marLeft w:val="0"/>
      <w:marRight w:val="0"/>
      <w:marTop w:val="0"/>
      <w:marBottom w:val="0"/>
      <w:divBdr>
        <w:top w:val="none" w:sz="0" w:space="0" w:color="auto"/>
        <w:left w:val="none" w:sz="0" w:space="0" w:color="auto"/>
        <w:bottom w:val="none" w:sz="0" w:space="0" w:color="auto"/>
        <w:right w:val="none" w:sz="0" w:space="0" w:color="auto"/>
      </w:divBdr>
    </w:div>
    <w:div w:id="1323042103">
      <w:bodyDiv w:val="1"/>
      <w:marLeft w:val="0"/>
      <w:marRight w:val="0"/>
      <w:marTop w:val="0"/>
      <w:marBottom w:val="0"/>
      <w:divBdr>
        <w:top w:val="none" w:sz="0" w:space="0" w:color="auto"/>
        <w:left w:val="none" w:sz="0" w:space="0" w:color="auto"/>
        <w:bottom w:val="none" w:sz="0" w:space="0" w:color="auto"/>
        <w:right w:val="none" w:sz="0" w:space="0" w:color="auto"/>
      </w:divBdr>
    </w:div>
    <w:div w:id="1361010917">
      <w:bodyDiv w:val="1"/>
      <w:marLeft w:val="0"/>
      <w:marRight w:val="0"/>
      <w:marTop w:val="0"/>
      <w:marBottom w:val="0"/>
      <w:divBdr>
        <w:top w:val="none" w:sz="0" w:space="0" w:color="auto"/>
        <w:left w:val="none" w:sz="0" w:space="0" w:color="auto"/>
        <w:bottom w:val="none" w:sz="0" w:space="0" w:color="auto"/>
        <w:right w:val="none" w:sz="0" w:space="0" w:color="auto"/>
      </w:divBdr>
    </w:div>
    <w:div w:id="1376344423">
      <w:bodyDiv w:val="1"/>
      <w:marLeft w:val="0"/>
      <w:marRight w:val="0"/>
      <w:marTop w:val="0"/>
      <w:marBottom w:val="0"/>
      <w:divBdr>
        <w:top w:val="none" w:sz="0" w:space="0" w:color="auto"/>
        <w:left w:val="none" w:sz="0" w:space="0" w:color="auto"/>
        <w:bottom w:val="none" w:sz="0" w:space="0" w:color="auto"/>
        <w:right w:val="none" w:sz="0" w:space="0" w:color="auto"/>
      </w:divBdr>
    </w:div>
    <w:div w:id="1383365557">
      <w:bodyDiv w:val="1"/>
      <w:marLeft w:val="0"/>
      <w:marRight w:val="0"/>
      <w:marTop w:val="0"/>
      <w:marBottom w:val="0"/>
      <w:divBdr>
        <w:top w:val="none" w:sz="0" w:space="0" w:color="auto"/>
        <w:left w:val="none" w:sz="0" w:space="0" w:color="auto"/>
        <w:bottom w:val="none" w:sz="0" w:space="0" w:color="auto"/>
        <w:right w:val="none" w:sz="0" w:space="0" w:color="auto"/>
      </w:divBdr>
    </w:div>
    <w:div w:id="1388189843">
      <w:bodyDiv w:val="1"/>
      <w:marLeft w:val="0"/>
      <w:marRight w:val="0"/>
      <w:marTop w:val="0"/>
      <w:marBottom w:val="0"/>
      <w:divBdr>
        <w:top w:val="none" w:sz="0" w:space="0" w:color="auto"/>
        <w:left w:val="none" w:sz="0" w:space="0" w:color="auto"/>
        <w:bottom w:val="none" w:sz="0" w:space="0" w:color="auto"/>
        <w:right w:val="none" w:sz="0" w:space="0" w:color="auto"/>
      </w:divBdr>
    </w:div>
    <w:div w:id="1395934654">
      <w:bodyDiv w:val="1"/>
      <w:marLeft w:val="0"/>
      <w:marRight w:val="0"/>
      <w:marTop w:val="0"/>
      <w:marBottom w:val="0"/>
      <w:divBdr>
        <w:top w:val="none" w:sz="0" w:space="0" w:color="auto"/>
        <w:left w:val="none" w:sz="0" w:space="0" w:color="auto"/>
        <w:bottom w:val="none" w:sz="0" w:space="0" w:color="auto"/>
        <w:right w:val="none" w:sz="0" w:space="0" w:color="auto"/>
      </w:divBdr>
    </w:div>
    <w:div w:id="1417675882">
      <w:bodyDiv w:val="1"/>
      <w:marLeft w:val="0"/>
      <w:marRight w:val="0"/>
      <w:marTop w:val="0"/>
      <w:marBottom w:val="0"/>
      <w:divBdr>
        <w:top w:val="none" w:sz="0" w:space="0" w:color="auto"/>
        <w:left w:val="none" w:sz="0" w:space="0" w:color="auto"/>
        <w:bottom w:val="none" w:sz="0" w:space="0" w:color="auto"/>
        <w:right w:val="none" w:sz="0" w:space="0" w:color="auto"/>
      </w:divBdr>
    </w:div>
    <w:div w:id="1423916073">
      <w:bodyDiv w:val="1"/>
      <w:marLeft w:val="0"/>
      <w:marRight w:val="0"/>
      <w:marTop w:val="0"/>
      <w:marBottom w:val="0"/>
      <w:divBdr>
        <w:top w:val="none" w:sz="0" w:space="0" w:color="auto"/>
        <w:left w:val="none" w:sz="0" w:space="0" w:color="auto"/>
        <w:bottom w:val="none" w:sz="0" w:space="0" w:color="auto"/>
        <w:right w:val="none" w:sz="0" w:space="0" w:color="auto"/>
      </w:divBdr>
    </w:div>
    <w:div w:id="1430202972">
      <w:bodyDiv w:val="1"/>
      <w:marLeft w:val="0"/>
      <w:marRight w:val="0"/>
      <w:marTop w:val="0"/>
      <w:marBottom w:val="0"/>
      <w:divBdr>
        <w:top w:val="none" w:sz="0" w:space="0" w:color="auto"/>
        <w:left w:val="none" w:sz="0" w:space="0" w:color="auto"/>
        <w:bottom w:val="none" w:sz="0" w:space="0" w:color="auto"/>
        <w:right w:val="none" w:sz="0" w:space="0" w:color="auto"/>
      </w:divBdr>
    </w:div>
    <w:div w:id="1458797705">
      <w:bodyDiv w:val="1"/>
      <w:marLeft w:val="0"/>
      <w:marRight w:val="0"/>
      <w:marTop w:val="0"/>
      <w:marBottom w:val="0"/>
      <w:divBdr>
        <w:top w:val="none" w:sz="0" w:space="0" w:color="auto"/>
        <w:left w:val="none" w:sz="0" w:space="0" w:color="auto"/>
        <w:bottom w:val="none" w:sz="0" w:space="0" w:color="auto"/>
        <w:right w:val="none" w:sz="0" w:space="0" w:color="auto"/>
      </w:divBdr>
    </w:div>
    <w:div w:id="1473716871">
      <w:bodyDiv w:val="1"/>
      <w:marLeft w:val="0"/>
      <w:marRight w:val="0"/>
      <w:marTop w:val="0"/>
      <w:marBottom w:val="0"/>
      <w:divBdr>
        <w:top w:val="none" w:sz="0" w:space="0" w:color="auto"/>
        <w:left w:val="none" w:sz="0" w:space="0" w:color="auto"/>
        <w:bottom w:val="none" w:sz="0" w:space="0" w:color="auto"/>
        <w:right w:val="none" w:sz="0" w:space="0" w:color="auto"/>
      </w:divBdr>
    </w:div>
    <w:div w:id="1496146462">
      <w:bodyDiv w:val="1"/>
      <w:marLeft w:val="0"/>
      <w:marRight w:val="0"/>
      <w:marTop w:val="0"/>
      <w:marBottom w:val="0"/>
      <w:divBdr>
        <w:top w:val="none" w:sz="0" w:space="0" w:color="auto"/>
        <w:left w:val="none" w:sz="0" w:space="0" w:color="auto"/>
        <w:bottom w:val="none" w:sz="0" w:space="0" w:color="auto"/>
        <w:right w:val="none" w:sz="0" w:space="0" w:color="auto"/>
      </w:divBdr>
    </w:div>
    <w:div w:id="1539392588">
      <w:bodyDiv w:val="1"/>
      <w:marLeft w:val="0"/>
      <w:marRight w:val="0"/>
      <w:marTop w:val="0"/>
      <w:marBottom w:val="0"/>
      <w:divBdr>
        <w:top w:val="none" w:sz="0" w:space="0" w:color="auto"/>
        <w:left w:val="none" w:sz="0" w:space="0" w:color="auto"/>
        <w:bottom w:val="none" w:sz="0" w:space="0" w:color="auto"/>
        <w:right w:val="none" w:sz="0" w:space="0" w:color="auto"/>
      </w:divBdr>
    </w:div>
    <w:div w:id="1562515637">
      <w:bodyDiv w:val="1"/>
      <w:marLeft w:val="0"/>
      <w:marRight w:val="0"/>
      <w:marTop w:val="0"/>
      <w:marBottom w:val="0"/>
      <w:divBdr>
        <w:top w:val="none" w:sz="0" w:space="0" w:color="auto"/>
        <w:left w:val="none" w:sz="0" w:space="0" w:color="auto"/>
        <w:bottom w:val="none" w:sz="0" w:space="0" w:color="auto"/>
        <w:right w:val="none" w:sz="0" w:space="0" w:color="auto"/>
      </w:divBdr>
    </w:div>
    <w:div w:id="1568881895">
      <w:bodyDiv w:val="1"/>
      <w:marLeft w:val="0"/>
      <w:marRight w:val="0"/>
      <w:marTop w:val="0"/>
      <w:marBottom w:val="0"/>
      <w:divBdr>
        <w:top w:val="none" w:sz="0" w:space="0" w:color="auto"/>
        <w:left w:val="none" w:sz="0" w:space="0" w:color="auto"/>
        <w:bottom w:val="none" w:sz="0" w:space="0" w:color="auto"/>
        <w:right w:val="none" w:sz="0" w:space="0" w:color="auto"/>
      </w:divBdr>
    </w:div>
    <w:div w:id="1574848890">
      <w:bodyDiv w:val="1"/>
      <w:marLeft w:val="0"/>
      <w:marRight w:val="0"/>
      <w:marTop w:val="0"/>
      <w:marBottom w:val="0"/>
      <w:divBdr>
        <w:top w:val="none" w:sz="0" w:space="0" w:color="auto"/>
        <w:left w:val="none" w:sz="0" w:space="0" w:color="auto"/>
        <w:bottom w:val="none" w:sz="0" w:space="0" w:color="auto"/>
        <w:right w:val="none" w:sz="0" w:space="0" w:color="auto"/>
      </w:divBdr>
    </w:div>
    <w:div w:id="1580208708">
      <w:bodyDiv w:val="1"/>
      <w:marLeft w:val="0"/>
      <w:marRight w:val="0"/>
      <w:marTop w:val="0"/>
      <w:marBottom w:val="0"/>
      <w:divBdr>
        <w:top w:val="none" w:sz="0" w:space="0" w:color="auto"/>
        <w:left w:val="none" w:sz="0" w:space="0" w:color="auto"/>
        <w:bottom w:val="none" w:sz="0" w:space="0" w:color="auto"/>
        <w:right w:val="none" w:sz="0" w:space="0" w:color="auto"/>
      </w:divBdr>
    </w:div>
    <w:div w:id="1601177557">
      <w:bodyDiv w:val="1"/>
      <w:marLeft w:val="0"/>
      <w:marRight w:val="0"/>
      <w:marTop w:val="0"/>
      <w:marBottom w:val="0"/>
      <w:divBdr>
        <w:top w:val="none" w:sz="0" w:space="0" w:color="auto"/>
        <w:left w:val="none" w:sz="0" w:space="0" w:color="auto"/>
        <w:bottom w:val="none" w:sz="0" w:space="0" w:color="auto"/>
        <w:right w:val="none" w:sz="0" w:space="0" w:color="auto"/>
      </w:divBdr>
    </w:div>
    <w:div w:id="1666585965">
      <w:bodyDiv w:val="1"/>
      <w:marLeft w:val="0"/>
      <w:marRight w:val="0"/>
      <w:marTop w:val="0"/>
      <w:marBottom w:val="0"/>
      <w:divBdr>
        <w:top w:val="none" w:sz="0" w:space="0" w:color="auto"/>
        <w:left w:val="none" w:sz="0" w:space="0" w:color="auto"/>
        <w:bottom w:val="none" w:sz="0" w:space="0" w:color="auto"/>
        <w:right w:val="none" w:sz="0" w:space="0" w:color="auto"/>
      </w:divBdr>
    </w:div>
    <w:div w:id="1676227904">
      <w:bodyDiv w:val="1"/>
      <w:marLeft w:val="0"/>
      <w:marRight w:val="0"/>
      <w:marTop w:val="0"/>
      <w:marBottom w:val="0"/>
      <w:divBdr>
        <w:top w:val="none" w:sz="0" w:space="0" w:color="auto"/>
        <w:left w:val="none" w:sz="0" w:space="0" w:color="auto"/>
        <w:bottom w:val="none" w:sz="0" w:space="0" w:color="auto"/>
        <w:right w:val="none" w:sz="0" w:space="0" w:color="auto"/>
      </w:divBdr>
    </w:div>
    <w:div w:id="1684479370">
      <w:bodyDiv w:val="1"/>
      <w:marLeft w:val="0"/>
      <w:marRight w:val="0"/>
      <w:marTop w:val="0"/>
      <w:marBottom w:val="0"/>
      <w:divBdr>
        <w:top w:val="none" w:sz="0" w:space="0" w:color="auto"/>
        <w:left w:val="none" w:sz="0" w:space="0" w:color="auto"/>
        <w:bottom w:val="none" w:sz="0" w:space="0" w:color="auto"/>
        <w:right w:val="none" w:sz="0" w:space="0" w:color="auto"/>
      </w:divBdr>
    </w:div>
    <w:div w:id="1684551192">
      <w:bodyDiv w:val="1"/>
      <w:marLeft w:val="0"/>
      <w:marRight w:val="0"/>
      <w:marTop w:val="0"/>
      <w:marBottom w:val="0"/>
      <w:divBdr>
        <w:top w:val="none" w:sz="0" w:space="0" w:color="auto"/>
        <w:left w:val="none" w:sz="0" w:space="0" w:color="auto"/>
        <w:bottom w:val="none" w:sz="0" w:space="0" w:color="auto"/>
        <w:right w:val="none" w:sz="0" w:space="0" w:color="auto"/>
      </w:divBdr>
    </w:div>
    <w:div w:id="1715737584">
      <w:bodyDiv w:val="1"/>
      <w:marLeft w:val="0"/>
      <w:marRight w:val="0"/>
      <w:marTop w:val="0"/>
      <w:marBottom w:val="0"/>
      <w:divBdr>
        <w:top w:val="none" w:sz="0" w:space="0" w:color="auto"/>
        <w:left w:val="none" w:sz="0" w:space="0" w:color="auto"/>
        <w:bottom w:val="none" w:sz="0" w:space="0" w:color="auto"/>
        <w:right w:val="none" w:sz="0" w:space="0" w:color="auto"/>
      </w:divBdr>
    </w:div>
    <w:div w:id="1736662779">
      <w:bodyDiv w:val="1"/>
      <w:marLeft w:val="0"/>
      <w:marRight w:val="0"/>
      <w:marTop w:val="0"/>
      <w:marBottom w:val="0"/>
      <w:divBdr>
        <w:top w:val="none" w:sz="0" w:space="0" w:color="auto"/>
        <w:left w:val="none" w:sz="0" w:space="0" w:color="auto"/>
        <w:bottom w:val="none" w:sz="0" w:space="0" w:color="auto"/>
        <w:right w:val="none" w:sz="0" w:space="0" w:color="auto"/>
      </w:divBdr>
    </w:div>
    <w:div w:id="1737585077">
      <w:bodyDiv w:val="1"/>
      <w:marLeft w:val="0"/>
      <w:marRight w:val="0"/>
      <w:marTop w:val="0"/>
      <w:marBottom w:val="0"/>
      <w:divBdr>
        <w:top w:val="none" w:sz="0" w:space="0" w:color="auto"/>
        <w:left w:val="none" w:sz="0" w:space="0" w:color="auto"/>
        <w:bottom w:val="none" w:sz="0" w:space="0" w:color="auto"/>
        <w:right w:val="none" w:sz="0" w:space="0" w:color="auto"/>
      </w:divBdr>
    </w:div>
    <w:div w:id="1740516842">
      <w:bodyDiv w:val="1"/>
      <w:marLeft w:val="0"/>
      <w:marRight w:val="0"/>
      <w:marTop w:val="0"/>
      <w:marBottom w:val="0"/>
      <w:divBdr>
        <w:top w:val="none" w:sz="0" w:space="0" w:color="auto"/>
        <w:left w:val="none" w:sz="0" w:space="0" w:color="auto"/>
        <w:bottom w:val="none" w:sz="0" w:space="0" w:color="auto"/>
        <w:right w:val="none" w:sz="0" w:space="0" w:color="auto"/>
      </w:divBdr>
    </w:div>
    <w:div w:id="1742945082">
      <w:bodyDiv w:val="1"/>
      <w:marLeft w:val="0"/>
      <w:marRight w:val="0"/>
      <w:marTop w:val="0"/>
      <w:marBottom w:val="0"/>
      <w:divBdr>
        <w:top w:val="none" w:sz="0" w:space="0" w:color="auto"/>
        <w:left w:val="none" w:sz="0" w:space="0" w:color="auto"/>
        <w:bottom w:val="none" w:sz="0" w:space="0" w:color="auto"/>
        <w:right w:val="none" w:sz="0" w:space="0" w:color="auto"/>
      </w:divBdr>
    </w:div>
    <w:div w:id="1753429995">
      <w:bodyDiv w:val="1"/>
      <w:marLeft w:val="0"/>
      <w:marRight w:val="0"/>
      <w:marTop w:val="0"/>
      <w:marBottom w:val="0"/>
      <w:divBdr>
        <w:top w:val="none" w:sz="0" w:space="0" w:color="auto"/>
        <w:left w:val="none" w:sz="0" w:space="0" w:color="auto"/>
        <w:bottom w:val="none" w:sz="0" w:space="0" w:color="auto"/>
        <w:right w:val="none" w:sz="0" w:space="0" w:color="auto"/>
      </w:divBdr>
    </w:div>
    <w:div w:id="1790393059">
      <w:bodyDiv w:val="1"/>
      <w:marLeft w:val="0"/>
      <w:marRight w:val="0"/>
      <w:marTop w:val="0"/>
      <w:marBottom w:val="0"/>
      <w:divBdr>
        <w:top w:val="none" w:sz="0" w:space="0" w:color="auto"/>
        <w:left w:val="none" w:sz="0" w:space="0" w:color="auto"/>
        <w:bottom w:val="none" w:sz="0" w:space="0" w:color="auto"/>
        <w:right w:val="none" w:sz="0" w:space="0" w:color="auto"/>
      </w:divBdr>
    </w:div>
    <w:div w:id="1820416316">
      <w:bodyDiv w:val="1"/>
      <w:marLeft w:val="0"/>
      <w:marRight w:val="0"/>
      <w:marTop w:val="0"/>
      <w:marBottom w:val="0"/>
      <w:divBdr>
        <w:top w:val="none" w:sz="0" w:space="0" w:color="auto"/>
        <w:left w:val="none" w:sz="0" w:space="0" w:color="auto"/>
        <w:bottom w:val="none" w:sz="0" w:space="0" w:color="auto"/>
        <w:right w:val="none" w:sz="0" w:space="0" w:color="auto"/>
      </w:divBdr>
    </w:div>
    <w:div w:id="1838575369">
      <w:bodyDiv w:val="1"/>
      <w:marLeft w:val="0"/>
      <w:marRight w:val="0"/>
      <w:marTop w:val="0"/>
      <w:marBottom w:val="0"/>
      <w:divBdr>
        <w:top w:val="none" w:sz="0" w:space="0" w:color="auto"/>
        <w:left w:val="none" w:sz="0" w:space="0" w:color="auto"/>
        <w:bottom w:val="none" w:sz="0" w:space="0" w:color="auto"/>
        <w:right w:val="none" w:sz="0" w:space="0" w:color="auto"/>
      </w:divBdr>
    </w:div>
    <w:div w:id="1844707981">
      <w:bodyDiv w:val="1"/>
      <w:marLeft w:val="0"/>
      <w:marRight w:val="0"/>
      <w:marTop w:val="0"/>
      <w:marBottom w:val="0"/>
      <w:divBdr>
        <w:top w:val="none" w:sz="0" w:space="0" w:color="auto"/>
        <w:left w:val="none" w:sz="0" w:space="0" w:color="auto"/>
        <w:bottom w:val="none" w:sz="0" w:space="0" w:color="auto"/>
        <w:right w:val="none" w:sz="0" w:space="0" w:color="auto"/>
      </w:divBdr>
    </w:div>
    <w:div w:id="1862815211">
      <w:bodyDiv w:val="1"/>
      <w:marLeft w:val="0"/>
      <w:marRight w:val="0"/>
      <w:marTop w:val="0"/>
      <w:marBottom w:val="0"/>
      <w:divBdr>
        <w:top w:val="none" w:sz="0" w:space="0" w:color="auto"/>
        <w:left w:val="none" w:sz="0" w:space="0" w:color="auto"/>
        <w:bottom w:val="none" w:sz="0" w:space="0" w:color="auto"/>
        <w:right w:val="none" w:sz="0" w:space="0" w:color="auto"/>
      </w:divBdr>
    </w:div>
    <w:div w:id="1863669960">
      <w:bodyDiv w:val="1"/>
      <w:marLeft w:val="0"/>
      <w:marRight w:val="0"/>
      <w:marTop w:val="0"/>
      <w:marBottom w:val="0"/>
      <w:divBdr>
        <w:top w:val="none" w:sz="0" w:space="0" w:color="auto"/>
        <w:left w:val="none" w:sz="0" w:space="0" w:color="auto"/>
        <w:bottom w:val="none" w:sz="0" w:space="0" w:color="auto"/>
        <w:right w:val="none" w:sz="0" w:space="0" w:color="auto"/>
      </w:divBdr>
    </w:div>
    <w:div w:id="1866554539">
      <w:bodyDiv w:val="1"/>
      <w:marLeft w:val="0"/>
      <w:marRight w:val="0"/>
      <w:marTop w:val="0"/>
      <w:marBottom w:val="0"/>
      <w:divBdr>
        <w:top w:val="none" w:sz="0" w:space="0" w:color="auto"/>
        <w:left w:val="none" w:sz="0" w:space="0" w:color="auto"/>
        <w:bottom w:val="none" w:sz="0" w:space="0" w:color="auto"/>
        <w:right w:val="none" w:sz="0" w:space="0" w:color="auto"/>
      </w:divBdr>
    </w:div>
    <w:div w:id="1868448222">
      <w:bodyDiv w:val="1"/>
      <w:marLeft w:val="0"/>
      <w:marRight w:val="0"/>
      <w:marTop w:val="0"/>
      <w:marBottom w:val="0"/>
      <w:divBdr>
        <w:top w:val="none" w:sz="0" w:space="0" w:color="auto"/>
        <w:left w:val="none" w:sz="0" w:space="0" w:color="auto"/>
        <w:bottom w:val="none" w:sz="0" w:space="0" w:color="auto"/>
        <w:right w:val="none" w:sz="0" w:space="0" w:color="auto"/>
      </w:divBdr>
    </w:div>
    <w:div w:id="1878085371">
      <w:bodyDiv w:val="1"/>
      <w:marLeft w:val="0"/>
      <w:marRight w:val="0"/>
      <w:marTop w:val="0"/>
      <w:marBottom w:val="0"/>
      <w:divBdr>
        <w:top w:val="none" w:sz="0" w:space="0" w:color="auto"/>
        <w:left w:val="none" w:sz="0" w:space="0" w:color="auto"/>
        <w:bottom w:val="none" w:sz="0" w:space="0" w:color="auto"/>
        <w:right w:val="none" w:sz="0" w:space="0" w:color="auto"/>
      </w:divBdr>
    </w:div>
    <w:div w:id="1894850674">
      <w:bodyDiv w:val="1"/>
      <w:marLeft w:val="0"/>
      <w:marRight w:val="0"/>
      <w:marTop w:val="0"/>
      <w:marBottom w:val="0"/>
      <w:divBdr>
        <w:top w:val="none" w:sz="0" w:space="0" w:color="auto"/>
        <w:left w:val="none" w:sz="0" w:space="0" w:color="auto"/>
        <w:bottom w:val="none" w:sz="0" w:space="0" w:color="auto"/>
        <w:right w:val="none" w:sz="0" w:space="0" w:color="auto"/>
      </w:divBdr>
    </w:div>
    <w:div w:id="1928879867">
      <w:bodyDiv w:val="1"/>
      <w:marLeft w:val="0"/>
      <w:marRight w:val="0"/>
      <w:marTop w:val="0"/>
      <w:marBottom w:val="0"/>
      <w:divBdr>
        <w:top w:val="none" w:sz="0" w:space="0" w:color="auto"/>
        <w:left w:val="none" w:sz="0" w:space="0" w:color="auto"/>
        <w:bottom w:val="none" w:sz="0" w:space="0" w:color="auto"/>
        <w:right w:val="none" w:sz="0" w:space="0" w:color="auto"/>
      </w:divBdr>
    </w:div>
    <w:div w:id="1942450258">
      <w:bodyDiv w:val="1"/>
      <w:marLeft w:val="0"/>
      <w:marRight w:val="0"/>
      <w:marTop w:val="0"/>
      <w:marBottom w:val="0"/>
      <w:divBdr>
        <w:top w:val="none" w:sz="0" w:space="0" w:color="auto"/>
        <w:left w:val="none" w:sz="0" w:space="0" w:color="auto"/>
        <w:bottom w:val="none" w:sz="0" w:space="0" w:color="auto"/>
        <w:right w:val="none" w:sz="0" w:space="0" w:color="auto"/>
      </w:divBdr>
    </w:div>
    <w:div w:id="1956210215">
      <w:bodyDiv w:val="1"/>
      <w:marLeft w:val="0"/>
      <w:marRight w:val="0"/>
      <w:marTop w:val="0"/>
      <w:marBottom w:val="0"/>
      <w:divBdr>
        <w:top w:val="none" w:sz="0" w:space="0" w:color="auto"/>
        <w:left w:val="none" w:sz="0" w:space="0" w:color="auto"/>
        <w:bottom w:val="none" w:sz="0" w:space="0" w:color="auto"/>
        <w:right w:val="none" w:sz="0" w:space="0" w:color="auto"/>
      </w:divBdr>
    </w:div>
    <w:div w:id="1970044404">
      <w:bodyDiv w:val="1"/>
      <w:marLeft w:val="0"/>
      <w:marRight w:val="0"/>
      <w:marTop w:val="0"/>
      <w:marBottom w:val="0"/>
      <w:divBdr>
        <w:top w:val="none" w:sz="0" w:space="0" w:color="auto"/>
        <w:left w:val="none" w:sz="0" w:space="0" w:color="auto"/>
        <w:bottom w:val="none" w:sz="0" w:space="0" w:color="auto"/>
        <w:right w:val="none" w:sz="0" w:space="0" w:color="auto"/>
      </w:divBdr>
    </w:div>
    <w:div w:id="1978292003">
      <w:bodyDiv w:val="1"/>
      <w:marLeft w:val="0"/>
      <w:marRight w:val="0"/>
      <w:marTop w:val="0"/>
      <w:marBottom w:val="0"/>
      <w:divBdr>
        <w:top w:val="none" w:sz="0" w:space="0" w:color="auto"/>
        <w:left w:val="none" w:sz="0" w:space="0" w:color="auto"/>
        <w:bottom w:val="none" w:sz="0" w:space="0" w:color="auto"/>
        <w:right w:val="none" w:sz="0" w:space="0" w:color="auto"/>
      </w:divBdr>
    </w:div>
    <w:div w:id="1986857422">
      <w:bodyDiv w:val="1"/>
      <w:marLeft w:val="0"/>
      <w:marRight w:val="0"/>
      <w:marTop w:val="0"/>
      <w:marBottom w:val="0"/>
      <w:divBdr>
        <w:top w:val="none" w:sz="0" w:space="0" w:color="auto"/>
        <w:left w:val="none" w:sz="0" w:space="0" w:color="auto"/>
        <w:bottom w:val="none" w:sz="0" w:space="0" w:color="auto"/>
        <w:right w:val="none" w:sz="0" w:space="0" w:color="auto"/>
      </w:divBdr>
    </w:div>
    <w:div w:id="1991859327">
      <w:bodyDiv w:val="1"/>
      <w:marLeft w:val="0"/>
      <w:marRight w:val="0"/>
      <w:marTop w:val="0"/>
      <w:marBottom w:val="0"/>
      <w:divBdr>
        <w:top w:val="none" w:sz="0" w:space="0" w:color="auto"/>
        <w:left w:val="none" w:sz="0" w:space="0" w:color="auto"/>
        <w:bottom w:val="none" w:sz="0" w:space="0" w:color="auto"/>
        <w:right w:val="none" w:sz="0" w:space="0" w:color="auto"/>
      </w:divBdr>
    </w:div>
    <w:div w:id="1994289522">
      <w:bodyDiv w:val="1"/>
      <w:marLeft w:val="0"/>
      <w:marRight w:val="0"/>
      <w:marTop w:val="0"/>
      <w:marBottom w:val="0"/>
      <w:divBdr>
        <w:top w:val="none" w:sz="0" w:space="0" w:color="auto"/>
        <w:left w:val="none" w:sz="0" w:space="0" w:color="auto"/>
        <w:bottom w:val="none" w:sz="0" w:space="0" w:color="auto"/>
        <w:right w:val="none" w:sz="0" w:space="0" w:color="auto"/>
      </w:divBdr>
    </w:div>
    <w:div w:id="2017729472">
      <w:bodyDiv w:val="1"/>
      <w:marLeft w:val="0"/>
      <w:marRight w:val="0"/>
      <w:marTop w:val="0"/>
      <w:marBottom w:val="0"/>
      <w:divBdr>
        <w:top w:val="none" w:sz="0" w:space="0" w:color="auto"/>
        <w:left w:val="none" w:sz="0" w:space="0" w:color="auto"/>
        <w:bottom w:val="none" w:sz="0" w:space="0" w:color="auto"/>
        <w:right w:val="none" w:sz="0" w:space="0" w:color="auto"/>
      </w:divBdr>
    </w:div>
    <w:div w:id="2024354975">
      <w:bodyDiv w:val="1"/>
      <w:marLeft w:val="0"/>
      <w:marRight w:val="0"/>
      <w:marTop w:val="0"/>
      <w:marBottom w:val="0"/>
      <w:divBdr>
        <w:top w:val="none" w:sz="0" w:space="0" w:color="auto"/>
        <w:left w:val="none" w:sz="0" w:space="0" w:color="auto"/>
        <w:bottom w:val="none" w:sz="0" w:space="0" w:color="auto"/>
        <w:right w:val="none" w:sz="0" w:space="0" w:color="auto"/>
      </w:divBdr>
    </w:div>
    <w:div w:id="2043633562">
      <w:bodyDiv w:val="1"/>
      <w:marLeft w:val="0"/>
      <w:marRight w:val="0"/>
      <w:marTop w:val="0"/>
      <w:marBottom w:val="0"/>
      <w:divBdr>
        <w:top w:val="none" w:sz="0" w:space="0" w:color="auto"/>
        <w:left w:val="none" w:sz="0" w:space="0" w:color="auto"/>
        <w:bottom w:val="none" w:sz="0" w:space="0" w:color="auto"/>
        <w:right w:val="none" w:sz="0" w:space="0" w:color="auto"/>
      </w:divBdr>
    </w:div>
    <w:div w:id="2045399346">
      <w:bodyDiv w:val="1"/>
      <w:marLeft w:val="0"/>
      <w:marRight w:val="0"/>
      <w:marTop w:val="0"/>
      <w:marBottom w:val="0"/>
      <w:divBdr>
        <w:top w:val="none" w:sz="0" w:space="0" w:color="auto"/>
        <w:left w:val="none" w:sz="0" w:space="0" w:color="auto"/>
        <w:bottom w:val="none" w:sz="0" w:space="0" w:color="auto"/>
        <w:right w:val="none" w:sz="0" w:space="0" w:color="auto"/>
      </w:divBdr>
    </w:div>
    <w:div w:id="2046908796">
      <w:bodyDiv w:val="1"/>
      <w:marLeft w:val="0"/>
      <w:marRight w:val="0"/>
      <w:marTop w:val="0"/>
      <w:marBottom w:val="0"/>
      <w:divBdr>
        <w:top w:val="none" w:sz="0" w:space="0" w:color="auto"/>
        <w:left w:val="none" w:sz="0" w:space="0" w:color="auto"/>
        <w:bottom w:val="none" w:sz="0" w:space="0" w:color="auto"/>
        <w:right w:val="none" w:sz="0" w:space="0" w:color="auto"/>
      </w:divBdr>
    </w:div>
    <w:div w:id="2057772106">
      <w:bodyDiv w:val="1"/>
      <w:marLeft w:val="0"/>
      <w:marRight w:val="0"/>
      <w:marTop w:val="0"/>
      <w:marBottom w:val="0"/>
      <w:divBdr>
        <w:top w:val="none" w:sz="0" w:space="0" w:color="auto"/>
        <w:left w:val="none" w:sz="0" w:space="0" w:color="auto"/>
        <w:bottom w:val="none" w:sz="0" w:space="0" w:color="auto"/>
        <w:right w:val="none" w:sz="0" w:space="0" w:color="auto"/>
      </w:divBdr>
    </w:div>
    <w:div w:id="2061709496">
      <w:bodyDiv w:val="1"/>
      <w:marLeft w:val="0"/>
      <w:marRight w:val="0"/>
      <w:marTop w:val="0"/>
      <w:marBottom w:val="0"/>
      <w:divBdr>
        <w:top w:val="none" w:sz="0" w:space="0" w:color="auto"/>
        <w:left w:val="none" w:sz="0" w:space="0" w:color="auto"/>
        <w:bottom w:val="none" w:sz="0" w:space="0" w:color="auto"/>
        <w:right w:val="none" w:sz="0" w:space="0" w:color="auto"/>
      </w:divBdr>
    </w:div>
    <w:div w:id="2095121878">
      <w:bodyDiv w:val="1"/>
      <w:marLeft w:val="0"/>
      <w:marRight w:val="0"/>
      <w:marTop w:val="0"/>
      <w:marBottom w:val="0"/>
      <w:divBdr>
        <w:top w:val="none" w:sz="0" w:space="0" w:color="auto"/>
        <w:left w:val="none" w:sz="0" w:space="0" w:color="auto"/>
        <w:bottom w:val="none" w:sz="0" w:space="0" w:color="auto"/>
        <w:right w:val="none" w:sz="0" w:space="0" w:color="auto"/>
      </w:divBdr>
    </w:div>
    <w:div w:id="2107966324">
      <w:bodyDiv w:val="1"/>
      <w:marLeft w:val="0"/>
      <w:marRight w:val="0"/>
      <w:marTop w:val="0"/>
      <w:marBottom w:val="0"/>
      <w:divBdr>
        <w:top w:val="none" w:sz="0" w:space="0" w:color="auto"/>
        <w:left w:val="none" w:sz="0" w:space="0" w:color="auto"/>
        <w:bottom w:val="none" w:sz="0" w:space="0" w:color="auto"/>
        <w:right w:val="none" w:sz="0" w:space="0" w:color="auto"/>
      </w:divBdr>
    </w:div>
    <w:div w:id="2118669321">
      <w:bodyDiv w:val="1"/>
      <w:marLeft w:val="0"/>
      <w:marRight w:val="0"/>
      <w:marTop w:val="0"/>
      <w:marBottom w:val="0"/>
      <w:divBdr>
        <w:top w:val="none" w:sz="0" w:space="0" w:color="auto"/>
        <w:left w:val="none" w:sz="0" w:space="0" w:color="auto"/>
        <w:bottom w:val="none" w:sz="0" w:space="0" w:color="auto"/>
        <w:right w:val="none" w:sz="0" w:space="0" w:color="auto"/>
      </w:divBdr>
    </w:div>
    <w:div w:id="2124684195">
      <w:bodyDiv w:val="1"/>
      <w:marLeft w:val="0"/>
      <w:marRight w:val="0"/>
      <w:marTop w:val="0"/>
      <w:marBottom w:val="0"/>
      <w:divBdr>
        <w:top w:val="none" w:sz="0" w:space="0" w:color="auto"/>
        <w:left w:val="none" w:sz="0" w:space="0" w:color="auto"/>
        <w:bottom w:val="none" w:sz="0" w:space="0" w:color="auto"/>
        <w:right w:val="none" w:sz="0" w:space="0" w:color="auto"/>
      </w:divBdr>
    </w:div>
    <w:div w:id="2127919587">
      <w:bodyDiv w:val="1"/>
      <w:marLeft w:val="0"/>
      <w:marRight w:val="0"/>
      <w:marTop w:val="0"/>
      <w:marBottom w:val="0"/>
      <w:divBdr>
        <w:top w:val="none" w:sz="0" w:space="0" w:color="auto"/>
        <w:left w:val="none" w:sz="0" w:space="0" w:color="auto"/>
        <w:bottom w:val="none" w:sz="0" w:space="0" w:color="auto"/>
        <w:right w:val="none" w:sz="0" w:space="0" w:color="auto"/>
      </w:divBdr>
    </w:div>
    <w:div w:id="2128884499">
      <w:bodyDiv w:val="1"/>
      <w:marLeft w:val="0"/>
      <w:marRight w:val="0"/>
      <w:marTop w:val="0"/>
      <w:marBottom w:val="0"/>
      <w:divBdr>
        <w:top w:val="none" w:sz="0" w:space="0" w:color="auto"/>
        <w:left w:val="none" w:sz="0" w:space="0" w:color="auto"/>
        <w:bottom w:val="none" w:sz="0" w:space="0" w:color="auto"/>
        <w:right w:val="none" w:sz="0" w:space="0" w:color="auto"/>
      </w:divBdr>
    </w:div>
    <w:div w:id="21379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UKOPA.co.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mailto:enquiries@ukopa.co.uk"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Documents\@Work\UKOPA\FARWG\GPG%20Development\TBN%20Template%20Oct%2017%20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778D8D701A4C619FB7BB748F40B5BF"/>
        <w:category>
          <w:name w:val="General"/>
          <w:gallery w:val="placeholder"/>
        </w:category>
        <w:types>
          <w:type w:val="bbPlcHdr"/>
        </w:types>
        <w:behaviors>
          <w:behavior w:val="content"/>
        </w:behaviors>
        <w:guid w:val="{0A4D8964-5948-4D74-9F8D-D578CFF75C0D}"/>
      </w:docPartPr>
      <w:docPartBody>
        <w:p w:rsidR="00433BC0" w:rsidRDefault="00E0228A">
          <w:pPr>
            <w:pStyle w:val="B5778D8D701A4C619FB7BB748F40B5BF"/>
          </w:pPr>
          <w:r w:rsidRPr="00B83874">
            <w:rPr>
              <w:rStyle w:val="PlaceholderText"/>
            </w:rPr>
            <w:t>[Title]</w:t>
          </w:r>
        </w:p>
      </w:docPartBody>
    </w:docPart>
    <w:docPart>
      <w:docPartPr>
        <w:name w:val="F46A8CCDD5324DE3978AB5A49DE18E4B"/>
        <w:category>
          <w:name w:val="General"/>
          <w:gallery w:val="placeholder"/>
        </w:category>
        <w:types>
          <w:type w:val="bbPlcHdr"/>
        </w:types>
        <w:behaviors>
          <w:behavior w:val="content"/>
        </w:behaviors>
        <w:guid w:val="{89857513-C12E-4847-A44A-0861802A3BD2}"/>
      </w:docPartPr>
      <w:docPartBody>
        <w:p w:rsidR="00433BC0" w:rsidRDefault="00E0228A">
          <w:pPr>
            <w:pStyle w:val="F46A8CCDD5324DE3978AB5A49DE18E4B"/>
          </w:pPr>
          <w:r w:rsidRPr="00B83874">
            <w:rPr>
              <w:rStyle w:val="PlaceholderText"/>
            </w:rPr>
            <w:t>[Subject]</w:t>
          </w:r>
        </w:p>
      </w:docPartBody>
    </w:docPart>
    <w:docPart>
      <w:docPartPr>
        <w:name w:val="9C1CA94947CB44BCB0E98FD28F75E2F2"/>
        <w:category>
          <w:name w:val="General"/>
          <w:gallery w:val="placeholder"/>
        </w:category>
        <w:types>
          <w:type w:val="bbPlcHdr"/>
        </w:types>
        <w:behaviors>
          <w:behavior w:val="content"/>
        </w:behaviors>
        <w:guid w:val="{FC06B731-AD27-4694-B7DF-EC54B92735BC}"/>
      </w:docPartPr>
      <w:docPartBody>
        <w:p w:rsidR="00433BC0" w:rsidRDefault="00E0228A">
          <w:pPr>
            <w:pStyle w:val="9C1CA94947CB44BCB0E98FD28F75E2F2"/>
          </w:pPr>
          <w:r w:rsidRPr="00917A5B">
            <w:rPr>
              <w:rStyle w:val="PlaceholderText"/>
            </w:rPr>
            <w:t>[Comments]</w:t>
          </w:r>
        </w:p>
      </w:docPartBody>
    </w:docPart>
    <w:docPart>
      <w:docPartPr>
        <w:name w:val="6BA14B5C5915438C8CB906455E6D5BB8"/>
        <w:category>
          <w:name w:val="General"/>
          <w:gallery w:val="placeholder"/>
        </w:category>
        <w:types>
          <w:type w:val="bbPlcHdr"/>
        </w:types>
        <w:behaviors>
          <w:behavior w:val="content"/>
        </w:behaviors>
        <w:guid w:val="{20CFE18A-4BE9-45F9-A08D-9CC07BEC6C91}"/>
      </w:docPartPr>
      <w:docPartBody>
        <w:p w:rsidR="00433BC0" w:rsidRDefault="00E0228A">
          <w:pPr>
            <w:pStyle w:val="6BA14B5C5915438C8CB906455E6D5BB8"/>
          </w:pPr>
          <w:r w:rsidRPr="00917A5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1F"/>
    <w:rsid w:val="000E215C"/>
    <w:rsid w:val="00165F1F"/>
    <w:rsid w:val="00433BC0"/>
    <w:rsid w:val="0058463A"/>
    <w:rsid w:val="006528E4"/>
    <w:rsid w:val="007376DC"/>
    <w:rsid w:val="0090427A"/>
    <w:rsid w:val="009D5AA1"/>
    <w:rsid w:val="00A47225"/>
    <w:rsid w:val="00AD414F"/>
    <w:rsid w:val="00B0703F"/>
    <w:rsid w:val="00B93B25"/>
    <w:rsid w:val="00BB1919"/>
    <w:rsid w:val="00C13B19"/>
    <w:rsid w:val="00E0228A"/>
    <w:rsid w:val="00E16D57"/>
    <w:rsid w:val="00E459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03F"/>
    <w:rPr>
      <w:color w:val="808080"/>
    </w:rPr>
  </w:style>
  <w:style w:type="paragraph" w:customStyle="1" w:styleId="B5778D8D701A4C619FB7BB748F40B5BF">
    <w:name w:val="B5778D8D701A4C619FB7BB748F40B5BF"/>
  </w:style>
  <w:style w:type="paragraph" w:customStyle="1" w:styleId="F46A8CCDD5324DE3978AB5A49DE18E4B">
    <w:name w:val="F46A8CCDD5324DE3978AB5A49DE18E4B"/>
  </w:style>
  <w:style w:type="paragraph" w:customStyle="1" w:styleId="9C1CA94947CB44BCB0E98FD28F75E2F2">
    <w:name w:val="9C1CA94947CB44BCB0E98FD28F75E2F2"/>
  </w:style>
  <w:style w:type="paragraph" w:customStyle="1" w:styleId="6BA14B5C5915438C8CB906455E6D5BB8">
    <w:name w:val="6BA14B5C5915438C8CB906455E6D5BB8"/>
  </w:style>
  <w:style w:type="paragraph" w:customStyle="1" w:styleId="043C6F2A580C41FBAC70052568F12300">
    <w:name w:val="043C6F2A580C41FBAC70052568F12300"/>
  </w:style>
  <w:style w:type="paragraph" w:customStyle="1" w:styleId="A8EDB86BF3B442998A46C1D89BADA714">
    <w:name w:val="A8EDB86BF3B442998A46C1D89BADA714"/>
  </w:style>
  <w:style w:type="paragraph" w:customStyle="1" w:styleId="FD94493203E94DA9ABF350A5D7346121">
    <w:name w:val="FD94493203E94DA9ABF350A5D7346121"/>
    <w:rsid w:val="00165F1F"/>
  </w:style>
  <w:style w:type="paragraph" w:customStyle="1" w:styleId="13B62066016C4FCE9488EE15A863C351">
    <w:name w:val="13B62066016C4FCE9488EE15A863C351"/>
    <w:rsid w:val="00B93B25"/>
  </w:style>
  <w:style w:type="paragraph" w:customStyle="1" w:styleId="43647DA37AE547FA951FBE113C1A3AE3">
    <w:name w:val="43647DA37AE547FA951FBE113C1A3AE3"/>
    <w:rsid w:val="00B93B25"/>
  </w:style>
  <w:style w:type="paragraph" w:customStyle="1" w:styleId="BAF768EE498B4A30B3AB4D71C5CB42DF">
    <w:name w:val="BAF768EE498B4A30B3AB4D71C5CB42DF"/>
    <w:rsid w:val="00B93B25"/>
  </w:style>
  <w:style w:type="paragraph" w:customStyle="1" w:styleId="A21992A7B8BA4546BE48A57941ADA447">
    <w:name w:val="A21992A7B8BA4546BE48A57941ADA447"/>
    <w:rsid w:val="00B93B25"/>
  </w:style>
  <w:style w:type="paragraph" w:customStyle="1" w:styleId="9E5D5AA8EF3B4EB9851982BB685F927D">
    <w:name w:val="9E5D5AA8EF3B4EB9851982BB685F927D"/>
    <w:rsid w:val="00B07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B12927C1DEF47A0067C984201AFF5" ma:contentTypeVersion="8" ma:contentTypeDescription="Create a new document." ma:contentTypeScope="" ma:versionID="6439fbdf49ba052045e054260be099aa">
  <xsd:schema xmlns:xsd="http://www.w3.org/2001/XMLSchema" xmlns:xs="http://www.w3.org/2001/XMLSchema" xmlns:p="http://schemas.microsoft.com/office/2006/metadata/properties" xmlns:ns3="c000a300-af96-440e-94a3-df38cd6d54eb" targetNamespace="http://schemas.microsoft.com/office/2006/metadata/properties" ma:root="true" ma:fieldsID="3324f15a5259eb3881ef58365ec97ce9" ns3:_="">
    <xsd:import namespace="c000a300-af96-440e-94a3-df38cd6d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300-af96-440e-94a3-df38cd6d5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UKOPA_GP_xxx</b:Tag>
    <b:SourceType>Report</b:SourceType>
    <b:Guid>{2DAAD52D-7204-4725-8174-76FDF0772F7A}</b:Guid>
    <b:Title>UK Onshore Pipeline Operators' Association - Industry Good Practice Guide, Cost Benefit Analysis</b:Title>
    <b:Author>
      <b:Author>
        <b:Corporate>UKOPA</b:Corporate>
      </b:Author>
    </b:Author>
    <b:Publisher>UKOPA/GP/xxx</b:Publisher>
    <b:RefOrder>10</b:RefOrder>
  </b:Source>
  <b:Source>
    <b:Tag>PSR96</b:Tag>
    <b:SourceType>Misc</b:SourceType>
    <b:Guid>{BAC2C8A6-E2AE-4570-8C82-1320103BD5A0}</b:Guid>
    <b:Author>
      <b:Author>
        <b:Corporate>SI 1996 No. 825</b:Corporate>
      </b:Author>
    </b:Author>
    <b:Title>The Pipelines Safety Regulations 1996, as amended</b:Title>
    <b:Publisher>HMSO</b:Publisher>
    <b:RefOrder>1</b:RefOrder>
  </b:Source>
  <b:Source>
    <b:Tag>TD1_Ed5</b:Tag>
    <b:SourceType>Misc</b:SourceType>
    <b:Guid>{299C6704-E89D-441B-A3F9-6B0EFF84B43B}</b:Guid>
    <b:Author>
      <b:Author>
        <b:Corporate>IGEM/TD/1 Edition 5 with amendments</b:Corporate>
      </b:Author>
    </b:Author>
    <b:Title>Steel pipelines and associated installations for high pressure gas transmission</b:Title>
    <b:Publisher>Communication 1789, Institution of Gas Engineers &amp; Managers</b:Publisher>
    <b:Year>July 2016</b:Year>
    <b:RefOrder>2</b:RefOrder>
  </b:Source>
  <b:Source>
    <b:Tag>TD3_Ed5</b:Tag>
    <b:SourceType>Misc</b:SourceType>
    <b:Guid>{7DEF21C2-115A-44A0-BCCC-FF412CF5F51C}</b:Guid>
    <b:Author>
      <b:Author>
        <b:Corporate>IGEM/TD/3 Edition 5</b:Corporate>
      </b:Author>
    </b:Author>
    <b:Title>Steel and PE pipelines for gas distribution</b:Title>
    <b:Publisher>Communication 1770, Institution of Gas Engineers &amp; Managers</b:Publisher>
    <b:Year>2014</b:Year>
    <b:RefOrder>3</b:RefOrder>
  </b:Source>
  <b:Source>
    <b:Tag>TD2_Ed2</b:Tag>
    <b:SourceType>Misc</b:SourceType>
    <b:Guid>{F93715C9-B6EB-417D-A45D-045B18282640}</b:Guid>
    <b:Author>
      <b:Author>
        <b:Corporate>IGEM/TD/2 Edition 2</b:Corporate>
      </b:Author>
    </b:Author>
    <b:Title>Assessing the risks from high pressure natural gas pipelines</b:Title>
    <b:Year>2013</b:Year>
    <b:Publisher>Institution of Gas Engineers &amp; Managers</b:Publisher>
    <b:RefOrder>4</b:RefOrder>
  </b:Source>
  <b:Source>
    <b:Tag>HSE_LUP</b:Tag>
    <b:SourceType>DocumentFromInternetSite</b:SourceType>
    <b:Guid>{3E59B4ED-6816-4456-BA97-34CAE8FD945B}</b:Guid>
    <b:Author>
      <b:Author>
        <b:Corporate>Health and Safety Executive</b:Corporate>
      </b:Author>
    </b:Author>
    <b:YearAccessed>2017</b:YearAccessed>
    <b:MonthAccessed>12</b:MonthAccessed>
    <b:DayAccessed>15</b:DayAccessed>
    <b:URL>http://www.hse.gov.uk/landuseplanning/methodology.pdf</b:URL>
    <b:Title>HSE’S LAND USE PLANNING METHODOLOGY</b:Title>
    <b:RefOrder>5</b:RefOrder>
  </b:Source>
  <b:Source>
    <b:Tag>UKOPA_17_002</b:Tag>
    <b:SourceType>Report</b:SourceType>
    <b:Guid>{CAA5DF6B-EBC5-43B3-A8D9-A41911B2A2E9}</b:Guid>
    <b:Author>
      <b:Author>
        <b:NameList>
          <b:Person>
            <b:Last>Goodfellow</b:Last>
            <b:Middle>D</b:Middle>
            <b:First>G</b:First>
          </b:Person>
          <b:Person>
            <b:Last>Lyons</b:Last>
            <b:Middle>J</b:Middle>
            <b:First>C</b:First>
          </b:Person>
          <b:Person>
            <b:Last>Haswell</b:Last>
            <b:Middle>V</b:Middle>
            <b:First>J</b:First>
          </b:Person>
        </b:NameList>
      </b:Author>
    </b:Author>
    <b:Title>UKOPA Pipeline Product Loss Incidents and Faults Reports (1962 - 2016)</b:Title>
    <b:Year>UKOPA/17/002, Issue 1.1, February 2018</b:Year>
    <b:RefOrder>6</b:RefOrder>
  </b:Source>
  <b:Source>
    <b:Tag>EGIG_10th</b:Tag>
    <b:SourceType>Report</b:SourceType>
    <b:Guid>{9FE0826C-9277-4DD5-A34A-A8233E9F448A}</b:Guid>
    <b:Author>
      <b:Author>
        <b:Corporate>EGIG</b:Corporate>
      </b:Author>
    </b:Author>
    <b:Title>10th Report of the European Gas Pipeline Incident Data Group</b:Title>
    <b:Year>VA 17.R.0395, March 2018</b:Year>
    <b:RefOrder>7</b:RefOrder>
  </b:Source>
  <b:Source>
    <b:Tag>IPC2002_27196</b:Tag>
    <b:SourceType>Report</b:SourceType>
    <b:Guid>{9C79BF1B-C019-47B0-815F-BB67AE762C26}</b:Guid>
    <b:Author>
      <b:Author>
        <b:NameList>
          <b:Person>
            <b:Last>Acton</b:Last>
            <b:First>M</b:First>
            <b:Middle>R</b:Middle>
          </b:Person>
          <b:Person>
            <b:Last>Baldwin</b:Last>
            <b:First>T</b:First>
            <b:Middle>R</b:Middle>
          </b:Person>
          <b:Person>
            <b:Last>Jager</b:Last>
            <b:First>E</b:First>
            <b:Middle>E R</b:Middle>
          </b:Person>
        </b:NameList>
      </b:Author>
    </b:Author>
    <b:Title>Recent Developments in the Design and Application of the Pipesafe Risk Assessment Package for Gas Transmission Pipelines</b:Title>
    <b:Year>2002</b:Year>
    <b:ConferenceName>Proceedings of IPC'02, 4th International Pipeline Conference</b:ConferenceName>
    <b:City>Calgary</b:City>
    <b:Publisher>IPC2002-27196, Proceedings of IPC'02, 4th International Pipeline Conference</b:Publisher>
    <b:RefOrder>8</b:RefOrder>
  </b:Source>
  <b:Source>
    <b:Tag>R2P2_2001</b:Tag>
    <b:SourceType>Report</b:SourceType>
    <b:Guid>{C8D4E3DB-5C21-4FA5-9558-F8AF67DCADEF}</b:Guid>
    <b:Author>
      <b:Author>
        <b:Corporate>Anon</b:Corporate>
      </b:Author>
    </b:Author>
    <b:Title>Reducing risks, protecting people. HSE's decision-making process</b:Title>
    <b:Year>2001</b:Year>
    <b:Publisher>HMSO</b:Publisher>
    <b:City>London</b:City>
    <b:RefOrder>9</b:RefOrder>
  </b:Source>
</b:Sources>
</file>

<file path=customXml/itemProps1.xml><?xml version="1.0" encoding="utf-8"?>
<ds:datastoreItem xmlns:ds="http://schemas.openxmlformats.org/officeDocument/2006/customXml" ds:itemID="{C4AA7C46-127B-4DB7-AB55-ED2A98D2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300-af96-440e-94a3-df38cd6d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E336B-7F46-4026-96F8-375D70E138F5}">
  <ds:schemaRefs>
    <ds:schemaRef ds:uri="http://schemas.microsoft.com/sharepoint/v3/contenttype/forms"/>
  </ds:schemaRefs>
</ds:datastoreItem>
</file>

<file path=customXml/itemProps3.xml><?xml version="1.0" encoding="utf-8"?>
<ds:datastoreItem xmlns:ds="http://schemas.openxmlformats.org/officeDocument/2006/customXml" ds:itemID="{72C9CB96-A948-4A38-A4A0-2DAED90E29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C5456F-A140-4EFF-A342-0758D779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TBN Template Oct 17 V1.1</Template>
  <TotalTime>21</TotalTime>
  <Pages>13</Pages>
  <Words>2800</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20099</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Managing societal risk in the vicinity of high-pressure natural gas pipelines</dc:subject>
  <dc:creator>Graham Goodfellow</dc:creator>
  <dc:description>UKOPA/TBN/02 Edition 1</dc:description>
  <cp:lastModifiedBy>Andy Fuller</cp:lastModifiedBy>
  <cp:revision>7</cp:revision>
  <cp:lastPrinted>2015-07-28T16:53:00Z</cp:lastPrinted>
  <dcterms:created xsi:type="dcterms:W3CDTF">2019-10-08T09:58:00Z</dcterms:created>
  <dcterms:modified xsi:type="dcterms:W3CDTF">2019-10-08T10:16:00Z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0x01010023AB12927C1DEF47A0067C984201AFF5</vt:lpwstr>
  </property>
</Properties>
</file>