
<file path=[Content_Types].xml><?xml version="1.0" encoding="utf-8"?>
<Types xmlns="http://schemas.openxmlformats.org/package/2006/content-types">
  <Default Extension="xml" ContentType="application/xml"/>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ADDD3" w14:textId="1B0E30FD" w:rsidR="005968BD" w:rsidRDefault="005968BD" w:rsidP="005715C4">
      <w:pPr>
        <w:pStyle w:val="FrontPenspen"/>
        <w:pBdr>
          <w:top w:val="none" w:sz="0" w:space="0" w:color="auto"/>
        </w:pBdr>
        <w:spacing w:after="0"/>
      </w:pPr>
    </w:p>
    <w:p w14:paraId="732C9C79" w14:textId="77777777" w:rsidR="00CE1BFF" w:rsidRDefault="00CE1BFF" w:rsidP="00F368C2">
      <w:pPr>
        <w:pStyle w:val="FrontPenspen"/>
        <w:pBdr>
          <w:top w:val="none" w:sz="0" w:space="0" w:color="auto"/>
        </w:pBdr>
        <w:spacing w:after="2520"/>
      </w:pPr>
    </w:p>
    <w:p w14:paraId="117BD056" w14:textId="77777777" w:rsidR="00012F42" w:rsidRPr="00BF7AD5" w:rsidRDefault="00115168" w:rsidP="00F368C2">
      <w:pPr>
        <w:pStyle w:val="FrontTitle"/>
        <w:pBdr>
          <w:bottom w:val="none" w:sz="0" w:space="0" w:color="auto"/>
        </w:pBdr>
        <w:spacing w:before="100" w:beforeAutospacing="1" w:line="360" w:lineRule="auto"/>
        <w:contextualSpacing/>
        <w:rPr>
          <w:color w:val="003656" w:themeColor="accent4" w:themeTint="E6"/>
        </w:rPr>
      </w:pPr>
      <w:sdt>
        <w:sdtPr>
          <w:rPr>
            <w:b/>
            <w:color w:val="003656" w:themeColor="accent4" w:themeTint="E6"/>
          </w:rPr>
          <w:alias w:val="Title"/>
          <w:id w:val="6722563"/>
          <w:placeholder>
            <w:docPart w:val="B5778D8D701A4C619FB7BB748F40B5BF"/>
          </w:placeholder>
          <w:dataBinding w:prefixMappings="xmlns:ns0='http://purl.org/dc/elements/1.1/' xmlns:ns1='http://schemas.openxmlformats.org/package/2006/metadata/core-properties' " w:xpath="/ns1:coreProperties[1]/ns0:title[1]" w:storeItemID="{6C3C8BC8-F283-45AE-878A-BAB7291924A1}"/>
          <w:text/>
        </w:sdtPr>
        <w:sdtEndPr/>
        <w:sdtContent>
          <w:r w:rsidR="006F5ECE">
            <w:rPr>
              <w:b/>
              <w:color w:val="003656" w:themeColor="accent4" w:themeTint="E6"/>
            </w:rPr>
            <w:t>Technical Briefing Note</w:t>
          </w:r>
        </w:sdtContent>
      </w:sdt>
    </w:p>
    <w:p w14:paraId="55F428D1" w14:textId="06F0C252" w:rsidR="003F7240" w:rsidRPr="00BF7AD5" w:rsidRDefault="00115168" w:rsidP="000A1A32">
      <w:pPr>
        <w:pStyle w:val="FrontTitle"/>
        <w:pBdr>
          <w:bottom w:val="none" w:sz="0" w:space="0" w:color="auto"/>
        </w:pBdr>
        <w:spacing w:after="120" w:line="360" w:lineRule="auto"/>
        <w:contextualSpacing/>
        <w:jc w:val="left"/>
        <w:rPr>
          <w:color w:val="003656" w:themeColor="accent4" w:themeTint="E6"/>
        </w:rPr>
      </w:pPr>
      <w:sdt>
        <w:sdtPr>
          <w:rPr>
            <w:color w:val="003656" w:themeColor="accent4" w:themeTint="E6"/>
          </w:rPr>
          <w:alias w:val="Subject"/>
          <w:id w:val="6722564"/>
          <w:placeholder>
            <w:docPart w:val="F46A8CCDD5324DE3978AB5A49DE18E4B"/>
          </w:placeholder>
          <w:dataBinding w:prefixMappings="xmlns:ns0='http://purl.org/dc/elements/1.1/' xmlns:ns1='http://schemas.openxmlformats.org/package/2006/metadata/core-properties' " w:xpath="/ns1:coreProperties[1]/ns0:subject[1]" w:storeItemID="{6C3C8BC8-F283-45AE-878A-BAB7291924A1}"/>
          <w:text/>
        </w:sdtPr>
        <w:sdtEndPr/>
        <w:sdtContent>
          <w:r w:rsidR="000A1A32">
            <w:rPr>
              <w:color w:val="003656" w:themeColor="accent4" w:themeTint="E6"/>
            </w:rPr>
            <w:t>Gasoline p</w:t>
          </w:r>
          <w:r w:rsidR="00F23D24">
            <w:rPr>
              <w:color w:val="003656" w:themeColor="accent4" w:themeTint="E6"/>
            </w:rPr>
            <w:t xml:space="preserve">ipelines – A </w:t>
          </w:r>
          <w:r w:rsidR="000A1A32">
            <w:rPr>
              <w:color w:val="003656" w:themeColor="accent4" w:themeTint="E6"/>
            </w:rPr>
            <w:t>r</w:t>
          </w:r>
          <w:r w:rsidR="00B24A3F">
            <w:rPr>
              <w:color w:val="003656" w:themeColor="accent4" w:themeTint="E6"/>
            </w:rPr>
            <w:t xml:space="preserve">isk-based </w:t>
          </w:r>
          <w:r w:rsidR="000A1A32">
            <w:rPr>
              <w:color w:val="003656" w:themeColor="accent4" w:themeTint="E6"/>
            </w:rPr>
            <w:t>methodology for calculating land use planning z</w:t>
          </w:r>
          <w:r w:rsidR="00F23D24">
            <w:rPr>
              <w:color w:val="003656" w:themeColor="accent4" w:themeTint="E6"/>
            </w:rPr>
            <w:t>ones</w:t>
          </w:r>
        </w:sdtContent>
      </w:sdt>
    </w:p>
    <w:sdt>
      <w:sdtPr>
        <w:rPr>
          <w:color w:val="003656" w:themeColor="accent4" w:themeTint="E6"/>
          <w:sz w:val="32"/>
          <w:szCs w:val="32"/>
        </w:rPr>
        <w:alias w:val="Comments"/>
        <w:tag w:val=""/>
        <w:id w:val="1506479213"/>
        <w:placeholder>
          <w:docPart w:val="9C1CA94947CB44BCB0E98FD28F75E2F2"/>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2CEAEE6" w14:textId="6B00CF75" w:rsidR="003F7240" w:rsidRPr="00BF7AD5" w:rsidRDefault="006625BD" w:rsidP="00F368C2">
          <w:pPr>
            <w:pStyle w:val="FrontTitle"/>
            <w:pBdr>
              <w:bottom w:val="none" w:sz="0" w:space="0" w:color="auto"/>
            </w:pBdr>
            <w:spacing w:after="120" w:line="360" w:lineRule="auto"/>
            <w:contextualSpacing/>
            <w:rPr>
              <w:color w:val="003656" w:themeColor="accent4" w:themeTint="E6"/>
            </w:rPr>
          </w:pPr>
          <w:r>
            <w:rPr>
              <w:color w:val="003656" w:themeColor="accent4" w:themeTint="E6"/>
              <w:sz w:val="32"/>
              <w:szCs w:val="32"/>
            </w:rPr>
            <w:t>UKOPA/TBN/</w:t>
          </w:r>
          <w:r w:rsidR="00A62F86">
            <w:rPr>
              <w:color w:val="003656" w:themeColor="accent4" w:themeTint="E6"/>
              <w:sz w:val="32"/>
              <w:szCs w:val="32"/>
            </w:rPr>
            <w:t>006</w:t>
          </w:r>
          <w:r w:rsidR="000A1A32">
            <w:rPr>
              <w:color w:val="003656" w:themeColor="accent4" w:themeTint="E6"/>
              <w:sz w:val="32"/>
              <w:szCs w:val="32"/>
            </w:rPr>
            <w:t xml:space="preserve"> Edition 1</w:t>
          </w:r>
        </w:p>
      </w:sdtContent>
    </w:sdt>
    <w:p w14:paraId="1E186049" w14:textId="280CCBA4" w:rsidR="00997863" w:rsidRPr="00BF7AD5" w:rsidRDefault="00115168" w:rsidP="00F368C2">
      <w:pPr>
        <w:pStyle w:val="FrontClient"/>
        <w:spacing w:before="0" w:line="360" w:lineRule="auto"/>
        <w:rPr>
          <w:color w:val="003656" w:themeColor="accent4" w:themeTint="E6"/>
        </w:rPr>
      </w:pPr>
      <w:sdt>
        <w:sdtPr>
          <w:rPr>
            <w:color w:val="003656" w:themeColor="accent4" w:themeTint="E6"/>
            <w:sz w:val="32"/>
            <w:szCs w:val="32"/>
          </w:rPr>
          <w:id w:val="-789435610"/>
          <w:placeholder>
            <w:docPart w:val="6BA14B5C5915438C8CB906455E6D5BB8"/>
          </w:placeholder>
          <w:date w:fullDate="2019-02-01T00:00:00Z">
            <w:dateFormat w:val="MMMM yyyy"/>
            <w:lid w:val="en-GB"/>
            <w:storeMappedDataAs w:val="dateTime"/>
            <w:calendar w:val="gregorian"/>
          </w:date>
        </w:sdtPr>
        <w:sdtEndPr/>
        <w:sdtContent>
          <w:r w:rsidR="000A1A32">
            <w:rPr>
              <w:color w:val="003656" w:themeColor="accent4" w:themeTint="E6"/>
              <w:sz w:val="32"/>
              <w:szCs w:val="32"/>
            </w:rPr>
            <w:t>February 2019</w:t>
          </w:r>
        </w:sdtContent>
      </w:sdt>
    </w:p>
    <w:p w14:paraId="283282E0" w14:textId="77777777" w:rsidR="00997863" w:rsidRDefault="00997863" w:rsidP="00997863">
      <w:pPr>
        <w:rPr>
          <w:rFonts w:ascii="Calibri" w:eastAsiaTheme="majorEastAsia" w:hAnsi="Calibri" w:cstheme="majorBidi"/>
          <w:noProof/>
          <w:sz w:val="36"/>
          <w:szCs w:val="36"/>
        </w:rPr>
      </w:pPr>
    </w:p>
    <w:p w14:paraId="34D38140" w14:textId="77777777" w:rsidR="006F5ECE" w:rsidRPr="00997863" w:rsidRDefault="006F5ECE" w:rsidP="006F5ECE">
      <w:pPr>
        <w:jc w:val="center"/>
      </w:pPr>
    </w:p>
    <w:p w14:paraId="31123EBB" w14:textId="77777777" w:rsidR="00997863" w:rsidRPr="00997863" w:rsidRDefault="00997863" w:rsidP="00FA683B">
      <w:pPr>
        <w:jc w:val="center"/>
      </w:pPr>
    </w:p>
    <w:p w14:paraId="23FD548B" w14:textId="77777777" w:rsidR="00997863" w:rsidRDefault="00997863" w:rsidP="00997863"/>
    <w:p w14:paraId="48A10C59" w14:textId="77777777" w:rsidR="002B6494" w:rsidRDefault="002B6494" w:rsidP="00997863"/>
    <w:p w14:paraId="6563807B" w14:textId="77777777" w:rsidR="002B6494" w:rsidRDefault="002B6494" w:rsidP="00997863"/>
    <w:p w14:paraId="3544D9D5" w14:textId="77777777" w:rsidR="002B6494" w:rsidRDefault="002B6494" w:rsidP="00997863"/>
    <w:p w14:paraId="2D65907B" w14:textId="77777777" w:rsidR="002B6494" w:rsidRDefault="002B6494" w:rsidP="00997863"/>
    <w:p w14:paraId="2C6478D4" w14:textId="77777777" w:rsidR="002B6494" w:rsidRDefault="002B6494" w:rsidP="00997863"/>
    <w:p w14:paraId="257C350F" w14:textId="77777777" w:rsidR="002B6494" w:rsidRPr="00997863" w:rsidRDefault="002B6494" w:rsidP="00997863"/>
    <w:p w14:paraId="290C4456" w14:textId="77777777" w:rsidR="00997863" w:rsidRPr="00997863" w:rsidRDefault="00997863" w:rsidP="00997863"/>
    <w:p w14:paraId="56A66072" w14:textId="77777777" w:rsidR="005968BD" w:rsidRPr="00997863" w:rsidRDefault="005968BD" w:rsidP="002B6494">
      <w:pPr>
        <w:jc w:val="right"/>
        <w:sectPr w:rsidR="005968BD" w:rsidRPr="00997863" w:rsidSect="00C67A85">
          <w:headerReference w:type="default" r:id="rId8"/>
          <w:footerReference w:type="even" r:id="rId9"/>
          <w:footerReference w:type="default" r:id="rId10"/>
          <w:headerReference w:type="first" r:id="rId11"/>
          <w:endnotePr>
            <w:numFmt w:val="decimal"/>
          </w:endnotePr>
          <w:type w:val="continuous"/>
          <w:pgSz w:w="11909" w:h="16834" w:code="9"/>
          <w:pgMar w:top="1385" w:right="720" w:bottom="720" w:left="720" w:header="454" w:footer="958" w:gutter="0"/>
          <w:cols w:space="720"/>
          <w:docGrid w:linePitch="272"/>
        </w:sectPr>
      </w:pPr>
    </w:p>
    <w:p w14:paraId="47CEE103" w14:textId="77777777" w:rsidR="00175244" w:rsidRPr="00175244" w:rsidRDefault="00D83662" w:rsidP="00175244">
      <w:pPr>
        <w:pStyle w:val="BodyText"/>
        <w:ind w:left="284"/>
        <w:rPr>
          <w:rFonts w:cs="Arial"/>
          <w:b/>
          <w:color w:val="003656" w:themeColor="accent4" w:themeTint="E6"/>
        </w:rPr>
      </w:pPr>
      <w:r>
        <w:rPr>
          <w:rFonts w:cs="Arial"/>
          <w:b/>
          <w:color w:val="003656" w:themeColor="accent4" w:themeTint="E6"/>
        </w:rPr>
        <w:lastRenderedPageBreak/>
        <w:t xml:space="preserve">TECHNICAL BRIEFING NOTE </w:t>
      </w:r>
      <w:r w:rsidR="00175244" w:rsidRPr="00175244">
        <w:rPr>
          <w:rFonts w:cs="Arial"/>
          <w:b/>
          <w:color w:val="003656" w:themeColor="accent4" w:themeTint="E6"/>
        </w:rPr>
        <w:t>GUIDANCE ISSUED BY UKOPA:</w:t>
      </w:r>
    </w:p>
    <w:p w14:paraId="669B03A2" w14:textId="77777777" w:rsidR="00175244" w:rsidRPr="007A09E5" w:rsidRDefault="00796ADA" w:rsidP="003C1027">
      <w:pPr>
        <w:pStyle w:val="BodyText"/>
        <w:ind w:left="284"/>
        <w:rPr>
          <w:rFonts w:cs="Arial"/>
        </w:rPr>
      </w:pPr>
      <w:r w:rsidRPr="007A09E5">
        <w:rPr>
          <w:rFonts w:cs="Arial"/>
        </w:rPr>
        <w:t>This Technical Briefing Note (TBN)</w:t>
      </w:r>
      <w:r w:rsidR="007A09E5">
        <w:rPr>
          <w:rFonts w:cs="Arial"/>
        </w:rPr>
        <w:t xml:space="preserve"> identifies</w:t>
      </w:r>
      <w:r w:rsidR="00175244" w:rsidRPr="007A09E5">
        <w:rPr>
          <w:rFonts w:cs="Arial"/>
        </w:rPr>
        <w:t xml:space="preserve"> what is considered by UKOPA to represent current UK pipeline industry good practice within the defined scope of the </w:t>
      </w:r>
      <w:r w:rsidR="003C1027" w:rsidRPr="007A09E5">
        <w:rPr>
          <w:rFonts w:cs="Arial"/>
        </w:rPr>
        <w:t xml:space="preserve">document.  All information is </w:t>
      </w:r>
      <w:r w:rsidR="00175244" w:rsidRPr="007A09E5">
        <w:rPr>
          <w:rFonts w:cs="Arial"/>
        </w:rPr>
        <w:t>guidance and should not be considered obligato</w:t>
      </w:r>
      <w:r w:rsidR="003C1027" w:rsidRPr="007A09E5">
        <w:rPr>
          <w:rFonts w:cs="Arial"/>
        </w:rPr>
        <w:t xml:space="preserve">ry against the judgement of the </w:t>
      </w:r>
      <w:r w:rsidR="00175244" w:rsidRPr="007A09E5">
        <w:rPr>
          <w:rFonts w:cs="Arial"/>
        </w:rPr>
        <w:t xml:space="preserve">Pipeline Owner/Operator.  Where new and better techniques are </w:t>
      </w:r>
      <w:r w:rsidR="007A09E5">
        <w:rPr>
          <w:rFonts w:cs="Arial"/>
        </w:rPr>
        <w:t>developed</w:t>
      </w:r>
      <w:r w:rsidR="00175244" w:rsidRPr="007A09E5">
        <w:rPr>
          <w:rFonts w:cs="Arial"/>
        </w:rPr>
        <w:t xml:space="preserve"> and proved, they should be adopted without waiting for modifications to this</w:t>
      </w:r>
      <w:r w:rsidR="003C1027" w:rsidRPr="007A09E5">
        <w:rPr>
          <w:rFonts w:cs="Arial"/>
        </w:rPr>
        <w:t xml:space="preserve"> TBN.</w:t>
      </w:r>
    </w:p>
    <w:p w14:paraId="63E74BFF" w14:textId="77777777" w:rsidR="00175244" w:rsidRDefault="00175244" w:rsidP="00175244">
      <w:pPr>
        <w:pStyle w:val="BodyText"/>
        <w:ind w:left="284"/>
        <w:rPr>
          <w:rFonts w:cs="Arial"/>
        </w:rPr>
      </w:pPr>
    </w:p>
    <w:p w14:paraId="3B5B4FED" w14:textId="77777777" w:rsidR="00175244" w:rsidRDefault="00175244" w:rsidP="00175244">
      <w:pPr>
        <w:pStyle w:val="BodyText"/>
        <w:ind w:left="284"/>
        <w:rPr>
          <w:rFonts w:cs="Arial"/>
        </w:rPr>
      </w:pPr>
    </w:p>
    <w:p w14:paraId="39160C38" w14:textId="77777777" w:rsidR="00175244" w:rsidRDefault="00175244" w:rsidP="00175244">
      <w:pPr>
        <w:pStyle w:val="BodyText"/>
        <w:ind w:left="284"/>
        <w:rPr>
          <w:rFonts w:cs="Arial"/>
        </w:rPr>
      </w:pPr>
    </w:p>
    <w:p w14:paraId="1DDF8102" w14:textId="77777777" w:rsidR="00916BD5" w:rsidRPr="00BF7AD5" w:rsidRDefault="00916BD5" w:rsidP="00175244">
      <w:pPr>
        <w:pStyle w:val="BodyText"/>
        <w:ind w:left="284"/>
        <w:rPr>
          <w:rFonts w:cs="Arial"/>
          <w:b/>
        </w:rPr>
      </w:pPr>
      <w:r w:rsidRPr="00BF7AD5">
        <w:rPr>
          <w:rFonts w:cs="Arial"/>
        </w:rPr>
        <w:t>Comments, questions and enquiries about this publication should be directed to</w:t>
      </w:r>
      <w:r w:rsidRPr="00BF7AD5">
        <w:rPr>
          <w:rFonts w:cs="Arial"/>
          <w:b/>
        </w:rPr>
        <w:t>:</w:t>
      </w:r>
    </w:p>
    <w:p w14:paraId="2264FA34" w14:textId="77777777" w:rsidR="00916BD5" w:rsidRPr="00175244" w:rsidRDefault="00175244" w:rsidP="00BF7AD5">
      <w:pPr>
        <w:pStyle w:val="BodyText"/>
        <w:spacing w:before="0"/>
        <w:ind w:left="1440"/>
        <w:rPr>
          <w:rFonts w:cs="Arial"/>
          <w:b/>
          <w:color w:val="003656" w:themeColor="accent4" w:themeTint="E6"/>
        </w:rPr>
      </w:pPr>
      <w:r>
        <w:rPr>
          <w:rFonts w:cs="Arial"/>
          <w:b/>
          <w:color w:val="003656" w:themeColor="accent4" w:themeTint="E6"/>
        </w:rPr>
        <w:t>UK</w:t>
      </w:r>
      <w:r w:rsidR="00916BD5" w:rsidRPr="00175244">
        <w:rPr>
          <w:rFonts w:cs="Arial"/>
          <w:b/>
          <w:color w:val="003656" w:themeColor="accent4" w:themeTint="E6"/>
        </w:rPr>
        <w:t xml:space="preserve"> Onshore Pipeline Operators’ Association</w:t>
      </w:r>
    </w:p>
    <w:p w14:paraId="16DF5384" w14:textId="77777777" w:rsidR="00916BD5" w:rsidRPr="00BF7AD5" w:rsidRDefault="00916BD5" w:rsidP="00BF7AD5">
      <w:pPr>
        <w:pStyle w:val="BodyText"/>
        <w:spacing w:before="0"/>
        <w:ind w:left="1440"/>
        <w:rPr>
          <w:rFonts w:cs="Arial"/>
        </w:rPr>
      </w:pPr>
      <w:r w:rsidRPr="00BF7AD5">
        <w:rPr>
          <w:rFonts w:cs="Arial"/>
        </w:rPr>
        <w:t>Pipeline Maintenance Centre</w:t>
      </w:r>
    </w:p>
    <w:p w14:paraId="1093B264" w14:textId="77777777" w:rsidR="00916BD5" w:rsidRPr="00BF7AD5" w:rsidRDefault="00916BD5" w:rsidP="00BF7AD5">
      <w:pPr>
        <w:pStyle w:val="BodyText"/>
        <w:spacing w:before="0"/>
        <w:ind w:left="1440"/>
        <w:rPr>
          <w:rFonts w:cs="Arial"/>
        </w:rPr>
      </w:pPr>
      <w:r w:rsidRPr="00BF7AD5">
        <w:rPr>
          <w:rFonts w:cs="Arial"/>
        </w:rPr>
        <w:t>Ripley Road</w:t>
      </w:r>
    </w:p>
    <w:p w14:paraId="0D2F6C17" w14:textId="77777777" w:rsidR="00916BD5" w:rsidRPr="00BF7AD5" w:rsidRDefault="00916BD5" w:rsidP="00BF7AD5">
      <w:pPr>
        <w:pStyle w:val="BodyText"/>
        <w:spacing w:before="0"/>
        <w:ind w:left="1440"/>
        <w:rPr>
          <w:rFonts w:cs="Arial"/>
        </w:rPr>
      </w:pPr>
      <w:r w:rsidRPr="00BF7AD5">
        <w:rPr>
          <w:rFonts w:cs="Arial"/>
        </w:rPr>
        <w:t>Ambergate</w:t>
      </w:r>
      <w:r w:rsidRPr="00BF7AD5">
        <w:rPr>
          <w:rFonts w:cs="Arial"/>
        </w:rPr>
        <w:tab/>
      </w:r>
    </w:p>
    <w:p w14:paraId="6F5265F3" w14:textId="77777777" w:rsidR="00BF7AD5" w:rsidRPr="00BF7AD5" w:rsidRDefault="00916BD5" w:rsidP="00BF7AD5">
      <w:pPr>
        <w:pStyle w:val="BodyText"/>
        <w:spacing w:before="0"/>
        <w:ind w:left="1440"/>
        <w:rPr>
          <w:rFonts w:cs="Arial"/>
        </w:rPr>
      </w:pPr>
      <w:r w:rsidRPr="00BF7AD5">
        <w:rPr>
          <w:rFonts w:cs="Arial"/>
        </w:rPr>
        <w:t>Derbyshire</w:t>
      </w:r>
    </w:p>
    <w:p w14:paraId="471E12F0" w14:textId="77777777" w:rsidR="00916BD5" w:rsidRPr="00BF7AD5" w:rsidRDefault="00916BD5" w:rsidP="00BF7AD5">
      <w:pPr>
        <w:pStyle w:val="BodyText"/>
        <w:spacing w:before="0"/>
        <w:ind w:left="1440"/>
        <w:rPr>
          <w:rFonts w:cs="Arial"/>
        </w:rPr>
      </w:pPr>
      <w:r w:rsidRPr="00BF7AD5">
        <w:rPr>
          <w:rFonts w:cs="Arial"/>
        </w:rPr>
        <w:t>DE56 2FZ</w:t>
      </w:r>
    </w:p>
    <w:p w14:paraId="67C95E2C" w14:textId="77777777" w:rsidR="00916BD5" w:rsidRDefault="00BF7AD5" w:rsidP="00916BD5">
      <w:pPr>
        <w:pStyle w:val="BodyText"/>
        <w:ind w:left="284"/>
        <w:rPr>
          <w:rFonts w:cs="Arial"/>
          <w:b/>
        </w:rPr>
      </w:pPr>
      <w:r w:rsidRPr="00175244">
        <w:rPr>
          <w:rFonts w:cs="Arial"/>
          <w:b/>
          <w:color w:val="003656" w:themeColor="accent4" w:themeTint="E6"/>
        </w:rPr>
        <w:t>E</w:t>
      </w:r>
      <w:r w:rsidR="00916BD5" w:rsidRPr="00175244">
        <w:rPr>
          <w:rFonts w:cs="Arial"/>
          <w:b/>
          <w:color w:val="003656" w:themeColor="accent4" w:themeTint="E6"/>
        </w:rPr>
        <w:t xml:space="preserve">-mail: </w:t>
      </w:r>
      <w:hyperlink r:id="rId12" w:history="1">
        <w:r w:rsidR="00916BD5" w:rsidRPr="00BF7AD5">
          <w:rPr>
            <w:rStyle w:val="Hyperlink"/>
            <w:rFonts w:cs="Arial"/>
            <w:b/>
          </w:rPr>
          <w:t>enquiries@ukopa.co.uk</w:t>
        </w:r>
      </w:hyperlink>
    </w:p>
    <w:p w14:paraId="332EA7C9" w14:textId="77777777" w:rsidR="0072154B" w:rsidRPr="00BF7AD5" w:rsidRDefault="0072154B" w:rsidP="00916BD5">
      <w:pPr>
        <w:pStyle w:val="BodyText"/>
        <w:ind w:left="284"/>
        <w:rPr>
          <w:rFonts w:cs="Arial"/>
          <w:b/>
        </w:rPr>
      </w:pPr>
      <w:r w:rsidRPr="00175244">
        <w:rPr>
          <w:rFonts w:cs="Arial"/>
          <w:b/>
          <w:color w:val="003656" w:themeColor="accent4" w:themeTint="E6"/>
        </w:rPr>
        <w:t>Website:</w:t>
      </w:r>
      <w:r>
        <w:t xml:space="preserve"> </w:t>
      </w:r>
      <w:hyperlink r:id="rId13" w:history="1">
        <w:r w:rsidRPr="0072154B">
          <w:rPr>
            <w:rStyle w:val="Hyperlink"/>
            <w:rFonts w:cs="Arial"/>
            <w:b/>
          </w:rPr>
          <w:t>www.UKOPA.co.uk</w:t>
        </w:r>
      </w:hyperlink>
    </w:p>
    <w:p w14:paraId="1FE78FC8" w14:textId="77777777" w:rsidR="00BF7AD5" w:rsidRDefault="00BF7AD5" w:rsidP="00916BD5">
      <w:pPr>
        <w:pStyle w:val="BodyText"/>
        <w:ind w:left="284"/>
        <w:rPr>
          <w:rFonts w:cs="Arial"/>
          <w:b/>
          <w:sz w:val="16"/>
          <w:szCs w:val="16"/>
        </w:rPr>
      </w:pPr>
    </w:p>
    <w:p w14:paraId="1183A342" w14:textId="77777777" w:rsidR="009F334C" w:rsidRPr="00175244" w:rsidRDefault="009F334C" w:rsidP="00916BD5">
      <w:pPr>
        <w:pStyle w:val="BodyText"/>
        <w:ind w:left="284"/>
        <w:rPr>
          <w:rFonts w:cs="Arial"/>
          <w:b/>
          <w:color w:val="003656" w:themeColor="accent4" w:themeTint="E6"/>
          <w:sz w:val="16"/>
          <w:szCs w:val="16"/>
        </w:rPr>
      </w:pPr>
      <w:r w:rsidRPr="00175244">
        <w:rPr>
          <w:rFonts w:cs="Arial"/>
          <w:b/>
          <w:color w:val="003656" w:themeColor="accent4" w:themeTint="E6"/>
          <w:sz w:val="16"/>
          <w:szCs w:val="16"/>
        </w:rPr>
        <w:t>Disclaimer</w:t>
      </w:r>
    </w:p>
    <w:p w14:paraId="021AC5EA" w14:textId="77777777" w:rsidR="009F334C" w:rsidRPr="009F334C" w:rsidRDefault="009F334C" w:rsidP="009F334C">
      <w:pPr>
        <w:pStyle w:val="BodyText"/>
        <w:ind w:left="284"/>
        <w:rPr>
          <w:rFonts w:cs="Arial"/>
          <w:sz w:val="16"/>
          <w:szCs w:val="16"/>
        </w:rPr>
      </w:pPr>
      <w:r w:rsidRPr="009F334C">
        <w:rPr>
          <w:rFonts w:cs="Arial"/>
          <w:sz w:val="16"/>
          <w:szCs w:val="16"/>
        </w:rPr>
        <w:t>This document is protected by copyright and may not be reproduced in whole or in part, by any means without the prior approval in writing of UKOPA. The information contained in this document is provided as guidance only and while every reasonable care has been taken to ensure the accuracy of its contents, UKOPA cannot accept any responsibility for any action taken, or not taken, on the basis of this information. UKOPA shall not be liable to any person for any loss or damage which may arise from the use of any of the information contained in any of its publications. The document must be read in its entirety and is subject to any assumptions and qualifications expressed therein. UKOPA documents may contain detailed technical data which is intended for analysis only by persons possessing requisite expertise in its subject matter.</w:t>
      </w:r>
    </w:p>
    <w:p w14:paraId="5827588E" w14:textId="75898822" w:rsidR="009F334C" w:rsidRPr="009F334C" w:rsidRDefault="009F334C" w:rsidP="009F334C">
      <w:pPr>
        <w:pStyle w:val="BodyText"/>
        <w:ind w:left="284"/>
        <w:rPr>
          <w:rFonts w:cs="Arial"/>
          <w:sz w:val="16"/>
          <w:szCs w:val="16"/>
        </w:rPr>
      </w:pPr>
      <w:r w:rsidRPr="009F334C">
        <w:rPr>
          <w:rFonts w:cs="Arial"/>
          <w:sz w:val="16"/>
          <w:szCs w:val="16"/>
        </w:rPr>
        <w:t xml:space="preserve">Copyright </w:t>
      </w:r>
      <w:r w:rsidR="008F7278">
        <w:rPr>
          <w:rFonts w:cstheme="minorHAnsi"/>
          <w:sz w:val="16"/>
          <w:szCs w:val="16"/>
        </w:rPr>
        <w:t xml:space="preserve">© </w:t>
      </w:r>
      <w:r w:rsidR="00916BD5">
        <w:rPr>
          <w:rFonts w:cs="Arial"/>
          <w:sz w:val="16"/>
          <w:szCs w:val="16"/>
        </w:rPr>
        <w:fldChar w:fldCharType="begin"/>
      </w:r>
      <w:r w:rsidR="00916BD5">
        <w:rPr>
          <w:rFonts w:cs="Arial"/>
          <w:sz w:val="16"/>
          <w:szCs w:val="16"/>
        </w:rPr>
        <w:instrText xml:space="preserve"> DATE  \@ "yyyy"  \* MERGEFORMAT </w:instrText>
      </w:r>
      <w:r w:rsidR="00916BD5">
        <w:rPr>
          <w:rFonts w:cs="Arial"/>
          <w:sz w:val="16"/>
          <w:szCs w:val="16"/>
        </w:rPr>
        <w:fldChar w:fldCharType="separate"/>
      </w:r>
      <w:r w:rsidR="000A1A32">
        <w:rPr>
          <w:rFonts w:cs="Arial"/>
          <w:noProof/>
          <w:sz w:val="16"/>
          <w:szCs w:val="16"/>
        </w:rPr>
        <w:t>2019</w:t>
      </w:r>
      <w:r w:rsidR="00916BD5">
        <w:rPr>
          <w:rFonts w:cs="Arial"/>
          <w:sz w:val="16"/>
          <w:szCs w:val="16"/>
        </w:rPr>
        <w:fldChar w:fldCharType="end"/>
      </w:r>
      <w:r w:rsidRPr="009F334C">
        <w:rPr>
          <w:rFonts w:cs="Arial"/>
          <w:sz w:val="16"/>
          <w:szCs w:val="16"/>
        </w:rPr>
        <w:t>, UKOPA.  All rights reserved</w:t>
      </w:r>
      <w:r w:rsidR="008F7278">
        <w:rPr>
          <w:rFonts w:cs="Arial"/>
          <w:sz w:val="16"/>
          <w:szCs w:val="16"/>
        </w:rPr>
        <w:t>.</w:t>
      </w:r>
    </w:p>
    <w:p w14:paraId="787D226A" w14:textId="77777777" w:rsidR="002F1438" w:rsidRPr="00175244" w:rsidRDefault="002F1438" w:rsidP="00BF7AD5">
      <w:pPr>
        <w:pStyle w:val="BodyText"/>
        <w:ind w:left="284"/>
        <w:rPr>
          <w:rFonts w:cs="Arial"/>
          <w:b/>
          <w:color w:val="003656" w:themeColor="accent4" w:themeTint="E6"/>
        </w:rPr>
      </w:pPr>
      <w:r w:rsidRPr="00175244">
        <w:rPr>
          <w:rFonts w:cs="Arial"/>
          <w:b/>
          <w:color w:val="003656" w:themeColor="accent4" w:themeTint="E6"/>
        </w:rPr>
        <w:t xml:space="preserve">Revision and </w:t>
      </w:r>
      <w:r w:rsidR="00E4585D" w:rsidRPr="00175244">
        <w:rPr>
          <w:rFonts w:cs="Arial"/>
          <w:b/>
          <w:color w:val="003656" w:themeColor="accent4" w:themeTint="E6"/>
        </w:rPr>
        <w:t>change c</w:t>
      </w:r>
      <w:r w:rsidRPr="00175244">
        <w:rPr>
          <w:rFonts w:cs="Arial"/>
          <w:b/>
          <w:color w:val="003656" w:themeColor="accent4" w:themeTint="E6"/>
        </w:rPr>
        <w:t xml:space="preserve">ontrol </w:t>
      </w:r>
      <w:r w:rsidR="00E4585D" w:rsidRPr="00175244">
        <w:rPr>
          <w:rFonts w:cs="Arial"/>
          <w:b/>
          <w:color w:val="003656" w:themeColor="accent4" w:themeTint="E6"/>
        </w:rPr>
        <w:t>h</w:t>
      </w:r>
      <w:r w:rsidRPr="00175244">
        <w:rPr>
          <w:rFonts w:cs="Arial"/>
          <w:b/>
          <w:color w:val="003656" w:themeColor="accent4" w:themeTint="E6"/>
        </w:rPr>
        <w:t>istory</w:t>
      </w:r>
    </w:p>
    <w:p w14:paraId="739E43C0" w14:textId="1FF7DD7A" w:rsidR="00916BD5" w:rsidRPr="00175244" w:rsidRDefault="00916BD5" w:rsidP="00BF7AD5">
      <w:pPr>
        <w:pStyle w:val="BodyText"/>
        <w:ind w:left="284"/>
        <w:rPr>
          <w:rFonts w:cs="Arial"/>
          <w:b/>
          <w:color w:val="003656" w:themeColor="accent4" w:themeTint="E6"/>
        </w:rPr>
      </w:pPr>
      <w:r w:rsidRPr="00175244">
        <w:rPr>
          <w:rFonts w:cs="Arial"/>
          <w:b/>
          <w:color w:val="003656" w:themeColor="accent4" w:themeTint="E6"/>
        </w:rPr>
        <w:t>Planned revision:</w:t>
      </w:r>
      <w:r w:rsidR="00AE55B8">
        <w:rPr>
          <w:rFonts w:cs="Arial"/>
          <w:b/>
          <w:color w:val="003656" w:themeColor="accent4" w:themeTint="E6"/>
        </w:rPr>
        <w:t xml:space="preserve"> January 2024</w:t>
      </w:r>
    </w:p>
    <w:tbl>
      <w:tblPr>
        <w:tblStyle w:val="TableGrid"/>
        <w:tblW w:w="0" w:type="auto"/>
        <w:tblLook w:val="04A0" w:firstRow="1" w:lastRow="0" w:firstColumn="1" w:lastColumn="0" w:noHBand="0" w:noVBand="1"/>
      </w:tblPr>
      <w:tblGrid>
        <w:gridCol w:w="1417"/>
        <w:gridCol w:w="1701"/>
        <w:gridCol w:w="1843"/>
        <w:gridCol w:w="3990"/>
      </w:tblGrid>
      <w:tr w:rsidR="00F12BCC" w14:paraId="349D8A5A" w14:textId="77777777" w:rsidTr="00F90A7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7" w:type="dxa"/>
            <w:shd w:val="clear" w:color="auto" w:fill="E5E0DB" w:themeFill="background1" w:themeFillShade="E6"/>
          </w:tcPr>
          <w:p w14:paraId="199A17B6" w14:textId="77777777" w:rsidR="002F1438" w:rsidRPr="00A06D46" w:rsidRDefault="00533EE5" w:rsidP="002F1438">
            <w:pPr>
              <w:jc w:val="center"/>
              <w:rPr>
                <w:b w:val="0"/>
                <w:szCs w:val="18"/>
              </w:rPr>
            </w:pPr>
            <w:r>
              <w:rPr>
                <w:szCs w:val="18"/>
              </w:rPr>
              <w:t>Edition</w:t>
            </w:r>
          </w:p>
        </w:tc>
        <w:tc>
          <w:tcPr>
            <w:tcW w:w="1701" w:type="dxa"/>
            <w:shd w:val="clear" w:color="auto" w:fill="E5E0DB" w:themeFill="background1" w:themeFillShade="E6"/>
          </w:tcPr>
          <w:p w14:paraId="478C5771" w14:textId="77777777" w:rsidR="002F1438" w:rsidRPr="00A06D46" w:rsidRDefault="002F1438" w:rsidP="00AE55B8">
            <w:pPr>
              <w:jc w:val="cente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Date</w:t>
            </w:r>
          </w:p>
        </w:tc>
        <w:tc>
          <w:tcPr>
            <w:tcW w:w="1843" w:type="dxa"/>
            <w:shd w:val="clear" w:color="auto" w:fill="E5E0DB" w:themeFill="background1" w:themeFillShade="E6"/>
          </w:tcPr>
          <w:p w14:paraId="6E0357F9" w14:textId="77777777" w:rsidR="002F1438" w:rsidRPr="00A06D46" w:rsidRDefault="002F1438" w:rsidP="00AE55B8">
            <w:pPr>
              <w:jc w:val="cente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No. of </w:t>
            </w:r>
            <w:r w:rsidR="00F12BCC">
              <w:rPr>
                <w:szCs w:val="18"/>
              </w:rPr>
              <w:t>p</w:t>
            </w:r>
            <w:r w:rsidRPr="00A06D46">
              <w:rPr>
                <w:szCs w:val="18"/>
              </w:rPr>
              <w:t>ages</w:t>
            </w:r>
          </w:p>
        </w:tc>
        <w:tc>
          <w:tcPr>
            <w:tcW w:w="3990" w:type="dxa"/>
            <w:shd w:val="clear" w:color="auto" w:fill="E5E0DB" w:themeFill="background1" w:themeFillShade="E6"/>
          </w:tcPr>
          <w:p w14:paraId="1152E811" w14:textId="77777777" w:rsidR="002F1438" w:rsidRPr="00A06D4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Summary of </w:t>
            </w:r>
            <w:r w:rsidR="00F12BCC">
              <w:rPr>
                <w:szCs w:val="18"/>
              </w:rPr>
              <w:t>c</w:t>
            </w:r>
            <w:r w:rsidRPr="00A06D46">
              <w:rPr>
                <w:szCs w:val="18"/>
              </w:rPr>
              <w:t>hanges</w:t>
            </w:r>
          </w:p>
        </w:tc>
      </w:tr>
      <w:tr w:rsidR="00F12BCC" w14:paraId="0A7B3D86"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444EE0CC" w14:textId="77777777" w:rsidR="00F12BCC" w:rsidRDefault="00533EE5" w:rsidP="002F1438">
            <w:pPr>
              <w:jc w:val="center"/>
              <w:rPr>
                <w:b/>
                <w:szCs w:val="18"/>
              </w:rPr>
            </w:pPr>
            <w:bookmarkStart w:id="0" w:name="_GoBack"/>
            <w:bookmarkEnd w:id="0"/>
            <w:r>
              <w:rPr>
                <w:b/>
                <w:szCs w:val="18"/>
              </w:rPr>
              <w:t>1</w:t>
            </w:r>
          </w:p>
        </w:tc>
        <w:tc>
          <w:tcPr>
            <w:tcW w:w="1701" w:type="dxa"/>
          </w:tcPr>
          <w:p w14:paraId="2112CB47" w14:textId="0B3BC260" w:rsidR="00F12BCC" w:rsidRPr="0018347E" w:rsidRDefault="000A1A32" w:rsidP="00AE55B8">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February 2019</w:t>
            </w:r>
          </w:p>
        </w:tc>
        <w:tc>
          <w:tcPr>
            <w:tcW w:w="1843" w:type="dxa"/>
          </w:tcPr>
          <w:p w14:paraId="690D1C1C" w14:textId="2D834E62" w:rsidR="00F12BCC" w:rsidRPr="0018347E" w:rsidRDefault="000A1A32" w:rsidP="00AE55B8">
            <w:pPr>
              <w:jc w:val="center"/>
              <w:cnfStyle w:val="000000000000" w:firstRow="0" w:lastRow="0" w:firstColumn="0" w:lastColumn="0" w:oddVBand="0" w:evenVBand="0" w:oddHBand="0" w:evenHBand="0" w:firstRowFirstColumn="0" w:firstRowLastColumn="0" w:lastRowFirstColumn="0" w:lastRowLastColumn="0"/>
              <w:rPr>
                <w:szCs w:val="18"/>
              </w:rPr>
            </w:pPr>
            <w:r>
              <w:rPr>
                <w:szCs w:val="18"/>
              </w:rPr>
              <w:t>18</w:t>
            </w:r>
          </w:p>
        </w:tc>
        <w:tc>
          <w:tcPr>
            <w:tcW w:w="3990" w:type="dxa"/>
          </w:tcPr>
          <w:p w14:paraId="36FC5CA7" w14:textId="2162D40E" w:rsidR="00F12BCC" w:rsidRPr="0018347E" w:rsidRDefault="000A1A32"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For publication</w:t>
            </w:r>
          </w:p>
        </w:tc>
      </w:tr>
    </w:tbl>
    <w:p w14:paraId="34F402C4" w14:textId="77777777" w:rsidR="00675D04" w:rsidRDefault="00675D04" w:rsidP="0053157C">
      <w:pPr>
        <w:pStyle w:val="RevisionBoxHeading"/>
      </w:pPr>
    </w:p>
    <w:p w14:paraId="101ADED1" w14:textId="77777777" w:rsidR="00675D04" w:rsidRDefault="00675D04" w:rsidP="00675D04">
      <w:pPr>
        <w:sectPr w:rsidR="00675D04" w:rsidSect="00AE212D">
          <w:headerReference w:type="default" r:id="rId14"/>
          <w:footerReference w:type="default" r:id="rId15"/>
          <w:headerReference w:type="first" r:id="rId16"/>
          <w:endnotePr>
            <w:numFmt w:val="decimal"/>
          </w:endnotePr>
          <w:pgSz w:w="11909" w:h="16834" w:code="9"/>
          <w:pgMar w:top="1418" w:right="1418" w:bottom="709" w:left="1418" w:header="709" w:footer="709" w:gutter="0"/>
          <w:cols w:space="720"/>
          <w:formProt w:val="0"/>
          <w:vAlign w:val="bottom"/>
          <w:docGrid w:linePitch="272"/>
        </w:sectPr>
      </w:pPr>
    </w:p>
    <w:p w14:paraId="71E2A195" w14:textId="77777777" w:rsidR="0072154B" w:rsidRDefault="0072154B" w:rsidP="00F97F6F">
      <w:pPr>
        <w:pStyle w:val="HeadingContents"/>
      </w:pPr>
    </w:p>
    <w:p w14:paraId="1E5DD109" w14:textId="77777777" w:rsidR="005968BD" w:rsidRPr="00656B98" w:rsidRDefault="005968BD" w:rsidP="00F97F6F">
      <w:pPr>
        <w:pStyle w:val="HeadingContents"/>
        <w:rPr>
          <w:color w:val="003656" w:themeColor="accent4" w:themeTint="E6"/>
        </w:rPr>
      </w:pPr>
      <w:r w:rsidRPr="00656B98">
        <w:rPr>
          <w:color w:val="003656" w:themeColor="accent4" w:themeTint="E6"/>
        </w:rPr>
        <w:t>Contents</w:t>
      </w:r>
    </w:p>
    <w:p w14:paraId="3DF58B09" w14:textId="30FA4295" w:rsidR="003E2B32" w:rsidRDefault="0095301A">
      <w:pPr>
        <w:pStyle w:val="TOC1"/>
        <w:rPr>
          <w:rFonts w:eastAsiaTheme="minorEastAsia" w:cstheme="minorBidi"/>
          <w:b w:val="0"/>
          <w:sz w:val="22"/>
          <w:szCs w:val="22"/>
          <w:lang w:eastAsia="en-GB"/>
        </w:rPr>
      </w:pPr>
      <w:r>
        <w:rPr>
          <w:rFonts w:ascii="Arial Bold" w:hAnsi="Arial Bold"/>
          <w:b w:val="0"/>
        </w:rPr>
        <w:fldChar w:fldCharType="begin"/>
      </w:r>
      <w:r w:rsidR="005968BD">
        <w:rPr>
          <w:b w:val="0"/>
        </w:rPr>
        <w:instrText xml:space="preserve"> TOC \o "1-2" \h \z \t "Appendix,2" </w:instrText>
      </w:r>
      <w:r>
        <w:rPr>
          <w:rFonts w:ascii="Arial Bold" w:hAnsi="Arial Bold"/>
          <w:b w:val="0"/>
        </w:rPr>
        <w:fldChar w:fldCharType="separate"/>
      </w:r>
      <w:hyperlink w:anchor="_Toc531017320" w:history="1">
        <w:r w:rsidR="003E2B32" w:rsidRPr="007C1FCB">
          <w:rPr>
            <w:rStyle w:val="Hyperlink"/>
          </w:rPr>
          <w:t>1.</w:t>
        </w:r>
        <w:r w:rsidR="003E2B32">
          <w:rPr>
            <w:rFonts w:eastAsiaTheme="minorEastAsia" w:cstheme="minorBidi"/>
            <w:b w:val="0"/>
            <w:sz w:val="22"/>
            <w:szCs w:val="22"/>
            <w:lang w:eastAsia="en-GB"/>
          </w:rPr>
          <w:tab/>
        </w:r>
        <w:r w:rsidR="003E2B32" w:rsidRPr="007C1FCB">
          <w:rPr>
            <w:rStyle w:val="Hyperlink"/>
          </w:rPr>
          <w:t>Introduction</w:t>
        </w:r>
        <w:r w:rsidR="003E2B32">
          <w:rPr>
            <w:webHidden/>
          </w:rPr>
          <w:tab/>
        </w:r>
        <w:r w:rsidR="003E2B32">
          <w:rPr>
            <w:webHidden/>
          </w:rPr>
          <w:fldChar w:fldCharType="begin"/>
        </w:r>
        <w:r w:rsidR="003E2B32">
          <w:rPr>
            <w:webHidden/>
          </w:rPr>
          <w:instrText xml:space="preserve"> PAGEREF _Toc531017320 \h </w:instrText>
        </w:r>
        <w:r w:rsidR="003E2B32">
          <w:rPr>
            <w:webHidden/>
          </w:rPr>
        </w:r>
        <w:r w:rsidR="003E2B32">
          <w:rPr>
            <w:webHidden/>
          </w:rPr>
          <w:fldChar w:fldCharType="separate"/>
        </w:r>
        <w:r w:rsidR="003E2B32">
          <w:rPr>
            <w:webHidden/>
          </w:rPr>
          <w:t>1</w:t>
        </w:r>
        <w:r w:rsidR="003E2B32">
          <w:rPr>
            <w:webHidden/>
          </w:rPr>
          <w:fldChar w:fldCharType="end"/>
        </w:r>
      </w:hyperlink>
    </w:p>
    <w:p w14:paraId="0FE3BD5A" w14:textId="0E06F8FB" w:rsidR="003E2B32" w:rsidRDefault="00115168">
      <w:pPr>
        <w:pStyle w:val="TOC2"/>
        <w:rPr>
          <w:rFonts w:eastAsiaTheme="minorEastAsia" w:cstheme="minorBidi"/>
          <w:sz w:val="22"/>
          <w:szCs w:val="22"/>
          <w:lang w:eastAsia="en-GB"/>
        </w:rPr>
      </w:pPr>
      <w:hyperlink w:anchor="_Toc531017321" w:history="1">
        <w:r w:rsidR="003E2B32" w:rsidRPr="007C1FCB">
          <w:rPr>
            <w:rStyle w:val="Hyperlink"/>
          </w:rPr>
          <w:t>1.1</w:t>
        </w:r>
        <w:r w:rsidR="003E2B32">
          <w:rPr>
            <w:rFonts w:eastAsiaTheme="minorEastAsia" w:cstheme="minorBidi"/>
            <w:sz w:val="22"/>
            <w:szCs w:val="22"/>
            <w:lang w:eastAsia="en-GB"/>
          </w:rPr>
          <w:tab/>
        </w:r>
        <w:r w:rsidR="003E2B32" w:rsidRPr="007C1FCB">
          <w:rPr>
            <w:rStyle w:val="Hyperlink"/>
          </w:rPr>
          <w:t>Abbreviations</w:t>
        </w:r>
        <w:r w:rsidR="003E2B32">
          <w:rPr>
            <w:webHidden/>
          </w:rPr>
          <w:tab/>
        </w:r>
        <w:r w:rsidR="003E2B32">
          <w:rPr>
            <w:webHidden/>
          </w:rPr>
          <w:fldChar w:fldCharType="begin"/>
        </w:r>
        <w:r w:rsidR="003E2B32">
          <w:rPr>
            <w:webHidden/>
          </w:rPr>
          <w:instrText xml:space="preserve"> PAGEREF _Toc531017321 \h </w:instrText>
        </w:r>
        <w:r w:rsidR="003E2B32">
          <w:rPr>
            <w:webHidden/>
          </w:rPr>
        </w:r>
        <w:r w:rsidR="003E2B32">
          <w:rPr>
            <w:webHidden/>
          </w:rPr>
          <w:fldChar w:fldCharType="separate"/>
        </w:r>
        <w:r w:rsidR="003E2B32">
          <w:rPr>
            <w:webHidden/>
          </w:rPr>
          <w:t>1</w:t>
        </w:r>
        <w:r w:rsidR="003E2B32">
          <w:rPr>
            <w:webHidden/>
          </w:rPr>
          <w:fldChar w:fldCharType="end"/>
        </w:r>
      </w:hyperlink>
    </w:p>
    <w:p w14:paraId="2EE3DA72" w14:textId="07E4900D" w:rsidR="003E2B32" w:rsidRDefault="00115168">
      <w:pPr>
        <w:pStyle w:val="TOC1"/>
        <w:rPr>
          <w:rFonts w:eastAsiaTheme="minorEastAsia" w:cstheme="minorBidi"/>
          <w:b w:val="0"/>
          <w:sz w:val="22"/>
          <w:szCs w:val="22"/>
          <w:lang w:eastAsia="en-GB"/>
        </w:rPr>
      </w:pPr>
      <w:hyperlink w:anchor="_Toc531017322" w:history="1">
        <w:r w:rsidR="003E2B32" w:rsidRPr="007C1FCB">
          <w:rPr>
            <w:rStyle w:val="Hyperlink"/>
          </w:rPr>
          <w:t>2.</w:t>
        </w:r>
        <w:r w:rsidR="003E2B32">
          <w:rPr>
            <w:rFonts w:eastAsiaTheme="minorEastAsia" w:cstheme="minorBidi"/>
            <w:b w:val="0"/>
            <w:sz w:val="22"/>
            <w:szCs w:val="22"/>
            <w:lang w:eastAsia="en-GB"/>
          </w:rPr>
          <w:tab/>
        </w:r>
        <w:r w:rsidR="003E2B32" w:rsidRPr="007C1FCB">
          <w:rPr>
            <w:rStyle w:val="Hyperlink"/>
          </w:rPr>
          <w:t>History of the Development of LUP Zones</w:t>
        </w:r>
        <w:r w:rsidR="003E2B32">
          <w:rPr>
            <w:webHidden/>
          </w:rPr>
          <w:tab/>
        </w:r>
        <w:r w:rsidR="003E2B32">
          <w:rPr>
            <w:webHidden/>
          </w:rPr>
          <w:fldChar w:fldCharType="begin"/>
        </w:r>
        <w:r w:rsidR="003E2B32">
          <w:rPr>
            <w:webHidden/>
          </w:rPr>
          <w:instrText xml:space="preserve"> PAGEREF _Toc531017322 \h </w:instrText>
        </w:r>
        <w:r w:rsidR="003E2B32">
          <w:rPr>
            <w:webHidden/>
          </w:rPr>
        </w:r>
        <w:r w:rsidR="003E2B32">
          <w:rPr>
            <w:webHidden/>
          </w:rPr>
          <w:fldChar w:fldCharType="separate"/>
        </w:r>
        <w:r w:rsidR="003E2B32">
          <w:rPr>
            <w:webHidden/>
          </w:rPr>
          <w:t>3</w:t>
        </w:r>
        <w:r w:rsidR="003E2B32">
          <w:rPr>
            <w:webHidden/>
          </w:rPr>
          <w:fldChar w:fldCharType="end"/>
        </w:r>
      </w:hyperlink>
    </w:p>
    <w:p w14:paraId="76401C74" w14:textId="4DB71569" w:rsidR="003E2B32" w:rsidRDefault="00115168">
      <w:pPr>
        <w:pStyle w:val="TOC2"/>
        <w:rPr>
          <w:rFonts w:eastAsiaTheme="minorEastAsia" w:cstheme="minorBidi"/>
          <w:sz w:val="22"/>
          <w:szCs w:val="22"/>
          <w:lang w:eastAsia="en-GB"/>
        </w:rPr>
      </w:pPr>
      <w:hyperlink w:anchor="_Toc531017323" w:history="1">
        <w:r w:rsidR="003E2B32" w:rsidRPr="007C1FCB">
          <w:rPr>
            <w:rStyle w:val="Hyperlink"/>
          </w:rPr>
          <w:t>2.1</w:t>
        </w:r>
        <w:r w:rsidR="003E2B32">
          <w:rPr>
            <w:rFonts w:eastAsiaTheme="minorEastAsia" w:cstheme="minorBidi"/>
            <w:sz w:val="22"/>
            <w:szCs w:val="22"/>
            <w:lang w:eastAsia="en-GB"/>
          </w:rPr>
          <w:tab/>
        </w:r>
        <w:r w:rsidR="003E2B32" w:rsidRPr="007C1FCB">
          <w:rPr>
            <w:rStyle w:val="Hyperlink"/>
          </w:rPr>
          <w:t>Non-Inclusion in the Pipelines Safety Regulations 1996</w:t>
        </w:r>
        <w:r w:rsidR="003E2B32">
          <w:rPr>
            <w:webHidden/>
          </w:rPr>
          <w:tab/>
        </w:r>
        <w:r w:rsidR="003E2B32">
          <w:rPr>
            <w:webHidden/>
          </w:rPr>
          <w:fldChar w:fldCharType="begin"/>
        </w:r>
        <w:r w:rsidR="003E2B32">
          <w:rPr>
            <w:webHidden/>
          </w:rPr>
          <w:instrText xml:space="preserve"> PAGEREF _Toc531017323 \h </w:instrText>
        </w:r>
        <w:r w:rsidR="003E2B32">
          <w:rPr>
            <w:webHidden/>
          </w:rPr>
        </w:r>
        <w:r w:rsidR="003E2B32">
          <w:rPr>
            <w:webHidden/>
          </w:rPr>
          <w:fldChar w:fldCharType="separate"/>
        </w:r>
        <w:r w:rsidR="003E2B32">
          <w:rPr>
            <w:webHidden/>
          </w:rPr>
          <w:t>3</w:t>
        </w:r>
        <w:r w:rsidR="003E2B32">
          <w:rPr>
            <w:webHidden/>
          </w:rPr>
          <w:fldChar w:fldCharType="end"/>
        </w:r>
      </w:hyperlink>
    </w:p>
    <w:p w14:paraId="14909491" w14:textId="484D8E74" w:rsidR="003E2B32" w:rsidRDefault="00115168">
      <w:pPr>
        <w:pStyle w:val="TOC2"/>
        <w:rPr>
          <w:rFonts w:eastAsiaTheme="minorEastAsia" w:cstheme="minorBidi"/>
          <w:sz w:val="22"/>
          <w:szCs w:val="22"/>
          <w:lang w:eastAsia="en-GB"/>
        </w:rPr>
      </w:pPr>
      <w:hyperlink w:anchor="_Toc531017324" w:history="1">
        <w:r w:rsidR="003E2B32" w:rsidRPr="007C1FCB">
          <w:rPr>
            <w:rStyle w:val="Hyperlink"/>
          </w:rPr>
          <w:t>2.2</w:t>
        </w:r>
        <w:r w:rsidR="003E2B32">
          <w:rPr>
            <w:rFonts w:eastAsiaTheme="minorEastAsia" w:cstheme="minorBidi"/>
            <w:sz w:val="22"/>
            <w:szCs w:val="22"/>
            <w:lang w:eastAsia="en-GB"/>
          </w:rPr>
          <w:tab/>
        </w:r>
        <w:r w:rsidR="003E2B32" w:rsidRPr="007C1FCB">
          <w:rPr>
            <w:rStyle w:val="Hyperlink"/>
          </w:rPr>
          <w:t>Joint HSE-UKOPA Discussions 2003-2004</w:t>
        </w:r>
        <w:r w:rsidR="003E2B32">
          <w:rPr>
            <w:webHidden/>
          </w:rPr>
          <w:tab/>
        </w:r>
        <w:r w:rsidR="003E2B32">
          <w:rPr>
            <w:webHidden/>
          </w:rPr>
          <w:fldChar w:fldCharType="begin"/>
        </w:r>
        <w:r w:rsidR="003E2B32">
          <w:rPr>
            <w:webHidden/>
          </w:rPr>
          <w:instrText xml:space="preserve"> PAGEREF _Toc531017324 \h </w:instrText>
        </w:r>
        <w:r w:rsidR="003E2B32">
          <w:rPr>
            <w:webHidden/>
          </w:rPr>
        </w:r>
        <w:r w:rsidR="003E2B32">
          <w:rPr>
            <w:webHidden/>
          </w:rPr>
          <w:fldChar w:fldCharType="separate"/>
        </w:r>
        <w:r w:rsidR="003E2B32">
          <w:rPr>
            <w:webHidden/>
          </w:rPr>
          <w:t>3</w:t>
        </w:r>
        <w:r w:rsidR="003E2B32">
          <w:rPr>
            <w:webHidden/>
          </w:rPr>
          <w:fldChar w:fldCharType="end"/>
        </w:r>
      </w:hyperlink>
    </w:p>
    <w:p w14:paraId="09A02D0F" w14:textId="62A1E787" w:rsidR="003E2B32" w:rsidRDefault="00115168">
      <w:pPr>
        <w:pStyle w:val="TOC2"/>
        <w:rPr>
          <w:rFonts w:eastAsiaTheme="minorEastAsia" w:cstheme="minorBidi"/>
          <w:sz w:val="22"/>
          <w:szCs w:val="22"/>
          <w:lang w:eastAsia="en-GB"/>
        </w:rPr>
      </w:pPr>
      <w:hyperlink w:anchor="_Toc531017325" w:history="1">
        <w:r w:rsidR="003E2B32" w:rsidRPr="007C1FCB">
          <w:rPr>
            <w:rStyle w:val="Hyperlink"/>
          </w:rPr>
          <w:t>2.3</w:t>
        </w:r>
        <w:r w:rsidR="003E2B32">
          <w:rPr>
            <w:rFonts w:eastAsiaTheme="minorEastAsia" w:cstheme="minorBidi"/>
            <w:sz w:val="22"/>
            <w:szCs w:val="22"/>
            <w:lang w:eastAsia="en-GB"/>
          </w:rPr>
          <w:tab/>
        </w:r>
        <w:r w:rsidR="003E2B32" w:rsidRPr="007C1FCB">
          <w:rPr>
            <w:rStyle w:val="Hyperlink"/>
          </w:rPr>
          <w:t>Post-Buncefield Intention to Include Gasoline in PSR Amendment 2010</w:t>
        </w:r>
        <w:r w:rsidR="003E2B32">
          <w:rPr>
            <w:webHidden/>
          </w:rPr>
          <w:tab/>
        </w:r>
        <w:r w:rsidR="003E2B32">
          <w:rPr>
            <w:webHidden/>
          </w:rPr>
          <w:fldChar w:fldCharType="begin"/>
        </w:r>
        <w:r w:rsidR="003E2B32">
          <w:rPr>
            <w:webHidden/>
          </w:rPr>
          <w:instrText xml:space="preserve"> PAGEREF _Toc531017325 \h </w:instrText>
        </w:r>
        <w:r w:rsidR="003E2B32">
          <w:rPr>
            <w:webHidden/>
          </w:rPr>
        </w:r>
        <w:r w:rsidR="003E2B32">
          <w:rPr>
            <w:webHidden/>
          </w:rPr>
          <w:fldChar w:fldCharType="separate"/>
        </w:r>
        <w:r w:rsidR="003E2B32">
          <w:rPr>
            <w:webHidden/>
          </w:rPr>
          <w:t>3</w:t>
        </w:r>
        <w:r w:rsidR="003E2B32">
          <w:rPr>
            <w:webHidden/>
          </w:rPr>
          <w:fldChar w:fldCharType="end"/>
        </w:r>
      </w:hyperlink>
    </w:p>
    <w:p w14:paraId="60ED5CA2" w14:textId="41BED82B" w:rsidR="003E2B32" w:rsidRDefault="00115168">
      <w:pPr>
        <w:pStyle w:val="TOC2"/>
        <w:rPr>
          <w:rFonts w:eastAsiaTheme="minorEastAsia" w:cstheme="minorBidi"/>
          <w:sz w:val="22"/>
          <w:szCs w:val="22"/>
          <w:lang w:eastAsia="en-GB"/>
        </w:rPr>
      </w:pPr>
      <w:hyperlink w:anchor="_Toc531017326" w:history="1">
        <w:r w:rsidR="003E2B32" w:rsidRPr="007C1FCB">
          <w:rPr>
            <w:rStyle w:val="Hyperlink"/>
          </w:rPr>
          <w:t>2.4</w:t>
        </w:r>
        <w:r w:rsidR="003E2B32">
          <w:rPr>
            <w:rFonts w:eastAsiaTheme="minorEastAsia" w:cstheme="minorBidi"/>
            <w:sz w:val="22"/>
            <w:szCs w:val="22"/>
            <w:lang w:eastAsia="en-GB"/>
          </w:rPr>
          <w:tab/>
        </w:r>
        <w:r w:rsidR="003E2B32" w:rsidRPr="007C1FCB">
          <w:rPr>
            <w:rStyle w:val="Hyperlink"/>
          </w:rPr>
          <w:t>UKOPA Develops Robust Methodology</w:t>
        </w:r>
        <w:r w:rsidR="003E2B32">
          <w:rPr>
            <w:webHidden/>
          </w:rPr>
          <w:tab/>
        </w:r>
        <w:r w:rsidR="003E2B32">
          <w:rPr>
            <w:webHidden/>
          </w:rPr>
          <w:fldChar w:fldCharType="begin"/>
        </w:r>
        <w:r w:rsidR="003E2B32">
          <w:rPr>
            <w:webHidden/>
          </w:rPr>
          <w:instrText xml:space="preserve"> PAGEREF _Toc531017326 \h </w:instrText>
        </w:r>
        <w:r w:rsidR="003E2B32">
          <w:rPr>
            <w:webHidden/>
          </w:rPr>
        </w:r>
        <w:r w:rsidR="003E2B32">
          <w:rPr>
            <w:webHidden/>
          </w:rPr>
          <w:fldChar w:fldCharType="separate"/>
        </w:r>
        <w:r w:rsidR="003E2B32">
          <w:rPr>
            <w:webHidden/>
          </w:rPr>
          <w:t>3</w:t>
        </w:r>
        <w:r w:rsidR="003E2B32">
          <w:rPr>
            <w:webHidden/>
          </w:rPr>
          <w:fldChar w:fldCharType="end"/>
        </w:r>
      </w:hyperlink>
    </w:p>
    <w:p w14:paraId="0D0797EF" w14:textId="7B703B70" w:rsidR="003E2B32" w:rsidRDefault="00115168">
      <w:pPr>
        <w:pStyle w:val="TOC2"/>
        <w:rPr>
          <w:rFonts w:eastAsiaTheme="minorEastAsia" w:cstheme="minorBidi"/>
          <w:sz w:val="22"/>
          <w:szCs w:val="22"/>
          <w:lang w:eastAsia="en-GB"/>
        </w:rPr>
      </w:pPr>
      <w:hyperlink w:anchor="_Toc531017327" w:history="1">
        <w:r w:rsidR="003E2B32" w:rsidRPr="007C1FCB">
          <w:rPr>
            <w:rStyle w:val="Hyperlink"/>
          </w:rPr>
          <w:t>2.5</w:t>
        </w:r>
        <w:r w:rsidR="003E2B32">
          <w:rPr>
            <w:rFonts w:eastAsiaTheme="minorEastAsia" w:cstheme="minorBidi"/>
            <w:sz w:val="22"/>
            <w:szCs w:val="22"/>
            <w:lang w:eastAsia="en-GB"/>
          </w:rPr>
          <w:tab/>
        </w:r>
        <w:r w:rsidR="003E2B32" w:rsidRPr="007C1FCB">
          <w:rPr>
            <w:rStyle w:val="Hyperlink"/>
          </w:rPr>
          <w:t>HSE Decision Not to Proceed 2012</w:t>
        </w:r>
        <w:r w:rsidR="003E2B32">
          <w:rPr>
            <w:webHidden/>
          </w:rPr>
          <w:tab/>
        </w:r>
        <w:r w:rsidR="003E2B32">
          <w:rPr>
            <w:webHidden/>
          </w:rPr>
          <w:fldChar w:fldCharType="begin"/>
        </w:r>
        <w:r w:rsidR="003E2B32">
          <w:rPr>
            <w:webHidden/>
          </w:rPr>
          <w:instrText xml:space="preserve"> PAGEREF _Toc531017327 \h </w:instrText>
        </w:r>
        <w:r w:rsidR="003E2B32">
          <w:rPr>
            <w:webHidden/>
          </w:rPr>
        </w:r>
        <w:r w:rsidR="003E2B32">
          <w:rPr>
            <w:webHidden/>
          </w:rPr>
          <w:fldChar w:fldCharType="separate"/>
        </w:r>
        <w:r w:rsidR="003E2B32">
          <w:rPr>
            <w:webHidden/>
          </w:rPr>
          <w:t>4</w:t>
        </w:r>
        <w:r w:rsidR="003E2B32">
          <w:rPr>
            <w:webHidden/>
          </w:rPr>
          <w:fldChar w:fldCharType="end"/>
        </w:r>
      </w:hyperlink>
    </w:p>
    <w:p w14:paraId="775C6092" w14:textId="3215EB98" w:rsidR="003E2B32" w:rsidRDefault="00115168">
      <w:pPr>
        <w:pStyle w:val="TOC2"/>
        <w:rPr>
          <w:rFonts w:eastAsiaTheme="minorEastAsia" w:cstheme="minorBidi"/>
          <w:sz w:val="22"/>
          <w:szCs w:val="22"/>
          <w:lang w:eastAsia="en-GB"/>
        </w:rPr>
      </w:pPr>
      <w:hyperlink w:anchor="_Toc531017328" w:history="1">
        <w:r w:rsidR="003E2B32" w:rsidRPr="007C1FCB">
          <w:rPr>
            <w:rStyle w:val="Hyperlink"/>
          </w:rPr>
          <w:t>2.6</w:t>
        </w:r>
        <w:r w:rsidR="003E2B32">
          <w:rPr>
            <w:rFonts w:eastAsiaTheme="minorEastAsia" w:cstheme="minorBidi"/>
            <w:sz w:val="22"/>
            <w:szCs w:val="22"/>
            <w:lang w:eastAsia="en-GB"/>
          </w:rPr>
          <w:tab/>
        </w:r>
        <w:r w:rsidR="003E2B32" w:rsidRPr="007C1FCB">
          <w:rPr>
            <w:rStyle w:val="Hyperlink"/>
          </w:rPr>
          <w:t>Current Situation</w:t>
        </w:r>
        <w:r w:rsidR="003E2B32">
          <w:rPr>
            <w:webHidden/>
          </w:rPr>
          <w:tab/>
        </w:r>
        <w:r w:rsidR="003E2B32">
          <w:rPr>
            <w:webHidden/>
          </w:rPr>
          <w:fldChar w:fldCharType="begin"/>
        </w:r>
        <w:r w:rsidR="003E2B32">
          <w:rPr>
            <w:webHidden/>
          </w:rPr>
          <w:instrText xml:space="preserve"> PAGEREF _Toc531017328 \h </w:instrText>
        </w:r>
        <w:r w:rsidR="003E2B32">
          <w:rPr>
            <w:webHidden/>
          </w:rPr>
        </w:r>
        <w:r w:rsidR="003E2B32">
          <w:rPr>
            <w:webHidden/>
          </w:rPr>
          <w:fldChar w:fldCharType="separate"/>
        </w:r>
        <w:r w:rsidR="003E2B32">
          <w:rPr>
            <w:webHidden/>
          </w:rPr>
          <w:t>4</w:t>
        </w:r>
        <w:r w:rsidR="003E2B32">
          <w:rPr>
            <w:webHidden/>
          </w:rPr>
          <w:fldChar w:fldCharType="end"/>
        </w:r>
      </w:hyperlink>
    </w:p>
    <w:p w14:paraId="2DF1BC73" w14:textId="0176A3C6" w:rsidR="003E2B32" w:rsidRDefault="00115168">
      <w:pPr>
        <w:pStyle w:val="TOC1"/>
        <w:rPr>
          <w:rFonts w:eastAsiaTheme="minorEastAsia" w:cstheme="minorBidi"/>
          <w:b w:val="0"/>
          <w:sz w:val="22"/>
          <w:szCs w:val="22"/>
          <w:lang w:eastAsia="en-GB"/>
        </w:rPr>
      </w:pPr>
      <w:hyperlink w:anchor="_Toc531017329" w:history="1">
        <w:r w:rsidR="003E2B32" w:rsidRPr="007C1FCB">
          <w:rPr>
            <w:rStyle w:val="Hyperlink"/>
          </w:rPr>
          <w:t>3.</w:t>
        </w:r>
        <w:r w:rsidR="003E2B32">
          <w:rPr>
            <w:rFonts w:eastAsiaTheme="minorEastAsia" w:cstheme="minorBidi"/>
            <w:b w:val="0"/>
            <w:sz w:val="22"/>
            <w:szCs w:val="22"/>
            <w:lang w:eastAsia="en-GB"/>
          </w:rPr>
          <w:tab/>
        </w:r>
        <w:r w:rsidR="003E2B32" w:rsidRPr="007C1FCB">
          <w:rPr>
            <w:rStyle w:val="Hyperlink"/>
          </w:rPr>
          <w:t>Gasoline Pipelines QRA Methodology</w:t>
        </w:r>
        <w:r w:rsidR="003E2B32">
          <w:rPr>
            <w:webHidden/>
          </w:rPr>
          <w:tab/>
        </w:r>
        <w:r w:rsidR="003E2B32">
          <w:rPr>
            <w:webHidden/>
          </w:rPr>
          <w:fldChar w:fldCharType="begin"/>
        </w:r>
        <w:r w:rsidR="003E2B32">
          <w:rPr>
            <w:webHidden/>
          </w:rPr>
          <w:instrText xml:space="preserve"> PAGEREF _Toc531017329 \h </w:instrText>
        </w:r>
        <w:r w:rsidR="003E2B32">
          <w:rPr>
            <w:webHidden/>
          </w:rPr>
        </w:r>
        <w:r w:rsidR="003E2B32">
          <w:rPr>
            <w:webHidden/>
          </w:rPr>
          <w:fldChar w:fldCharType="separate"/>
        </w:r>
        <w:r w:rsidR="003E2B32">
          <w:rPr>
            <w:webHidden/>
          </w:rPr>
          <w:t>5</w:t>
        </w:r>
        <w:r w:rsidR="003E2B32">
          <w:rPr>
            <w:webHidden/>
          </w:rPr>
          <w:fldChar w:fldCharType="end"/>
        </w:r>
      </w:hyperlink>
    </w:p>
    <w:p w14:paraId="2DD7418C" w14:textId="582ABCBF" w:rsidR="003E2B32" w:rsidRDefault="00115168">
      <w:pPr>
        <w:pStyle w:val="TOC2"/>
        <w:rPr>
          <w:rFonts w:eastAsiaTheme="minorEastAsia" w:cstheme="minorBidi"/>
          <w:sz w:val="22"/>
          <w:szCs w:val="22"/>
          <w:lang w:eastAsia="en-GB"/>
        </w:rPr>
      </w:pPr>
      <w:hyperlink w:anchor="_Toc531017330" w:history="1">
        <w:r w:rsidR="003E2B32" w:rsidRPr="007C1FCB">
          <w:rPr>
            <w:rStyle w:val="Hyperlink"/>
          </w:rPr>
          <w:t>3.1</w:t>
        </w:r>
        <w:r w:rsidR="003E2B32">
          <w:rPr>
            <w:rFonts w:eastAsiaTheme="minorEastAsia" w:cstheme="minorBidi"/>
            <w:sz w:val="22"/>
            <w:szCs w:val="22"/>
            <w:lang w:eastAsia="en-GB"/>
          </w:rPr>
          <w:tab/>
        </w:r>
        <w:r w:rsidR="003E2B32" w:rsidRPr="007C1FCB">
          <w:rPr>
            <w:rStyle w:val="Hyperlink"/>
          </w:rPr>
          <w:t>Failure Rates</w:t>
        </w:r>
        <w:r w:rsidR="003E2B32">
          <w:rPr>
            <w:webHidden/>
          </w:rPr>
          <w:tab/>
        </w:r>
        <w:r w:rsidR="003E2B32">
          <w:rPr>
            <w:webHidden/>
          </w:rPr>
          <w:fldChar w:fldCharType="begin"/>
        </w:r>
        <w:r w:rsidR="003E2B32">
          <w:rPr>
            <w:webHidden/>
          </w:rPr>
          <w:instrText xml:space="preserve"> PAGEREF _Toc531017330 \h </w:instrText>
        </w:r>
        <w:r w:rsidR="003E2B32">
          <w:rPr>
            <w:webHidden/>
          </w:rPr>
        </w:r>
        <w:r w:rsidR="003E2B32">
          <w:rPr>
            <w:webHidden/>
          </w:rPr>
          <w:fldChar w:fldCharType="separate"/>
        </w:r>
        <w:r w:rsidR="003E2B32">
          <w:rPr>
            <w:webHidden/>
          </w:rPr>
          <w:t>5</w:t>
        </w:r>
        <w:r w:rsidR="003E2B32">
          <w:rPr>
            <w:webHidden/>
          </w:rPr>
          <w:fldChar w:fldCharType="end"/>
        </w:r>
      </w:hyperlink>
    </w:p>
    <w:p w14:paraId="35FA736C" w14:textId="74BF8916" w:rsidR="003E2B32" w:rsidRDefault="00115168">
      <w:pPr>
        <w:pStyle w:val="TOC2"/>
        <w:rPr>
          <w:rFonts w:eastAsiaTheme="minorEastAsia" w:cstheme="minorBidi"/>
          <w:sz w:val="22"/>
          <w:szCs w:val="22"/>
          <w:lang w:eastAsia="en-GB"/>
        </w:rPr>
      </w:pPr>
      <w:hyperlink w:anchor="_Toc531017331" w:history="1">
        <w:r w:rsidR="003E2B32" w:rsidRPr="007C1FCB">
          <w:rPr>
            <w:rStyle w:val="Hyperlink"/>
          </w:rPr>
          <w:t>3.2</w:t>
        </w:r>
        <w:r w:rsidR="003E2B32">
          <w:rPr>
            <w:rFonts w:eastAsiaTheme="minorEastAsia" w:cstheme="minorBidi"/>
            <w:sz w:val="22"/>
            <w:szCs w:val="22"/>
            <w:lang w:eastAsia="en-GB"/>
          </w:rPr>
          <w:tab/>
        </w:r>
        <w:r w:rsidR="003E2B32" w:rsidRPr="007C1FCB">
          <w:rPr>
            <w:rStyle w:val="Hyperlink"/>
          </w:rPr>
          <w:t>Consequence Analysis</w:t>
        </w:r>
        <w:r w:rsidR="003E2B32">
          <w:rPr>
            <w:webHidden/>
          </w:rPr>
          <w:tab/>
        </w:r>
        <w:r w:rsidR="003E2B32">
          <w:rPr>
            <w:webHidden/>
          </w:rPr>
          <w:fldChar w:fldCharType="begin"/>
        </w:r>
        <w:r w:rsidR="003E2B32">
          <w:rPr>
            <w:webHidden/>
          </w:rPr>
          <w:instrText xml:space="preserve"> PAGEREF _Toc531017331 \h </w:instrText>
        </w:r>
        <w:r w:rsidR="003E2B32">
          <w:rPr>
            <w:webHidden/>
          </w:rPr>
        </w:r>
        <w:r w:rsidR="003E2B32">
          <w:rPr>
            <w:webHidden/>
          </w:rPr>
          <w:fldChar w:fldCharType="separate"/>
        </w:r>
        <w:r w:rsidR="003E2B32">
          <w:rPr>
            <w:webHidden/>
          </w:rPr>
          <w:t>7</w:t>
        </w:r>
        <w:r w:rsidR="003E2B32">
          <w:rPr>
            <w:webHidden/>
          </w:rPr>
          <w:fldChar w:fldCharType="end"/>
        </w:r>
      </w:hyperlink>
    </w:p>
    <w:p w14:paraId="642ACEB9" w14:textId="4714E2C6" w:rsidR="003E2B32" w:rsidRDefault="00115168">
      <w:pPr>
        <w:pStyle w:val="TOC1"/>
        <w:rPr>
          <w:rFonts w:eastAsiaTheme="minorEastAsia" w:cstheme="minorBidi"/>
          <w:b w:val="0"/>
          <w:sz w:val="22"/>
          <w:szCs w:val="22"/>
          <w:lang w:eastAsia="en-GB"/>
        </w:rPr>
      </w:pPr>
      <w:hyperlink w:anchor="_Toc531017332" w:history="1">
        <w:r w:rsidR="003E2B32" w:rsidRPr="007C1FCB">
          <w:rPr>
            <w:rStyle w:val="Hyperlink"/>
          </w:rPr>
          <w:t>4.</w:t>
        </w:r>
        <w:r w:rsidR="003E2B32">
          <w:rPr>
            <w:rFonts w:eastAsiaTheme="minorEastAsia" w:cstheme="minorBidi"/>
            <w:b w:val="0"/>
            <w:sz w:val="22"/>
            <w:szCs w:val="22"/>
            <w:lang w:eastAsia="en-GB"/>
          </w:rPr>
          <w:tab/>
        </w:r>
        <w:r w:rsidR="003E2B32" w:rsidRPr="007C1FCB">
          <w:rPr>
            <w:rStyle w:val="Hyperlink"/>
          </w:rPr>
          <w:t>Derivation of Proposed LUP Zones</w:t>
        </w:r>
        <w:r w:rsidR="003E2B32">
          <w:rPr>
            <w:webHidden/>
          </w:rPr>
          <w:tab/>
        </w:r>
        <w:r w:rsidR="003E2B32">
          <w:rPr>
            <w:webHidden/>
          </w:rPr>
          <w:fldChar w:fldCharType="begin"/>
        </w:r>
        <w:r w:rsidR="003E2B32">
          <w:rPr>
            <w:webHidden/>
          </w:rPr>
          <w:instrText xml:space="preserve"> PAGEREF _Toc531017332 \h </w:instrText>
        </w:r>
        <w:r w:rsidR="003E2B32">
          <w:rPr>
            <w:webHidden/>
          </w:rPr>
        </w:r>
        <w:r w:rsidR="003E2B32">
          <w:rPr>
            <w:webHidden/>
          </w:rPr>
          <w:fldChar w:fldCharType="separate"/>
        </w:r>
        <w:r w:rsidR="003E2B32">
          <w:rPr>
            <w:webHidden/>
          </w:rPr>
          <w:t>13</w:t>
        </w:r>
        <w:r w:rsidR="003E2B32">
          <w:rPr>
            <w:webHidden/>
          </w:rPr>
          <w:fldChar w:fldCharType="end"/>
        </w:r>
      </w:hyperlink>
    </w:p>
    <w:p w14:paraId="59497CE7" w14:textId="31A88B61" w:rsidR="003E2B32" w:rsidRDefault="00115168">
      <w:pPr>
        <w:pStyle w:val="TOC2"/>
        <w:rPr>
          <w:rFonts w:eastAsiaTheme="minorEastAsia" w:cstheme="minorBidi"/>
          <w:sz w:val="22"/>
          <w:szCs w:val="22"/>
          <w:lang w:eastAsia="en-GB"/>
        </w:rPr>
      </w:pPr>
      <w:hyperlink w:anchor="_Toc531017333" w:history="1">
        <w:r w:rsidR="003E2B32" w:rsidRPr="007C1FCB">
          <w:rPr>
            <w:rStyle w:val="Hyperlink"/>
          </w:rPr>
          <w:t>4.1</w:t>
        </w:r>
        <w:r w:rsidR="003E2B32">
          <w:rPr>
            <w:rFonts w:eastAsiaTheme="minorEastAsia" w:cstheme="minorBidi"/>
            <w:sz w:val="22"/>
            <w:szCs w:val="22"/>
            <w:lang w:eastAsia="en-GB"/>
          </w:rPr>
          <w:tab/>
        </w:r>
        <w:r w:rsidR="003E2B32" w:rsidRPr="007C1FCB">
          <w:rPr>
            <w:rStyle w:val="Hyperlink"/>
          </w:rPr>
          <w:t>Individual Risk</w:t>
        </w:r>
        <w:r w:rsidR="003E2B32">
          <w:rPr>
            <w:webHidden/>
          </w:rPr>
          <w:tab/>
        </w:r>
        <w:r w:rsidR="003E2B32">
          <w:rPr>
            <w:webHidden/>
          </w:rPr>
          <w:fldChar w:fldCharType="begin"/>
        </w:r>
        <w:r w:rsidR="003E2B32">
          <w:rPr>
            <w:webHidden/>
          </w:rPr>
          <w:instrText xml:space="preserve"> PAGEREF _Toc531017333 \h </w:instrText>
        </w:r>
        <w:r w:rsidR="003E2B32">
          <w:rPr>
            <w:webHidden/>
          </w:rPr>
        </w:r>
        <w:r w:rsidR="003E2B32">
          <w:rPr>
            <w:webHidden/>
          </w:rPr>
          <w:fldChar w:fldCharType="separate"/>
        </w:r>
        <w:r w:rsidR="003E2B32">
          <w:rPr>
            <w:webHidden/>
          </w:rPr>
          <w:t>13</w:t>
        </w:r>
        <w:r w:rsidR="003E2B32">
          <w:rPr>
            <w:webHidden/>
          </w:rPr>
          <w:fldChar w:fldCharType="end"/>
        </w:r>
      </w:hyperlink>
    </w:p>
    <w:p w14:paraId="734980C2" w14:textId="3AC8364F" w:rsidR="003E2B32" w:rsidRDefault="00115168">
      <w:pPr>
        <w:pStyle w:val="TOC1"/>
        <w:rPr>
          <w:rFonts w:eastAsiaTheme="minorEastAsia" w:cstheme="minorBidi"/>
          <w:b w:val="0"/>
          <w:sz w:val="22"/>
          <w:szCs w:val="22"/>
          <w:lang w:eastAsia="en-GB"/>
        </w:rPr>
      </w:pPr>
      <w:hyperlink w:anchor="_Toc531017334" w:history="1">
        <w:r w:rsidR="003E2B32" w:rsidRPr="007C1FCB">
          <w:rPr>
            <w:rStyle w:val="Hyperlink"/>
          </w:rPr>
          <w:t>5.</w:t>
        </w:r>
        <w:r w:rsidR="003E2B32">
          <w:rPr>
            <w:rFonts w:eastAsiaTheme="minorEastAsia" w:cstheme="minorBidi"/>
            <w:b w:val="0"/>
            <w:sz w:val="22"/>
            <w:szCs w:val="22"/>
            <w:lang w:eastAsia="en-GB"/>
          </w:rPr>
          <w:tab/>
        </w:r>
        <w:r w:rsidR="003E2B32" w:rsidRPr="007C1FCB">
          <w:rPr>
            <w:rStyle w:val="Hyperlink"/>
          </w:rPr>
          <w:t>Application of Societal Risk</w:t>
        </w:r>
        <w:r w:rsidR="003E2B32">
          <w:rPr>
            <w:webHidden/>
          </w:rPr>
          <w:tab/>
        </w:r>
        <w:r w:rsidR="003E2B32">
          <w:rPr>
            <w:webHidden/>
          </w:rPr>
          <w:fldChar w:fldCharType="begin"/>
        </w:r>
        <w:r w:rsidR="003E2B32">
          <w:rPr>
            <w:webHidden/>
          </w:rPr>
          <w:instrText xml:space="preserve"> PAGEREF _Toc531017334 \h </w:instrText>
        </w:r>
        <w:r w:rsidR="003E2B32">
          <w:rPr>
            <w:webHidden/>
          </w:rPr>
        </w:r>
        <w:r w:rsidR="003E2B32">
          <w:rPr>
            <w:webHidden/>
          </w:rPr>
          <w:fldChar w:fldCharType="separate"/>
        </w:r>
        <w:r w:rsidR="003E2B32">
          <w:rPr>
            <w:webHidden/>
          </w:rPr>
          <w:t>16</w:t>
        </w:r>
        <w:r w:rsidR="003E2B32">
          <w:rPr>
            <w:webHidden/>
          </w:rPr>
          <w:fldChar w:fldCharType="end"/>
        </w:r>
      </w:hyperlink>
    </w:p>
    <w:p w14:paraId="65DD8052" w14:textId="1F28598F" w:rsidR="003E2B32" w:rsidRDefault="00115168">
      <w:pPr>
        <w:pStyle w:val="TOC2"/>
        <w:rPr>
          <w:rFonts w:eastAsiaTheme="minorEastAsia" w:cstheme="minorBidi"/>
          <w:sz w:val="22"/>
          <w:szCs w:val="22"/>
          <w:lang w:eastAsia="en-GB"/>
        </w:rPr>
      </w:pPr>
      <w:hyperlink w:anchor="_Toc531017335" w:history="1">
        <w:r w:rsidR="003E2B32" w:rsidRPr="007C1FCB">
          <w:rPr>
            <w:rStyle w:val="Hyperlink"/>
          </w:rPr>
          <w:t>5.1</w:t>
        </w:r>
        <w:r w:rsidR="003E2B32">
          <w:rPr>
            <w:rFonts w:eastAsiaTheme="minorEastAsia" w:cstheme="minorBidi"/>
            <w:sz w:val="22"/>
            <w:szCs w:val="22"/>
            <w:lang w:eastAsia="en-GB"/>
          </w:rPr>
          <w:tab/>
        </w:r>
        <w:r w:rsidR="003E2B32" w:rsidRPr="007C1FCB">
          <w:rPr>
            <w:rStyle w:val="Hyperlink"/>
          </w:rPr>
          <w:t>PD 8010-3 FN Criterion Line</w:t>
        </w:r>
        <w:r w:rsidR="003E2B32">
          <w:rPr>
            <w:webHidden/>
          </w:rPr>
          <w:tab/>
        </w:r>
        <w:r w:rsidR="003E2B32">
          <w:rPr>
            <w:webHidden/>
          </w:rPr>
          <w:fldChar w:fldCharType="begin"/>
        </w:r>
        <w:r w:rsidR="003E2B32">
          <w:rPr>
            <w:webHidden/>
          </w:rPr>
          <w:instrText xml:space="preserve"> PAGEREF _Toc531017335 \h </w:instrText>
        </w:r>
        <w:r w:rsidR="003E2B32">
          <w:rPr>
            <w:webHidden/>
          </w:rPr>
        </w:r>
        <w:r w:rsidR="003E2B32">
          <w:rPr>
            <w:webHidden/>
          </w:rPr>
          <w:fldChar w:fldCharType="separate"/>
        </w:r>
        <w:r w:rsidR="003E2B32">
          <w:rPr>
            <w:webHidden/>
          </w:rPr>
          <w:t>16</w:t>
        </w:r>
        <w:r w:rsidR="003E2B32">
          <w:rPr>
            <w:webHidden/>
          </w:rPr>
          <w:fldChar w:fldCharType="end"/>
        </w:r>
      </w:hyperlink>
    </w:p>
    <w:p w14:paraId="7D90AEB7" w14:textId="44231A7C" w:rsidR="003E2B32" w:rsidRDefault="00115168">
      <w:pPr>
        <w:pStyle w:val="TOC1"/>
        <w:rPr>
          <w:rFonts w:eastAsiaTheme="minorEastAsia" w:cstheme="minorBidi"/>
          <w:b w:val="0"/>
          <w:sz w:val="22"/>
          <w:szCs w:val="22"/>
          <w:lang w:eastAsia="en-GB"/>
        </w:rPr>
      </w:pPr>
      <w:hyperlink w:anchor="_Toc531017336" w:history="1">
        <w:r w:rsidR="003E2B32" w:rsidRPr="007C1FCB">
          <w:rPr>
            <w:rStyle w:val="Hyperlink"/>
          </w:rPr>
          <w:t>6.</w:t>
        </w:r>
        <w:r w:rsidR="003E2B32">
          <w:rPr>
            <w:rFonts w:eastAsiaTheme="minorEastAsia" w:cstheme="minorBidi"/>
            <w:b w:val="0"/>
            <w:sz w:val="22"/>
            <w:szCs w:val="22"/>
            <w:lang w:eastAsia="en-GB"/>
          </w:rPr>
          <w:tab/>
        </w:r>
        <w:r w:rsidR="003E2B32" w:rsidRPr="007C1FCB">
          <w:rPr>
            <w:rStyle w:val="Hyperlink"/>
          </w:rPr>
          <w:t>References</w:t>
        </w:r>
        <w:r w:rsidR="003E2B32">
          <w:rPr>
            <w:webHidden/>
          </w:rPr>
          <w:tab/>
        </w:r>
        <w:r w:rsidR="003E2B32">
          <w:rPr>
            <w:webHidden/>
          </w:rPr>
          <w:fldChar w:fldCharType="begin"/>
        </w:r>
        <w:r w:rsidR="003E2B32">
          <w:rPr>
            <w:webHidden/>
          </w:rPr>
          <w:instrText xml:space="preserve"> PAGEREF _Toc531017336 \h </w:instrText>
        </w:r>
        <w:r w:rsidR="003E2B32">
          <w:rPr>
            <w:webHidden/>
          </w:rPr>
        </w:r>
        <w:r w:rsidR="003E2B32">
          <w:rPr>
            <w:webHidden/>
          </w:rPr>
          <w:fldChar w:fldCharType="separate"/>
        </w:r>
        <w:r w:rsidR="003E2B32">
          <w:rPr>
            <w:webHidden/>
          </w:rPr>
          <w:t>17</w:t>
        </w:r>
        <w:r w:rsidR="003E2B32">
          <w:rPr>
            <w:webHidden/>
          </w:rPr>
          <w:fldChar w:fldCharType="end"/>
        </w:r>
      </w:hyperlink>
    </w:p>
    <w:p w14:paraId="1B552760" w14:textId="500A80A1" w:rsidR="00F97F6F" w:rsidRDefault="0095301A" w:rsidP="00805A9C">
      <w:r>
        <w:rPr>
          <w:noProof/>
        </w:rPr>
        <w:fldChar w:fldCharType="end"/>
      </w:r>
    </w:p>
    <w:p w14:paraId="2CD4532F" w14:textId="77777777" w:rsidR="00B16B51" w:rsidRPr="00805A9C" w:rsidRDefault="00B16B51" w:rsidP="00805A9C">
      <w:pPr>
        <w:sectPr w:rsidR="00B16B51" w:rsidRPr="00805A9C" w:rsidSect="007D70C0">
          <w:headerReference w:type="default" r:id="rId17"/>
          <w:footerReference w:type="default" r:id="rId18"/>
          <w:endnotePr>
            <w:numFmt w:val="decimal"/>
          </w:endnotePr>
          <w:pgSz w:w="11909" w:h="16834" w:code="9"/>
          <w:pgMar w:top="1952" w:right="1418" w:bottom="709" w:left="1418" w:header="709" w:footer="706" w:gutter="0"/>
          <w:cols w:space="720"/>
          <w:formProt w:val="0"/>
          <w:docGrid w:linePitch="272"/>
        </w:sectPr>
      </w:pPr>
    </w:p>
    <w:p w14:paraId="68880C96" w14:textId="20A02306" w:rsidR="005968BD" w:rsidRDefault="00C77FAD" w:rsidP="008E4FFC">
      <w:pPr>
        <w:pStyle w:val="Heading1"/>
      </w:pPr>
      <w:bookmarkStart w:id="1" w:name="_Toc531017320"/>
      <w:r>
        <w:lastRenderedPageBreak/>
        <w:t>Introduction</w:t>
      </w:r>
      <w:bookmarkEnd w:id="1"/>
    </w:p>
    <w:p w14:paraId="569E2408" w14:textId="640CE714" w:rsidR="00607672" w:rsidRDefault="00607672" w:rsidP="005A0526">
      <w:pPr>
        <w:pStyle w:val="BodyText"/>
      </w:pPr>
      <w:r>
        <w:t>At present</w:t>
      </w:r>
      <w:r w:rsidR="00704507">
        <w:t xml:space="preserve"> gasoline pipelines in the UK are not </w:t>
      </w:r>
      <w:r w:rsidR="0047670C">
        <w:t>classified</w:t>
      </w:r>
      <w:r w:rsidR="00704507">
        <w:t xml:space="preserve"> as Major Accident Hazard Pipelines (MAHPs)</w:t>
      </w:r>
      <w:r w:rsidR="00E733AD">
        <w:t xml:space="preserve"> as defined by the Pipelines Safety Regulations (PSR) 1996</w:t>
      </w:r>
      <w:sdt>
        <w:sdtPr>
          <w:id w:val="1381429376"/>
          <w:citation/>
        </w:sdtPr>
        <w:sdtEndPr/>
        <w:sdtContent>
          <w:r w:rsidR="00E733AD">
            <w:fldChar w:fldCharType="begin"/>
          </w:r>
          <w:r w:rsidR="00E733AD">
            <w:instrText xml:space="preserve"> CITATION PSR96 \l 2057 </w:instrText>
          </w:r>
          <w:r w:rsidR="00E733AD">
            <w:fldChar w:fldCharType="separate"/>
          </w:r>
          <w:r w:rsidR="00142E77">
            <w:rPr>
              <w:noProof/>
            </w:rPr>
            <w:t xml:space="preserve"> [1]</w:t>
          </w:r>
          <w:r w:rsidR="00E733AD">
            <w:fldChar w:fldCharType="end"/>
          </w:r>
        </w:sdtContent>
      </w:sdt>
      <w:r w:rsidR="00E733AD">
        <w:t xml:space="preserve">. </w:t>
      </w:r>
      <w:r w:rsidR="00BF2A51">
        <w:t xml:space="preserve">If this situation should change in </w:t>
      </w:r>
      <w:r w:rsidR="00A03039">
        <w:t>future,</w:t>
      </w:r>
      <w:r w:rsidR="00BF2A51">
        <w:t xml:space="preserve"> then this Technical Briefing Note (TBN)</w:t>
      </w:r>
      <w:r w:rsidR="00367879">
        <w:t xml:space="preserve"> provides the basis for discussions with the Health &amp; Safety Executive (HSE)</w:t>
      </w:r>
      <w:r w:rsidR="0047670C">
        <w:t xml:space="preserve"> when assessing land use planning (LUP) zones.</w:t>
      </w:r>
    </w:p>
    <w:p w14:paraId="40DC6D20" w14:textId="45E1D7FC" w:rsidR="0047670C" w:rsidRDefault="00C77FAD" w:rsidP="005A0526">
      <w:pPr>
        <w:pStyle w:val="BodyText"/>
      </w:pPr>
      <w:r>
        <w:t xml:space="preserve">During the period 2003 </w:t>
      </w:r>
      <w:r w:rsidR="00463A0B">
        <w:t>–</w:t>
      </w:r>
      <w:r>
        <w:t xml:space="preserve"> 2010</w:t>
      </w:r>
      <w:r w:rsidR="00463A0B">
        <w:t xml:space="preserve">, UKOPA engaged in discussions with the HSE to derive a suitable risk-based methodology for assessing land use planning zones for gasoline pipelines. </w:t>
      </w:r>
    </w:p>
    <w:p w14:paraId="5218C10F" w14:textId="0B1AC144" w:rsidR="005A0526" w:rsidRDefault="00463A0B" w:rsidP="005A0526">
      <w:pPr>
        <w:pStyle w:val="BodyText"/>
      </w:pPr>
      <w:r>
        <w:t xml:space="preserve">This Technical Briefing Note describes the history of this </w:t>
      </w:r>
      <w:r w:rsidR="002346E5">
        <w:t>development process, the resulting preferred methodology developed for UKOPA, comparison with HSE published results, and a brief description of a societal risk analysis for gasoline pipelines.</w:t>
      </w:r>
    </w:p>
    <w:p w14:paraId="1C7508E6" w14:textId="24C5FF92" w:rsidR="00C85B1B" w:rsidRDefault="00C85B1B" w:rsidP="00C85B1B">
      <w:pPr>
        <w:pStyle w:val="Heading2"/>
      </w:pPr>
      <w:bookmarkStart w:id="2" w:name="_Toc531017321"/>
      <w:r>
        <w:t>Abbreviations</w:t>
      </w:r>
      <w:bookmarkEnd w:id="2"/>
    </w:p>
    <w:tbl>
      <w:tblPr>
        <w:tblStyle w:val="TableGrid"/>
        <w:tblW w:w="0" w:type="auto"/>
        <w:jc w:val="lef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1254"/>
        <w:gridCol w:w="5408"/>
      </w:tblGrid>
      <w:tr w:rsidR="00C51F88" w:rsidRPr="00BA198E" w14:paraId="33AEB5D1"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478ECACB" w14:textId="77777777" w:rsidR="00C51F88" w:rsidRPr="00BA198E" w:rsidRDefault="00C51F88" w:rsidP="00BA198E">
            <w:pPr>
              <w:keepNext w:val="0"/>
              <w:keepLines w:val="0"/>
              <w:rPr>
                <w:rFonts w:cstheme="minorHAnsi"/>
                <w:sz w:val="20"/>
              </w:rPr>
            </w:pPr>
            <w:r w:rsidRPr="00BA198E">
              <w:rPr>
                <w:rFonts w:cstheme="minorHAnsi"/>
                <w:sz w:val="20"/>
              </w:rPr>
              <w:t>ALARP</w:t>
            </w:r>
          </w:p>
        </w:tc>
        <w:tc>
          <w:tcPr>
            <w:tcW w:w="5408" w:type="dxa"/>
          </w:tcPr>
          <w:p w14:paraId="4C0695D4" w14:textId="77777777" w:rsidR="00C51F88" w:rsidRPr="00BA198E" w:rsidRDefault="00C51F88"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As Low as Reasonably Practicable</w:t>
            </w:r>
          </w:p>
        </w:tc>
      </w:tr>
      <w:tr w:rsidR="00C51F88" w:rsidRPr="00BA198E" w14:paraId="4CFDC2A5"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3AC5FBAD" w14:textId="77777777" w:rsidR="00C51F88" w:rsidRPr="00BA198E" w:rsidRDefault="00C51F88" w:rsidP="00BA198E">
            <w:pPr>
              <w:keepNext w:val="0"/>
              <w:keepLines w:val="0"/>
              <w:rPr>
                <w:rFonts w:cstheme="minorHAnsi"/>
                <w:sz w:val="20"/>
              </w:rPr>
            </w:pPr>
            <w:r w:rsidRPr="00BA198E">
              <w:rPr>
                <w:rFonts w:cstheme="minorHAnsi"/>
                <w:sz w:val="20"/>
              </w:rPr>
              <w:t>BPD</w:t>
            </w:r>
          </w:p>
        </w:tc>
        <w:tc>
          <w:tcPr>
            <w:tcW w:w="5408" w:type="dxa"/>
          </w:tcPr>
          <w:p w14:paraId="5854EC65" w14:textId="77777777" w:rsidR="00C51F88" w:rsidRPr="00BA198E" w:rsidRDefault="00C51F88" w:rsidP="00BA198E">
            <w:pPr>
              <w:keepNext w:val="0"/>
              <w:keepLines w:val="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Building Proximity Distance</w:t>
            </w:r>
          </w:p>
        </w:tc>
      </w:tr>
      <w:tr w:rsidR="00BA198E" w:rsidRPr="00BA198E" w14:paraId="0152605E"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63697CE8" w14:textId="019ADDBA" w:rsidR="00BA198E" w:rsidRPr="00BA198E" w:rsidRDefault="00BA198E" w:rsidP="00BA198E">
            <w:pPr>
              <w:rPr>
                <w:rFonts w:cstheme="minorHAnsi"/>
                <w:sz w:val="20"/>
              </w:rPr>
            </w:pPr>
            <w:r w:rsidRPr="00BA198E">
              <w:rPr>
                <w:rFonts w:cstheme="minorHAnsi"/>
                <w:sz w:val="20"/>
              </w:rPr>
              <w:t>CD</w:t>
            </w:r>
          </w:p>
        </w:tc>
        <w:tc>
          <w:tcPr>
            <w:tcW w:w="5408" w:type="dxa"/>
          </w:tcPr>
          <w:p w14:paraId="60E9B85B" w14:textId="6B310AF5" w:rsidR="00BA198E" w:rsidRPr="00BA198E" w:rsidRDefault="00BA198E" w:rsidP="00BA198E">
            <w:pPr>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Consultation Distance</w:t>
            </w:r>
          </w:p>
        </w:tc>
      </w:tr>
      <w:tr w:rsidR="00BA198E" w:rsidRPr="00BA198E" w14:paraId="069B7E1E"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46904993" w14:textId="0370AD5C" w:rsidR="00BA198E" w:rsidRPr="00BA198E" w:rsidRDefault="00BA198E" w:rsidP="00BA198E">
            <w:pPr>
              <w:rPr>
                <w:rFonts w:cstheme="minorHAnsi"/>
                <w:sz w:val="20"/>
              </w:rPr>
            </w:pPr>
            <w:r w:rsidRPr="00BA198E">
              <w:rPr>
                <w:rFonts w:cstheme="minorHAnsi"/>
                <w:sz w:val="20"/>
              </w:rPr>
              <w:t>COMAH</w:t>
            </w:r>
          </w:p>
        </w:tc>
        <w:tc>
          <w:tcPr>
            <w:tcW w:w="5408" w:type="dxa"/>
          </w:tcPr>
          <w:p w14:paraId="28635AB4" w14:textId="5CE65189" w:rsidR="00BA198E" w:rsidRPr="00BA198E" w:rsidRDefault="00BA198E" w:rsidP="00BA198E">
            <w:pPr>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Control of Major Accident Hazards</w:t>
            </w:r>
          </w:p>
        </w:tc>
      </w:tr>
      <w:tr w:rsidR="00C51F88" w:rsidRPr="00BA198E" w14:paraId="101FF620"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54C995A3" w14:textId="6E1EFB66" w:rsidR="00C51F88" w:rsidRPr="00BA198E" w:rsidRDefault="00C51F88" w:rsidP="00BA198E">
            <w:pPr>
              <w:keepNext w:val="0"/>
              <w:keepLines w:val="0"/>
              <w:rPr>
                <w:rFonts w:cstheme="minorHAnsi"/>
                <w:sz w:val="20"/>
              </w:rPr>
            </w:pPr>
            <w:r w:rsidRPr="00BA198E">
              <w:rPr>
                <w:rFonts w:cstheme="minorHAnsi"/>
                <w:sz w:val="20"/>
              </w:rPr>
              <w:t>CONCAWE</w:t>
            </w:r>
          </w:p>
        </w:tc>
        <w:tc>
          <w:tcPr>
            <w:tcW w:w="5408" w:type="dxa"/>
          </w:tcPr>
          <w:p w14:paraId="547E661B" w14:textId="426949FD" w:rsidR="00C51F88" w:rsidRPr="00BA198E" w:rsidRDefault="00C51F88" w:rsidP="00BA198E">
            <w:pPr>
              <w:keepNext w:val="0"/>
              <w:keepLines w:val="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Conservation of Clean Air and Water in Europe</w:t>
            </w:r>
          </w:p>
        </w:tc>
      </w:tr>
      <w:tr w:rsidR="00C51F88" w:rsidRPr="00BA198E" w14:paraId="7055E321"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17F6792F" w14:textId="77777777" w:rsidR="00C51F88" w:rsidRPr="00BA198E" w:rsidRDefault="00C51F88" w:rsidP="00BA198E">
            <w:pPr>
              <w:keepNext w:val="0"/>
              <w:keepLines w:val="0"/>
              <w:rPr>
                <w:rFonts w:cstheme="minorHAnsi"/>
                <w:sz w:val="20"/>
              </w:rPr>
            </w:pPr>
            <w:r w:rsidRPr="00BA198E">
              <w:rPr>
                <w:rFonts w:cstheme="minorHAnsi"/>
                <w:sz w:val="20"/>
              </w:rPr>
              <w:t>cpm</w:t>
            </w:r>
          </w:p>
        </w:tc>
        <w:tc>
          <w:tcPr>
            <w:tcW w:w="5408" w:type="dxa"/>
          </w:tcPr>
          <w:p w14:paraId="6593C0BC" w14:textId="77777777" w:rsidR="00C51F88" w:rsidRPr="00BA198E" w:rsidRDefault="00C51F88"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change per million</w:t>
            </w:r>
          </w:p>
        </w:tc>
      </w:tr>
      <w:tr w:rsidR="00C51F88" w:rsidRPr="00BA198E" w14:paraId="1D55956C"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74BF0325" w14:textId="21EF53B4" w:rsidR="00C51F88" w:rsidRPr="00BA198E" w:rsidRDefault="00C51F88" w:rsidP="00BA198E">
            <w:pPr>
              <w:keepNext w:val="0"/>
              <w:keepLines w:val="0"/>
              <w:rPr>
                <w:rFonts w:cstheme="minorHAnsi"/>
                <w:sz w:val="20"/>
              </w:rPr>
            </w:pPr>
            <w:r w:rsidRPr="00BA198E">
              <w:rPr>
                <w:rFonts w:cstheme="minorHAnsi"/>
                <w:sz w:val="20"/>
              </w:rPr>
              <w:t>CRR</w:t>
            </w:r>
          </w:p>
        </w:tc>
        <w:tc>
          <w:tcPr>
            <w:tcW w:w="5408" w:type="dxa"/>
          </w:tcPr>
          <w:p w14:paraId="5EE8A02C" w14:textId="0F06EC11" w:rsidR="00C51F88" w:rsidRPr="00BA198E" w:rsidRDefault="00C51F88"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Contract Research Report</w:t>
            </w:r>
          </w:p>
        </w:tc>
      </w:tr>
      <w:tr w:rsidR="00C51F88" w:rsidRPr="00BA198E" w14:paraId="5948BAE7"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649AC2DF" w14:textId="46E57833" w:rsidR="00C51F88" w:rsidRPr="00BA198E" w:rsidRDefault="00C51F88" w:rsidP="00BA198E">
            <w:pPr>
              <w:keepNext w:val="0"/>
              <w:keepLines w:val="0"/>
              <w:rPr>
                <w:rFonts w:cstheme="minorHAnsi"/>
                <w:sz w:val="20"/>
              </w:rPr>
            </w:pPr>
            <w:r w:rsidRPr="00BA198E">
              <w:rPr>
                <w:rFonts w:cstheme="minorHAnsi"/>
                <w:sz w:val="20"/>
              </w:rPr>
              <w:t>HSC</w:t>
            </w:r>
          </w:p>
        </w:tc>
        <w:tc>
          <w:tcPr>
            <w:tcW w:w="5408" w:type="dxa"/>
          </w:tcPr>
          <w:p w14:paraId="2032D601" w14:textId="75275CC4" w:rsidR="00C51F88" w:rsidRPr="00BA198E" w:rsidRDefault="00C51F88"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Health and Safety Commission</w:t>
            </w:r>
          </w:p>
        </w:tc>
      </w:tr>
      <w:tr w:rsidR="00C51F88" w:rsidRPr="00BA198E" w14:paraId="655C7C0A"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64FD5150" w14:textId="77777777" w:rsidR="00C51F88" w:rsidRPr="00BA198E" w:rsidRDefault="00C51F88" w:rsidP="00BA198E">
            <w:pPr>
              <w:keepNext w:val="0"/>
              <w:keepLines w:val="0"/>
              <w:rPr>
                <w:rFonts w:cstheme="minorHAnsi"/>
                <w:sz w:val="20"/>
              </w:rPr>
            </w:pPr>
            <w:r w:rsidRPr="00BA198E">
              <w:rPr>
                <w:rFonts w:cstheme="minorHAnsi"/>
                <w:sz w:val="20"/>
              </w:rPr>
              <w:t>HSE</w:t>
            </w:r>
          </w:p>
        </w:tc>
        <w:tc>
          <w:tcPr>
            <w:tcW w:w="5408" w:type="dxa"/>
          </w:tcPr>
          <w:p w14:paraId="65255C8D" w14:textId="57FDA778" w:rsidR="00C51F88" w:rsidRPr="00BA198E" w:rsidRDefault="00C51F88"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Health and Safety Executive</w:t>
            </w:r>
          </w:p>
        </w:tc>
      </w:tr>
      <w:tr w:rsidR="00C51F88" w:rsidRPr="00BA198E" w14:paraId="4F2777B0"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280F7E46" w14:textId="77777777" w:rsidR="00C51F88" w:rsidRPr="00BA198E" w:rsidRDefault="00C51F88" w:rsidP="00BA198E">
            <w:pPr>
              <w:keepNext w:val="0"/>
              <w:keepLines w:val="0"/>
              <w:rPr>
                <w:rFonts w:cstheme="minorHAnsi"/>
                <w:sz w:val="20"/>
              </w:rPr>
            </w:pPr>
            <w:r w:rsidRPr="00BA198E">
              <w:rPr>
                <w:rFonts w:cstheme="minorHAnsi"/>
                <w:sz w:val="20"/>
              </w:rPr>
              <w:t>IGEM</w:t>
            </w:r>
          </w:p>
        </w:tc>
        <w:tc>
          <w:tcPr>
            <w:tcW w:w="5408" w:type="dxa"/>
          </w:tcPr>
          <w:p w14:paraId="756C19D2" w14:textId="77777777" w:rsidR="00C51F88" w:rsidRPr="00BA198E" w:rsidRDefault="00C51F88"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 xml:space="preserve">Institution of Gas Engineers &amp; Managers </w:t>
            </w:r>
          </w:p>
        </w:tc>
      </w:tr>
      <w:tr w:rsidR="00BA198E" w:rsidRPr="00BA198E" w14:paraId="42F55EA9"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2DA75749" w14:textId="7E796568" w:rsidR="00BA198E" w:rsidRPr="00BA198E" w:rsidRDefault="00BA198E" w:rsidP="00BA198E">
            <w:pPr>
              <w:keepNext w:val="0"/>
              <w:keepLines w:val="0"/>
              <w:rPr>
                <w:rFonts w:cstheme="minorHAnsi"/>
                <w:sz w:val="20"/>
              </w:rPr>
            </w:pPr>
            <w:r w:rsidRPr="00BA198E">
              <w:rPr>
                <w:rFonts w:cstheme="minorHAnsi"/>
                <w:sz w:val="20"/>
              </w:rPr>
              <w:t>LD</w:t>
            </w:r>
          </w:p>
        </w:tc>
        <w:tc>
          <w:tcPr>
            <w:tcW w:w="5408" w:type="dxa"/>
          </w:tcPr>
          <w:p w14:paraId="07CC4811" w14:textId="4DD9B54F" w:rsidR="00BA198E" w:rsidRPr="00BA198E" w:rsidRDefault="00BA198E"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Lethal Dose</w:t>
            </w:r>
          </w:p>
        </w:tc>
      </w:tr>
      <w:tr w:rsidR="00C51F88" w:rsidRPr="00BA198E" w14:paraId="331BC823"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73A8EED3" w14:textId="5CD652FE" w:rsidR="00C51F88" w:rsidRPr="00BA198E" w:rsidRDefault="00C51F88" w:rsidP="00BA198E">
            <w:pPr>
              <w:keepNext w:val="0"/>
              <w:keepLines w:val="0"/>
              <w:rPr>
                <w:rFonts w:cstheme="minorHAnsi"/>
                <w:sz w:val="20"/>
              </w:rPr>
            </w:pPr>
            <w:r w:rsidRPr="00BA198E">
              <w:rPr>
                <w:rFonts w:cstheme="minorHAnsi"/>
                <w:sz w:val="20"/>
              </w:rPr>
              <w:t>LUP</w:t>
            </w:r>
          </w:p>
        </w:tc>
        <w:tc>
          <w:tcPr>
            <w:tcW w:w="5408" w:type="dxa"/>
          </w:tcPr>
          <w:p w14:paraId="32DF1455" w14:textId="1CA96E57" w:rsidR="00C51F88" w:rsidRPr="00BA198E" w:rsidRDefault="00C51F88"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Land Use Planning</w:t>
            </w:r>
          </w:p>
        </w:tc>
      </w:tr>
      <w:tr w:rsidR="00C51F88" w:rsidRPr="00BA198E" w14:paraId="04E38E21"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073E22EB" w14:textId="0F959D52" w:rsidR="00C51F88" w:rsidRPr="00BA198E" w:rsidRDefault="00C51F88" w:rsidP="00BA198E">
            <w:pPr>
              <w:keepNext w:val="0"/>
              <w:keepLines w:val="0"/>
              <w:rPr>
                <w:rFonts w:cstheme="minorHAnsi"/>
                <w:sz w:val="20"/>
              </w:rPr>
            </w:pPr>
            <w:r w:rsidRPr="00BA198E">
              <w:rPr>
                <w:rFonts w:cstheme="minorHAnsi"/>
                <w:sz w:val="20"/>
              </w:rPr>
              <w:t>MAHP</w:t>
            </w:r>
          </w:p>
        </w:tc>
        <w:tc>
          <w:tcPr>
            <w:tcW w:w="5408" w:type="dxa"/>
          </w:tcPr>
          <w:p w14:paraId="75CE42BF" w14:textId="5D48AA4A" w:rsidR="00C51F88" w:rsidRPr="00BA198E" w:rsidRDefault="00C51F88"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Major Accident Hazard Pipeline</w:t>
            </w:r>
          </w:p>
        </w:tc>
      </w:tr>
      <w:tr w:rsidR="00C51F88" w:rsidRPr="00BA198E" w14:paraId="0B85CC9B"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5F77B430" w14:textId="40B337C7" w:rsidR="00C51F88" w:rsidRPr="00BA198E" w:rsidRDefault="00C51F88" w:rsidP="00BA198E">
            <w:pPr>
              <w:keepNext w:val="0"/>
              <w:keepLines w:val="0"/>
              <w:rPr>
                <w:rFonts w:cstheme="minorHAnsi"/>
                <w:sz w:val="20"/>
              </w:rPr>
            </w:pPr>
            <w:r w:rsidRPr="00BA198E">
              <w:rPr>
                <w:rFonts w:cstheme="minorHAnsi"/>
                <w:sz w:val="20"/>
              </w:rPr>
              <w:t>MAOP</w:t>
            </w:r>
          </w:p>
        </w:tc>
        <w:tc>
          <w:tcPr>
            <w:tcW w:w="5408" w:type="dxa"/>
          </w:tcPr>
          <w:p w14:paraId="0E486CE2" w14:textId="6E908085" w:rsidR="00C51F88" w:rsidRPr="00BA198E" w:rsidRDefault="00C51F88"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Maximum Allowable Operating Pressure</w:t>
            </w:r>
          </w:p>
        </w:tc>
      </w:tr>
      <w:tr w:rsidR="00C51F88" w:rsidRPr="00BA198E" w14:paraId="4E81CCDB"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27071A1F" w14:textId="77777777" w:rsidR="00C51F88" w:rsidRPr="00BA198E" w:rsidRDefault="00C51F88" w:rsidP="00BA198E">
            <w:pPr>
              <w:keepNext w:val="0"/>
              <w:keepLines w:val="0"/>
              <w:rPr>
                <w:rFonts w:cstheme="minorHAnsi"/>
                <w:sz w:val="20"/>
              </w:rPr>
            </w:pPr>
            <w:r w:rsidRPr="00BA198E">
              <w:rPr>
                <w:rFonts w:cstheme="minorHAnsi"/>
                <w:sz w:val="20"/>
              </w:rPr>
              <w:t>PD</w:t>
            </w:r>
          </w:p>
        </w:tc>
        <w:tc>
          <w:tcPr>
            <w:tcW w:w="5408" w:type="dxa"/>
          </w:tcPr>
          <w:p w14:paraId="5681D97F" w14:textId="77777777" w:rsidR="00C51F88" w:rsidRPr="00BA198E" w:rsidRDefault="00C51F88"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Published Document</w:t>
            </w:r>
          </w:p>
        </w:tc>
      </w:tr>
      <w:tr w:rsidR="00C51F88" w:rsidRPr="00BA198E" w14:paraId="1EB564D4"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5A5BD9B7" w14:textId="7575E4C5" w:rsidR="00C51F88" w:rsidRPr="00BA198E" w:rsidRDefault="00C51F88" w:rsidP="00BA198E">
            <w:pPr>
              <w:keepNext w:val="0"/>
              <w:keepLines w:val="0"/>
              <w:rPr>
                <w:rFonts w:cstheme="minorHAnsi"/>
                <w:sz w:val="20"/>
              </w:rPr>
            </w:pPr>
            <w:r w:rsidRPr="00BA198E">
              <w:rPr>
                <w:rFonts w:cstheme="minorHAnsi"/>
                <w:sz w:val="20"/>
              </w:rPr>
              <w:t>PSR</w:t>
            </w:r>
          </w:p>
        </w:tc>
        <w:tc>
          <w:tcPr>
            <w:tcW w:w="5408" w:type="dxa"/>
          </w:tcPr>
          <w:p w14:paraId="10BC3120" w14:textId="39F0CAE2" w:rsidR="00C51F88" w:rsidRPr="00BA198E" w:rsidRDefault="00C51F88"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Pipelines Safety Regulations 1996</w:t>
            </w:r>
          </w:p>
        </w:tc>
      </w:tr>
      <w:tr w:rsidR="00C51F88" w:rsidRPr="00BA198E" w14:paraId="66B63F39"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448EEE8C" w14:textId="77777777" w:rsidR="00C51F88" w:rsidRPr="00BA198E" w:rsidRDefault="00C51F88" w:rsidP="00BA198E">
            <w:pPr>
              <w:keepNext w:val="0"/>
              <w:keepLines w:val="0"/>
              <w:rPr>
                <w:rFonts w:cstheme="minorHAnsi"/>
                <w:sz w:val="20"/>
              </w:rPr>
            </w:pPr>
            <w:r w:rsidRPr="00BA198E">
              <w:rPr>
                <w:rFonts w:cstheme="minorHAnsi"/>
                <w:sz w:val="20"/>
              </w:rPr>
              <w:t>QRA</w:t>
            </w:r>
          </w:p>
        </w:tc>
        <w:tc>
          <w:tcPr>
            <w:tcW w:w="5408" w:type="dxa"/>
          </w:tcPr>
          <w:p w14:paraId="3A624322" w14:textId="77777777" w:rsidR="00C51F88" w:rsidRPr="00BA198E" w:rsidRDefault="00C51F88"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Quantitative Risk Assessment</w:t>
            </w:r>
          </w:p>
        </w:tc>
      </w:tr>
      <w:tr w:rsidR="00BA198E" w:rsidRPr="00BA198E" w14:paraId="4F03CDB5"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7068111E" w14:textId="16E0984B" w:rsidR="00BA198E" w:rsidRPr="00BA198E" w:rsidRDefault="00BA198E" w:rsidP="00BA198E">
            <w:pPr>
              <w:keepNext w:val="0"/>
              <w:keepLines w:val="0"/>
              <w:rPr>
                <w:rFonts w:cstheme="minorHAnsi"/>
                <w:sz w:val="20"/>
              </w:rPr>
            </w:pPr>
            <w:r w:rsidRPr="00BA198E">
              <w:rPr>
                <w:rFonts w:cstheme="minorHAnsi"/>
                <w:sz w:val="20"/>
              </w:rPr>
              <w:t>RR</w:t>
            </w:r>
          </w:p>
        </w:tc>
        <w:tc>
          <w:tcPr>
            <w:tcW w:w="5408" w:type="dxa"/>
          </w:tcPr>
          <w:p w14:paraId="6365AF52" w14:textId="2D39F731" w:rsidR="00BA198E" w:rsidRPr="00BA198E" w:rsidRDefault="00BA198E"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Research Report</w:t>
            </w:r>
          </w:p>
        </w:tc>
      </w:tr>
      <w:tr w:rsidR="00BA198E" w:rsidRPr="00BA198E" w14:paraId="7AF1F4B0"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10C665B9" w14:textId="3D2FD0E0" w:rsidR="00BA198E" w:rsidRPr="00BA198E" w:rsidRDefault="00BA198E" w:rsidP="00BA198E">
            <w:pPr>
              <w:keepNext w:val="0"/>
              <w:keepLines w:val="0"/>
              <w:rPr>
                <w:rFonts w:cstheme="minorHAnsi"/>
                <w:sz w:val="20"/>
              </w:rPr>
            </w:pPr>
            <w:r w:rsidRPr="00BA198E">
              <w:rPr>
                <w:rFonts w:cstheme="minorHAnsi"/>
                <w:sz w:val="20"/>
              </w:rPr>
              <w:t>SLOD</w:t>
            </w:r>
          </w:p>
        </w:tc>
        <w:tc>
          <w:tcPr>
            <w:tcW w:w="5408" w:type="dxa"/>
          </w:tcPr>
          <w:p w14:paraId="26392FF8" w14:textId="4699BA73" w:rsidR="00BA198E" w:rsidRPr="00BA198E" w:rsidRDefault="00BA198E"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Significant Likelihood of Death</w:t>
            </w:r>
          </w:p>
        </w:tc>
      </w:tr>
      <w:tr w:rsidR="00C51F88" w:rsidRPr="00BA198E" w14:paraId="216BFD75"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43630B5B" w14:textId="77777777" w:rsidR="00C51F88" w:rsidRPr="00BA198E" w:rsidRDefault="00C51F88" w:rsidP="00BA198E">
            <w:pPr>
              <w:keepNext w:val="0"/>
              <w:keepLines w:val="0"/>
              <w:rPr>
                <w:rFonts w:cstheme="minorHAnsi"/>
                <w:sz w:val="20"/>
              </w:rPr>
            </w:pPr>
            <w:r w:rsidRPr="00BA198E">
              <w:rPr>
                <w:rFonts w:cstheme="minorHAnsi"/>
                <w:sz w:val="20"/>
              </w:rPr>
              <w:t>tdu</w:t>
            </w:r>
          </w:p>
        </w:tc>
        <w:tc>
          <w:tcPr>
            <w:tcW w:w="5408" w:type="dxa"/>
          </w:tcPr>
          <w:p w14:paraId="49B78B68" w14:textId="77777777" w:rsidR="00C51F88" w:rsidRPr="00BA198E" w:rsidRDefault="00C51F88"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thermal dose unit</w:t>
            </w:r>
          </w:p>
        </w:tc>
      </w:tr>
      <w:tr w:rsidR="00BA198E" w:rsidRPr="00BA198E" w14:paraId="48EAA14A"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6104159F" w14:textId="7A55858A" w:rsidR="00BA198E" w:rsidRPr="00BA198E" w:rsidRDefault="00BA198E" w:rsidP="00BA198E">
            <w:pPr>
              <w:keepNext w:val="0"/>
              <w:keepLines w:val="0"/>
              <w:rPr>
                <w:rFonts w:cstheme="minorHAnsi"/>
                <w:sz w:val="20"/>
              </w:rPr>
            </w:pPr>
            <w:r w:rsidRPr="00BA198E">
              <w:rPr>
                <w:rFonts w:cstheme="minorHAnsi"/>
                <w:sz w:val="20"/>
              </w:rPr>
              <w:lastRenderedPageBreak/>
              <w:t>TPA</w:t>
            </w:r>
          </w:p>
        </w:tc>
        <w:tc>
          <w:tcPr>
            <w:tcW w:w="5408" w:type="dxa"/>
          </w:tcPr>
          <w:p w14:paraId="74BE7064" w14:textId="10F9845B" w:rsidR="00BA198E" w:rsidRPr="00BA198E" w:rsidRDefault="00BA198E"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Third Party Activity</w:t>
            </w:r>
          </w:p>
        </w:tc>
      </w:tr>
      <w:tr w:rsidR="00C51F88" w:rsidRPr="00BA198E" w14:paraId="7FE9043A"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023AAA92" w14:textId="77777777" w:rsidR="00C51F88" w:rsidRPr="00BA198E" w:rsidRDefault="00C51F88" w:rsidP="00BA198E">
            <w:pPr>
              <w:keepNext w:val="0"/>
              <w:keepLines w:val="0"/>
              <w:rPr>
                <w:rFonts w:cstheme="minorHAnsi"/>
                <w:sz w:val="20"/>
              </w:rPr>
            </w:pPr>
            <w:r w:rsidRPr="00BA198E">
              <w:rPr>
                <w:rFonts w:cstheme="minorHAnsi"/>
                <w:sz w:val="20"/>
              </w:rPr>
              <w:t>UKOPA</w:t>
            </w:r>
          </w:p>
        </w:tc>
        <w:tc>
          <w:tcPr>
            <w:tcW w:w="5408" w:type="dxa"/>
          </w:tcPr>
          <w:p w14:paraId="1FAE61C2" w14:textId="77777777" w:rsidR="00C51F88" w:rsidRPr="00BA198E" w:rsidRDefault="00C51F88"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 xml:space="preserve">United Kingdom Onshore Pipeline Operators’ Association </w:t>
            </w:r>
          </w:p>
        </w:tc>
      </w:tr>
      <w:tr w:rsidR="00BA198E" w:rsidRPr="00BA198E" w14:paraId="122BAC55" w14:textId="77777777" w:rsidTr="00C51F88">
        <w:trPr>
          <w:jc w:val="left"/>
        </w:trPr>
        <w:tc>
          <w:tcPr>
            <w:cnfStyle w:val="001000000000" w:firstRow="0" w:lastRow="0" w:firstColumn="1" w:lastColumn="0" w:oddVBand="0" w:evenVBand="0" w:oddHBand="0" w:evenHBand="0" w:firstRowFirstColumn="0" w:firstRowLastColumn="0" w:lastRowFirstColumn="0" w:lastRowLastColumn="0"/>
            <w:tcW w:w="1254" w:type="dxa"/>
          </w:tcPr>
          <w:p w14:paraId="361EA8EB" w14:textId="649358EF" w:rsidR="00BA198E" w:rsidRPr="00BA198E" w:rsidRDefault="00BA198E" w:rsidP="00BA198E">
            <w:pPr>
              <w:keepNext w:val="0"/>
              <w:keepLines w:val="0"/>
              <w:rPr>
                <w:rFonts w:cstheme="minorHAnsi"/>
                <w:sz w:val="20"/>
              </w:rPr>
            </w:pPr>
            <w:r w:rsidRPr="00BA198E">
              <w:rPr>
                <w:rFonts w:cstheme="minorHAnsi"/>
                <w:sz w:val="20"/>
              </w:rPr>
              <w:t>VCE</w:t>
            </w:r>
          </w:p>
        </w:tc>
        <w:tc>
          <w:tcPr>
            <w:tcW w:w="5408" w:type="dxa"/>
          </w:tcPr>
          <w:p w14:paraId="5142FE89" w14:textId="7948AD40" w:rsidR="00BA198E" w:rsidRPr="00BA198E" w:rsidRDefault="00BA198E" w:rsidP="00BA198E">
            <w:pPr>
              <w:keepNext w:val="0"/>
              <w:keepLines w:val="0"/>
              <w:cnfStyle w:val="000000000000" w:firstRow="0" w:lastRow="0" w:firstColumn="0" w:lastColumn="0" w:oddVBand="0" w:evenVBand="0" w:oddHBand="0" w:evenHBand="0" w:firstRowFirstColumn="0" w:firstRowLastColumn="0" w:lastRowFirstColumn="0" w:lastRowLastColumn="0"/>
              <w:rPr>
                <w:rFonts w:cstheme="minorHAnsi"/>
                <w:sz w:val="20"/>
              </w:rPr>
            </w:pPr>
            <w:r w:rsidRPr="00BA198E">
              <w:rPr>
                <w:rFonts w:cstheme="minorHAnsi"/>
                <w:sz w:val="20"/>
              </w:rPr>
              <w:t>Vapour Cloud Explosion</w:t>
            </w:r>
          </w:p>
        </w:tc>
      </w:tr>
    </w:tbl>
    <w:p w14:paraId="5AEA3B69" w14:textId="77777777" w:rsidR="00C51F88" w:rsidRPr="00C51F88" w:rsidRDefault="00C51F88" w:rsidP="00C51F88">
      <w:pPr>
        <w:pStyle w:val="BodyText"/>
      </w:pPr>
    </w:p>
    <w:p w14:paraId="47B2269B" w14:textId="548330CA" w:rsidR="00607672" w:rsidRDefault="008E4FFC" w:rsidP="008E4FFC">
      <w:pPr>
        <w:pStyle w:val="Heading1"/>
      </w:pPr>
      <w:bookmarkStart w:id="3" w:name="_Toc531017322"/>
      <w:r>
        <w:lastRenderedPageBreak/>
        <w:t>History of the Development of LUP Zones</w:t>
      </w:r>
      <w:bookmarkEnd w:id="3"/>
    </w:p>
    <w:p w14:paraId="6A045F3D" w14:textId="7259A28E" w:rsidR="00C85B1B" w:rsidRDefault="001C51D2" w:rsidP="00C85B1B">
      <w:pPr>
        <w:pStyle w:val="Heading2"/>
      </w:pPr>
      <w:bookmarkStart w:id="4" w:name="_Toc531017323"/>
      <w:r>
        <w:t>Non-Inclusion in the Pipelines Safety Regulations 1996</w:t>
      </w:r>
      <w:bookmarkEnd w:id="4"/>
    </w:p>
    <w:p w14:paraId="73BE0B3B" w14:textId="0A507B9D" w:rsidR="001C51D2" w:rsidRDefault="001C51D2" w:rsidP="001C51D2">
      <w:pPr>
        <w:pStyle w:val="BodyText"/>
      </w:pPr>
      <w:r>
        <w:t>During discussions with the pipeline industry</w:t>
      </w:r>
      <w:r w:rsidR="00E51886">
        <w:t xml:space="preserve"> in the period leading up to the introduction of the Pipelines Safety Regulations (PSR) 1996</w:t>
      </w:r>
      <w:sdt>
        <w:sdtPr>
          <w:id w:val="119350404"/>
          <w:citation/>
        </w:sdtPr>
        <w:sdtEndPr/>
        <w:sdtContent>
          <w:r w:rsidR="00971773">
            <w:fldChar w:fldCharType="begin"/>
          </w:r>
          <w:r w:rsidR="00971773">
            <w:instrText xml:space="preserve"> CITATION PSR96 \l 2057 </w:instrText>
          </w:r>
          <w:r w:rsidR="00971773">
            <w:fldChar w:fldCharType="separate"/>
          </w:r>
          <w:r w:rsidR="00142E77">
            <w:rPr>
              <w:noProof/>
            </w:rPr>
            <w:t xml:space="preserve"> [1]</w:t>
          </w:r>
          <w:r w:rsidR="00971773">
            <w:fldChar w:fldCharType="end"/>
          </w:r>
        </w:sdtContent>
      </w:sdt>
      <w:r w:rsidR="00B425A6">
        <w:t xml:space="preserve">, the HSE initially proposed to include gasoline in its list of substances which would </w:t>
      </w:r>
      <w:r w:rsidR="00210E0B">
        <w:t>require notification under the proposed new regulations.</w:t>
      </w:r>
    </w:p>
    <w:p w14:paraId="7B421735" w14:textId="2ABAD692" w:rsidR="00C34EDE" w:rsidRDefault="00C34EDE" w:rsidP="001C51D2">
      <w:pPr>
        <w:pStyle w:val="BodyText"/>
      </w:pPr>
      <w:r>
        <w:t>As a result of lobbying by the United Kingdom Petroleum Industry Association (UKPIA)</w:t>
      </w:r>
      <w:r w:rsidR="005A18D7">
        <w:t>, the Health and Safety Commission</w:t>
      </w:r>
      <w:r w:rsidR="005A18D7" w:rsidRPr="00350EF4">
        <w:rPr>
          <w:rStyle w:val="FootnoteReference"/>
          <w:sz w:val="20"/>
        </w:rPr>
        <w:footnoteReference w:id="1"/>
      </w:r>
      <w:r w:rsidR="005A18D7">
        <w:t xml:space="preserve"> (HSC)</w:t>
      </w:r>
      <w:r w:rsidR="007B02F4">
        <w:t xml:space="preserve"> decided that gasoline should be removed from the consultati</w:t>
      </w:r>
      <w:r w:rsidR="00827ECD">
        <w:t>ve</w:t>
      </w:r>
      <w:r w:rsidR="007B02F4">
        <w:t xml:space="preserve"> document</w:t>
      </w:r>
      <w:r w:rsidR="00827ECD">
        <w:t xml:space="preserve"> until further research into the safety of gasoline pipelines had been conducted. </w:t>
      </w:r>
      <w:r w:rsidR="00E718AF">
        <w:t>Therefore, the HSE commissioned two comprehensive research studies into the safety of gasoline pipelines</w:t>
      </w:r>
      <w:r w:rsidR="00D62483">
        <w:t>, one by Arthur D. Little and the other by WS Atkins. These reports were subsequently published</w:t>
      </w:r>
      <w:r w:rsidR="00EA01A8">
        <w:t xml:space="preserve"> as HSE Contract Research Reports CRR 206</w:t>
      </w:r>
      <w:sdt>
        <w:sdtPr>
          <w:id w:val="706685242"/>
          <w:citation/>
        </w:sdtPr>
        <w:sdtEndPr/>
        <w:sdtContent>
          <w:r w:rsidR="00EA01A8">
            <w:fldChar w:fldCharType="begin"/>
          </w:r>
          <w:r w:rsidR="009870A3">
            <w:instrText xml:space="preserve">CITATION CRR206_1999 \l 2057 </w:instrText>
          </w:r>
          <w:r w:rsidR="00EA01A8">
            <w:fldChar w:fldCharType="separate"/>
          </w:r>
          <w:r w:rsidR="00142E77">
            <w:rPr>
              <w:noProof/>
            </w:rPr>
            <w:t xml:space="preserve"> [2]</w:t>
          </w:r>
          <w:r w:rsidR="00EA01A8">
            <w:fldChar w:fldCharType="end"/>
          </w:r>
        </w:sdtContent>
      </w:sdt>
      <w:r w:rsidR="00EA01A8">
        <w:t xml:space="preserve"> and CRR 210</w:t>
      </w:r>
      <w:sdt>
        <w:sdtPr>
          <w:id w:val="791010429"/>
          <w:citation/>
        </w:sdtPr>
        <w:sdtEndPr/>
        <w:sdtContent>
          <w:r w:rsidR="00EA01A8">
            <w:fldChar w:fldCharType="begin"/>
          </w:r>
          <w:r w:rsidR="00DE162D">
            <w:instrText xml:space="preserve">CITATION CRR210_1999 \l 2057 </w:instrText>
          </w:r>
          <w:r w:rsidR="00EA01A8">
            <w:fldChar w:fldCharType="separate"/>
          </w:r>
          <w:r w:rsidR="00142E77">
            <w:rPr>
              <w:noProof/>
            </w:rPr>
            <w:t xml:space="preserve"> [3]</w:t>
          </w:r>
          <w:r w:rsidR="00EA01A8">
            <w:fldChar w:fldCharType="end"/>
          </w:r>
        </w:sdtContent>
      </w:sdt>
      <w:r w:rsidR="00EA01A8">
        <w:t>.</w:t>
      </w:r>
    </w:p>
    <w:p w14:paraId="1D5019CC" w14:textId="209B6E2A" w:rsidR="00EA01A8" w:rsidRDefault="00F273F0" w:rsidP="001C51D2">
      <w:pPr>
        <w:pStyle w:val="BodyText"/>
      </w:pPr>
      <w:r>
        <w:t xml:space="preserve">HSE therefore decided not to include gasoline as a dangerous fluid in the initial </w:t>
      </w:r>
      <w:r w:rsidR="009F4D7B">
        <w:t>issue of PSR 1996 but to continue to review how it could be included at a later date.</w:t>
      </w:r>
    </w:p>
    <w:p w14:paraId="05DDFE2E" w14:textId="6F29719B" w:rsidR="009F4D7B" w:rsidRDefault="009F4D7B" w:rsidP="009F4D7B">
      <w:pPr>
        <w:pStyle w:val="Heading2"/>
      </w:pPr>
      <w:bookmarkStart w:id="5" w:name="_Toc531017324"/>
      <w:r>
        <w:t>Joint HSE-UKOPA Discussions 2003-2004</w:t>
      </w:r>
      <w:bookmarkEnd w:id="5"/>
    </w:p>
    <w:p w14:paraId="23F837A1" w14:textId="726A5EB2" w:rsidR="00EA4BA6" w:rsidRDefault="00203400" w:rsidP="00EA4BA6">
      <w:pPr>
        <w:pStyle w:val="BodyText"/>
      </w:pPr>
      <w:r w:rsidRPr="00203400">
        <w:t>HSE started discussions with UKOPA in 2003</w:t>
      </w:r>
      <w:r>
        <w:t>/</w:t>
      </w:r>
      <w:r w:rsidRPr="00203400">
        <w:t>4 to develop a satisfactory methodology for calculating land use planning (LUP) zones, but it became apparent there were differences in approach which were not resolved. In particular</w:t>
      </w:r>
      <w:r w:rsidR="00284E91">
        <w:t>,</w:t>
      </w:r>
      <w:r w:rsidRPr="00203400">
        <w:t xml:space="preserve"> there were concerns with the HSE’s proposed methodology which described a 100 metres diameter maximum pool size which was based on bunds for storage tanks and applied illogical PIPIN data for failure rates resulting in larger middle zones for smaller diameter pipelines than for larger diameter</w:t>
      </w:r>
      <w:r w:rsidR="00284E91">
        <w:t xml:space="preserve"> pipeline</w:t>
      </w:r>
      <w:r w:rsidRPr="00203400">
        <w:t xml:space="preserve">s. In July 2004, HSE decided not to proceed with revisions to PSR which would have included gasoline as a </w:t>
      </w:r>
      <w:r w:rsidR="00284E91">
        <w:t>d</w:t>
      </w:r>
      <w:r w:rsidRPr="00203400">
        <w:t xml:space="preserve">angerous </w:t>
      </w:r>
      <w:r w:rsidR="00284E91">
        <w:t>f</w:t>
      </w:r>
      <w:r w:rsidRPr="00203400">
        <w:t>luid.</w:t>
      </w:r>
    </w:p>
    <w:p w14:paraId="75BFD38A" w14:textId="3FCF6598" w:rsidR="00284E91" w:rsidRDefault="00284E91" w:rsidP="00284E91">
      <w:pPr>
        <w:pStyle w:val="Heading2"/>
      </w:pPr>
      <w:bookmarkStart w:id="6" w:name="_Toc531017325"/>
      <w:r>
        <w:t>Post</w:t>
      </w:r>
      <w:r w:rsidR="002C31D9">
        <w:t>-Buncefield Intention to Include Gasoline in PSR Amendment 2010</w:t>
      </w:r>
      <w:bookmarkEnd w:id="6"/>
    </w:p>
    <w:p w14:paraId="12795C1A" w14:textId="73E0B27B" w:rsidR="002C31D9" w:rsidRDefault="002C31D9" w:rsidP="002C31D9">
      <w:pPr>
        <w:pStyle w:val="BodyText"/>
      </w:pPr>
      <w:r>
        <w:t>The Buncefield explosion and fire</w:t>
      </w:r>
      <w:sdt>
        <w:sdtPr>
          <w:id w:val="258792902"/>
          <w:citation/>
        </w:sdtPr>
        <w:sdtEndPr/>
        <w:sdtContent>
          <w:r w:rsidR="00766BCB">
            <w:fldChar w:fldCharType="begin"/>
          </w:r>
          <w:r w:rsidR="004742B5">
            <w:instrText xml:space="preserve">CITATION Buncefield \l 2057 </w:instrText>
          </w:r>
          <w:r w:rsidR="00766BCB">
            <w:fldChar w:fldCharType="separate"/>
          </w:r>
          <w:r w:rsidR="00142E77">
            <w:rPr>
              <w:noProof/>
            </w:rPr>
            <w:t xml:space="preserve"> [4]</w:t>
          </w:r>
          <w:r w:rsidR="00766BCB">
            <w:fldChar w:fldCharType="end"/>
          </w:r>
        </w:sdtContent>
      </w:sdt>
      <w:r w:rsidR="00766BCB">
        <w:t xml:space="preserve"> in December 2005</w:t>
      </w:r>
      <w:r w:rsidR="00371400">
        <w:t xml:space="preserve"> changed the situation and HSE then decided to proceed with </w:t>
      </w:r>
      <w:r w:rsidR="00C37583">
        <w:t>amendments to PSR to include gasoline as a dangerous fluid in 2009</w:t>
      </w:r>
      <w:r w:rsidR="00765E02">
        <w:t>-2010.</w:t>
      </w:r>
      <w:r w:rsidR="007F75B5" w:rsidRPr="007F75B5">
        <w:t xml:space="preserve"> Therefore</w:t>
      </w:r>
      <w:r w:rsidR="008D0DFA">
        <w:t>,</w:t>
      </w:r>
      <w:r w:rsidR="007F75B5" w:rsidRPr="007F75B5">
        <w:t xml:space="preserve"> there was a need to develop a robust methodology which calculated the LUP zones.</w:t>
      </w:r>
    </w:p>
    <w:p w14:paraId="7B1C8432" w14:textId="6AE74772" w:rsidR="00765E02" w:rsidRDefault="008D0DFA" w:rsidP="007F75B5">
      <w:pPr>
        <w:pStyle w:val="Heading2"/>
      </w:pPr>
      <w:bookmarkStart w:id="7" w:name="_Toc531017326"/>
      <w:r>
        <w:t>UKOPA Develops Robust Methodology</w:t>
      </w:r>
      <w:bookmarkEnd w:id="7"/>
    </w:p>
    <w:p w14:paraId="45ACD84D" w14:textId="228A347A" w:rsidR="001F1053" w:rsidRDefault="001F1053" w:rsidP="001F1053">
      <w:pPr>
        <w:pStyle w:val="BodyText"/>
      </w:pPr>
      <w:r w:rsidRPr="001F1053">
        <w:t>UKOPA gasoline pipeline operators carried out extensive risk assessments over the period 2004</w:t>
      </w:r>
      <w:r>
        <w:t xml:space="preserve"> – 200</w:t>
      </w:r>
      <w:r w:rsidRPr="001F1053">
        <w:t>8, and this resulted in a better understanding of the key factors underlying the risks from gasoline pipelines. This allowed key parameters to be identified, and enabled UKOPA to propose a sensible and rational approach to assessing the risks for LUP zones. The methodology is largely based on the comprehensive survey work and methodology proposed by WS Atkins in CRR 210</w:t>
      </w:r>
      <w:sdt>
        <w:sdtPr>
          <w:id w:val="-1949850739"/>
          <w:citation/>
        </w:sdtPr>
        <w:sdtEndPr/>
        <w:sdtContent>
          <w:r>
            <w:fldChar w:fldCharType="begin"/>
          </w:r>
          <w:r w:rsidR="00DE162D">
            <w:instrText xml:space="preserve">CITATION CRR210_1999 \l 2057 </w:instrText>
          </w:r>
          <w:r>
            <w:fldChar w:fldCharType="separate"/>
          </w:r>
          <w:r w:rsidR="00142E77">
            <w:rPr>
              <w:noProof/>
            </w:rPr>
            <w:t xml:space="preserve"> [3]</w:t>
          </w:r>
          <w:r>
            <w:fldChar w:fldCharType="end"/>
          </w:r>
        </w:sdtContent>
      </w:sdt>
      <w:r w:rsidRPr="001F1053">
        <w:t>.</w:t>
      </w:r>
    </w:p>
    <w:p w14:paraId="7162DF60" w14:textId="2020E8E1" w:rsidR="00DF385D" w:rsidRDefault="00DF385D" w:rsidP="00DF385D">
      <w:pPr>
        <w:pStyle w:val="BodyText"/>
        <w:spacing w:after="240"/>
      </w:pPr>
      <w:r>
        <w:t>The proposed methodology was presented to HSE at Bootle on 2</w:t>
      </w:r>
      <w:r w:rsidRPr="00DF385D">
        <w:rPr>
          <w:vertAlign w:val="superscript"/>
        </w:rPr>
        <w:t>nd</w:t>
      </w:r>
      <w:r>
        <w:t xml:space="preserve"> November 2007. HSE raised several points, in particular concerning the calculation of the inner zone, the response time for leak identification and pump shutoff, and the use of ground soak-in. Nevertheless, </w:t>
      </w:r>
      <w:r>
        <w:lastRenderedPageBreak/>
        <w:t>UKOPA gasoline pipeline operators believe the proposed UKOPA methodology provide</w:t>
      </w:r>
      <w:r w:rsidR="00B93938">
        <w:t>d</w:t>
      </w:r>
      <w:r>
        <w:t xml:space="preserve"> a sufficiently conservative and rational approach to allow LUP zones to be calculated and HSE were requested to adopt this approach.</w:t>
      </w:r>
    </w:p>
    <w:p w14:paraId="065FB3B7" w14:textId="75DD7870" w:rsidR="001F1053" w:rsidRDefault="00DF385D" w:rsidP="00DF385D">
      <w:pPr>
        <w:pStyle w:val="BodyText"/>
      </w:pPr>
      <w:r>
        <w:t>After several meetings between UKOPA and HSE during 2008</w:t>
      </w:r>
      <w:r w:rsidR="00B93938">
        <w:t xml:space="preserve"> – </w:t>
      </w:r>
      <w:r>
        <w:t>2010, HSE published their cost benefit analysis for including gasoline, their approach to calculating risk zones, and the proposed LUP zones for several pipelines.</w:t>
      </w:r>
    </w:p>
    <w:p w14:paraId="4C625E7E" w14:textId="578B422C" w:rsidR="00A36989" w:rsidRDefault="00A36989" w:rsidP="00A36989">
      <w:pPr>
        <w:pStyle w:val="Heading2"/>
      </w:pPr>
      <w:bookmarkStart w:id="8" w:name="_Toc531017327"/>
      <w:r>
        <w:t>HSE Decision Not to Proceed 2012</w:t>
      </w:r>
      <w:bookmarkEnd w:id="8"/>
    </w:p>
    <w:p w14:paraId="408BE252" w14:textId="6E8525EB" w:rsidR="002A2C96" w:rsidRDefault="002A2C96" w:rsidP="002A2C96">
      <w:pPr>
        <w:pStyle w:val="BodyText"/>
        <w:spacing w:after="240"/>
      </w:pPr>
      <w:r>
        <w:t xml:space="preserve">Following a change in Government in 2010 the Coalition Government made it a key priority to reduce regulation. New guidelines were introduced and HSE, along with other Government departments, reviewed all proposed regulatory measures to ensure that they were in line with the Coalition's objectives. As a result, HSE decided to carry out further engagement with stakeholders and not to progress the proposed amendments to PSR at that time. </w:t>
      </w:r>
    </w:p>
    <w:p w14:paraId="147677E4" w14:textId="564B33CA" w:rsidR="00A36989" w:rsidRDefault="002A2C96" w:rsidP="002A2C96">
      <w:pPr>
        <w:pStyle w:val="BodyText"/>
      </w:pPr>
      <w:r>
        <w:t xml:space="preserve">In 2012, HSE finally decided not to proceed with the original proposal to include gasoline as a named dangerous fluid under PSR, as the existing regulatory regime </w:t>
      </w:r>
      <w:r w:rsidR="00890E72">
        <w:t>was deemed to be</w:t>
      </w:r>
      <w:r>
        <w:t xml:space="preserve"> sufficient to cover gasoline pipelines.</w:t>
      </w:r>
    </w:p>
    <w:p w14:paraId="1E0EA387" w14:textId="0EE39C90" w:rsidR="00890E72" w:rsidRDefault="00890E72" w:rsidP="00890E72">
      <w:pPr>
        <w:pStyle w:val="Heading2"/>
      </w:pPr>
      <w:bookmarkStart w:id="9" w:name="_Toc531017328"/>
      <w:r>
        <w:t>Current Situa</w:t>
      </w:r>
      <w:r w:rsidR="00B04FB7">
        <w:t>tion</w:t>
      </w:r>
      <w:bookmarkEnd w:id="9"/>
    </w:p>
    <w:p w14:paraId="547899F0" w14:textId="6C1B0122" w:rsidR="00B263C3" w:rsidRDefault="00B263C3" w:rsidP="00B263C3">
      <w:pPr>
        <w:pStyle w:val="BodyText"/>
        <w:spacing w:after="240"/>
      </w:pPr>
      <w:r>
        <w:t>During the period 2004 – 2012, UKOPA developed two risk assessment guideline documents, IGEM/TD/</w:t>
      </w:r>
      <w:r w:rsidR="00864020">
        <w:t>2</w:t>
      </w:r>
      <w:sdt>
        <w:sdtPr>
          <w:id w:val="-1726833505"/>
          <w:citation/>
        </w:sdtPr>
        <w:sdtEndPr/>
        <w:sdtContent>
          <w:r>
            <w:fldChar w:fldCharType="begin"/>
          </w:r>
          <w:r>
            <w:instrText xml:space="preserve"> CITATION TD2 \l 2057 </w:instrText>
          </w:r>
          <w:r>
            <w:fldChar w:fldCharType="separate"/>
          </w:r>
          <w:r w:rsidR="00142E77">
            <w:rPr>
              <w:noProof/>
            </w:rPr>
            <w:t xml:space="preserve"> [5]</w:t>
          </w:r>
          <w:r>
            <w:fldChar w:fldCharType="end"/>
          </w:r>
        </w:sdtContent>
      </w:sdt>
      <w:r>
        <w:t xml:space="preserve"> applying to natural gas pipelines and PD 8010</w:t>
      </w:r>
      <w:r w:rsidR="005E6B1D">
        <w:t>-</w:t>
      </w:r>
      <w:r>
        <w:t xml:space="preserve">3 </w:t>
      </w:r>
      <w:sdt>
        <w:sdtPr>
          <w:id w:val="44956873"/>
          <w:citation/>
        </w:sdtPr>
        <w:sdtEndPr/>
        <w:sdtContent>
          <w:r w:rsidR="005E6B1D">
            <w:fldChar w:fldCharType="begin"/>
          </w:r>
          <w:r w:rsidR="005E6B1D">
            <w:instrText xml:space="preserve"> CITATION PD8010_3_2012 \l 2057 </w:instrText>
          </w:r>
          <w:r w:rsidR="005E6B1D">
            <w:fldChar w:fldCharType="separate"/>
          </w:r>
          <w:r w:rsidR="00142E77">
            <w:rPr>
              <w:noProof/>
            </w:rPr>
            <w:t>[6]</w:t>
          </w:r>
          <w:r w:rsidR="005E6B1D">
            <w:fldChar w:fldCharType="end"/>
          </w:r>
        </w:sdtContent>
      </w:sdt>
      <w:r w:rsidR="005E6B1D">
        <w:t xml:space="preserve"> </w:t>
      </w:r>
      <w:r>
        <w:t>applying to other hazardous fluids, to capture all the development work carried out.</w:t>
      </w:r>
    </w:p>
    <w:p w14:paraId="31B67B02" w14:textId="78374377" w:rsidR="00B263C3" w:rsidRDefault="00B263C3" w:rsidP="00B263C3">
      <w:pPr>
        <w:pStyle w:val="BodyText"/>
        <w:spacing w:after="240"/>
      </w:pPr>
      <w:r>
        <w:t>It should be noted that HSE assessment methodology does not include the requirement to carry out societal risk analysis for populated sections of pipelines as specified in IGEM/TD/1</w:t>
      </w:r>
      <w:r w:rsidR="009142C2">
        <w:t> </w:t>
      </w:r>
      <w:sdt>
        <w:sdtPr>
          <w:id w:val="311302971"/>
          <w:citation/>
        </w:sdtPr>
        <w:sdtEndPr/>
        <w:sdtContent>
          <w:r w:rsidR="009142C2">
            <w:fldChar w:fldCharType="begin"/>
          </w:r>
          <w:r w:rsidR="009142C2">
            <w:instrText xml:space="preserve"> CITATION TD1_Ed5 \l 2057 </w:instrText>
          </w:r>
          <w:r w:rsidR="009142C2">
            <w:fldChar w:fldCharType="separate"/>
          </w:r>
          <w:r w:rsidR="00142E77">
            <w:rPr>
              <w:noProof/>
            </w:rPr>
            <w:t>[7]</w:t>
          </w:r>
          <w:r w:rsidR="009142C2">
            <w:fldChar w:fldCharType="end"/>
          </w:r>
        </w:sdtContent>
      </w:sdt>
      <w:r w:rsidR="009142C2">
        <w:t xml:space="preserve"> </w:t>
      </w:r>
      <w:r>
        <w:t xml:space="preserve">for gas pipelines, as </w:t>
      </w:r>
      <w:r w:rsidR="00DA0984">
        <w:t>societal risk is</w:t>
      </w:r>
      <w:r>
        <w:t xml:space="preserve"> implicit in their land use planning guidance</w:t>
      </w:r>
      <w:sdt>
        <w:sdtPr>
          <w:id w:val="-661853122"/>
          <w:citation/>
        </w:sdtPr>
        <w:sdtEndPr/>
        <w:sdtContent>
          <w:r w:rsidR="00DA0984">
            <w:fldChar w:fldCharType="begin"/>
          </w:r>
          <w:r w:rsidR="001A7CCD">
            <w:instrText xml:space="preserve">CITATION HSE_LUP \l 2057 </w:instrText>
          </w:r>
          <w:r w:rsidR="00DA0984">
            <w:fldChar w:fldCharType="separate"/>
          </w:r>
          <w:r w:rsidR="00142E77">
            <w:rPr>
              <w:noProof/>
            </w:rPr>
            <w:t xml:space="preserve"> [8]</w:t>
          </w:r>
          <w:r w:rsidR="00DA0984">
            <w:fldChar w:fldCharType="end"/>
          </w:r>
        </w:sdtContent>
      </w:sdt>
      <w:r>
        <w:t xml:space="preserve">. </w:t>
      </w:r>
      <w:r w:rsidR="00DA0984">
        <w:t>However,</w:t>
      </w:r>
      <w:r>
        <w:t xml:space="preserve"> </w:t>
      </w:r>
      <w:r w:rsidR="000E1D9B">
        <w:t>societal risk analysis</w:t>
      </w:r>
      <w:r>
        <w:t xml:space="preserve"> provides a robust approach to obtain a decision on whether the risk to the adjacent population is </w:t>
      </w:r>
      <w:r w:rsidR="00D762FC">
        <w:t xml:space="preserve">“as low as reasonably practicable” or </w:t>
      </w:r>
      <w:r>
        <w:t>ALARP</w:t>
      </w:r>
      <w:r w:rsidR="00C90CC5">
        <w:t>,</w:t>
      </w:r>
      <w:r>
        <w:t xml:space="preserve"> requiring further assessment of risk reduction measures, or “broadly </w:t>
      </w:r>
      <w:r w:rsidR="00C90CC5">
        <w:t>acceptable</w:t>
      </w:r>
      <w:r>
        <w:t>”</w:t>
      </w:r>
      <w:r w:rsidR="00C90CC5">
        <w:t>,</w:t>
      </w:r>
      <w:r>
        <w:t xml:space="preserve"> therefore requiring no further consideration of risk reduction.</w:t>
      </w:r>
    </w:p>
    <w:p w14:paraId="4CF9EEC5" w14:textId="287544C8" w:rsidR="00B263C3" w:rsidRDefault="00B263C3" w:rsidP="00B263C3">
      <w:pPr>
        <w:pStyle w:val="BodyText"/>
      </w:pPr>
      <w:r>
        <w:t xml:space="preserve">Recognising that gasoline pipelines (and other oil products transported at high pressure) can impose a risk in populated areas, most UKOPA </w:t>
      </w:r>
      <w:r w:rsidR="0061132F">
        <w:t xml:space="preserve">gasoline pipeline </w:t>
      </w:r>
      <w:r>
        <w:t xml:space="preserve">operators have therefore applied the societal risk </w:t>
      </w:r>
      <w:r w:rsidR="00CD70F2">
        <w:t xml:space="preserve">analysis </w:t>
      </w:r>
      <w:r>
        <w:t xml:space="preserve">methodology to their pipeline operations and in some cases have implemented additional risk reduction measures where the risk is estimated to exceed </w:t>
      </w:r>
      <w:r w:rsidR="00CD70F2">
        <w:t xml:space="preserve">broadly </w:t>
      </w:r>
      <w:r w:rsidR="0061132F">
        <w:t>accepted</w:t>
      </w:r>
      <w:r w:rsidR="00CD70F2">
        <w:t xml:space="preserve"> </w:t>
      </w:r>
      <w:r>
        <w:t xml:space="preserve">societal risk </w:t>
      </w:r>
      <w:r w:rsidR="0061132F">
        <w:t>criteria</w:t>
      </w:r>
      <w:r>
        <w:t xml:space="preserve"> in PD 8010</w:t>
      </w:r>
      <w:r w:rsidR="00CD70F2">
        <w:t>-3</w:t>
      </w:r>
      <w:r>
        <w:t>.</w:t>
      </w:r>
    </w:p>
    <w:p w14:paraId="07E61805" w14:textId="68386B0B" w:rsidR="00864020" w:rsidRDefault="00703917" w:rsidP="00703917">
      <w:pPr>
        <w:pStyle w:val="Heading1"/>
      </w:pPr>
      <w:bookmarkStart w:id="10" w:name="_Toc531017329"/>
      <w:r>
        <w:lastRenderedPageBreak/>
        <w:t xml:space="preserve">Gasoline Pipelines </w:t>
      </w:r>
      <w:r w:rsidR="00864020">
        <w:t xml:space="preserve">QRA </w:t>
      </w:r>
      <w:r w:rsidR="00265116">
        <w:t>Methodology</w:t>
      </w:r>
      <w:bookmarkEnd w:id="10"/>
    </w:p>
    <w:p w14:paraId="576F7204" w14:textId="197E630C" w:rsidR="00F63740" w:rsidRPr="00F63740" w:rsidRDefault="00F63740" w:rsidP="00F63740">
      <w:pPr>
        <w:pStyle w:val="BodyText"/>
      </w:pPr>
      <w:r>
        <w:t>The methodology developed by UKOPA for assessing the risk from gasoline pipelines in order to derive land use planning zones is detailed in the sections below.</w:t>
      </w:r>
    </w:p>
    <w:p w14:paraId="35DC721E" w14:textId="72C4EDDC" w:rsidR="00703917" w:rsidRDefault="00265116" w:rsidP="00864020">
      <w:pPr>
        <w:pStyle w:val="Heading2"/>
      </w:pPr>
      <w:bookmarkStart w:id="11" w:name="_Toc531017330"/>
      <w:r>
        <w:t>Failure Rates</w:t>
      </w:r>
      <w:bookmarkEnd w:id="11"/>
    </w:p>
    <w:p w14:paraId="783CFB5B" w14:textId="6B12E063" w:rsidR="009A7CE3" w:rsidRPr="00162893" w:rsidRDefault="009A7CE3" w:rsidP="009A7CE3">
      <w:pPr>
        <w:widowControl w:val="0"/>
        <w:suppressAutoHyphens w:val="0"/>
        <w:overflowPunct w:val="0"/>
        <w:autoSpaceDE w:val="0"/>
        <w:autoSpaceDN w:val="0"/>
        <w:adjustRightInd w:val="0"/>
        <w:spacing w:before="240" w:after="240" w:line="264" w:lineRule="auto"/>
        <w:ind w:left="850"/>
        <w:rPr>
          <w:rFonts w:ascii="Arial" w:hAnsi="Arial" w:cs="Arial"/>
          <w:kern w:val="28"/>
          <w:lang w:eastAsia="en-GB"/>
        </w:rPr>
      </w:pPr>
      <w:r w:rsidRPr="00162893">
        <w:rPr>
          <w:rFonts w:ascii="Arial" w:hAnsi="Arial" w:cs="Arial"/>
          <w:kern w:val="28"/>
          <w:lang w:eastAsia="en-GB"/>
        </w:rPr>
        <w:t>Underground steel pipelines are a very safe and reliable way of transporting high pressure liquid fuels, in both Class 1 (</w:t>
      </w:r>
      <w:r>
        <w:rPr>
          <w:rFonts w:ascii="Arial" w:hAnsi="Arial" w:cs="Arial"/>
          <w:kern w:val="28"/>
          <w:lang w:eastAsia="en-GB"/>
        </w:rPr>
        <w:t>R</w:t>
      </w:r>
      <w:r w:rsidRPr="00162893">
        <w:rPr>
          <w:rFonts w:ascii="Arial" w:hAnsi="Arial" w:cs="Arial"/>
          <w:kern w:val="28"/>
          <w:lang w:eastAsia="en-GB"/>
        </w:rPr>
        <w:t>ural) areas and in Class 2 (</w:t>
      </w:r>
      <w:r>
        <w:rPr>
          <w:rFonts w:ascii="Arial" w:hAnsi="Arial" w:cs="Arial"/>
          <w:kern w:val="28"/>
          <w:lang w:eastAsia="en-GB"/>
        </w:rPr>
        <w:t>S</w:t>
      </w:r>
      <w:r w:rsidRPr="00162893">
        <w:rPr>
          <w:rFonts w:ascii="Arial" w:hAnsi="Arial" w:cs="Arial"/>
          <w:kern w:val="28"/>
          <w:lang w:eastAsia="en-GB"/>
        </w:rPr>
        <w:t>uburban) areas</w:t>
      </w:r>
      <w:r>
        <w:rPr>
          <w:rFonts w:ascii="Arial" w:hAnsi="Arial" w:cs="Arial"/>
          <w:kern w:val="28"/>
          <w:lang w:eastAsia="en-GB"/>
        </w:rPr>
        <w:t xml:space="preserve"> </w:t>
      </w:r>
      <w:sdt>
        <w:sdtPr>
          <w:rPr>
            <w:rFonts w:ascii="Arial" w:hAnsi="Arial" w:cs="Arial"/>
            <w:kern w:val="28"/>
            <w:lang w:eastAsia="en-GB"/>
          </w:rPr>
          <w:id w:val="895943076"/>
          <w:citation/>
        </w:sdtPr>
        <w:sdtEndPr/>
        <w:sdtContent>
          <w:r w:rsidR="005D4875">
            <w:rPr>
              <w:rFonts w:ascii="Arial" w:hAnsi="Arial" w:cs="Arial"/>
              <w:kern w:val="28"/>
              <w:lang w:eastAsia="en-GB"/>
            </w:rPr>
            <w:fldChar w:fldCharType="begin"/>
          </w:r>
          <w:r w:rsidR="005D4875">
            <w:rPr>
              <w:rFonts w:ascii="Arial" w:hAnsi="Arial" w:cs="Arial"/>
              <w:kern w:val="28"/>
              <w:lang w:eastAsia="en-GB"/>
            </w:rPr>
            <w:instrText xml:space="preserve"> CITATION PD8010_1_2015 \l 2057 </w:instrText>
          </w:r>
          <w:r w:rsidR="005D4875">
            <w:rPr>
              <w:rFonts w:ascii="Arial" w:hAnsi="Arial" w:cs="Arial"/>
              <w:kern w:val="28"/>
              <w:lang w:eastAsia="en-GB"/>
            </w:rPr>
            <w:fldChar w:fldCharType="separate"/>
          </w:r>
          <w:r w:rsidR="00142E77" w:rsidRPr="00142E77">
            <w:rPr>
              <w:rFonts w:ascii="Arial" w:hAnsi="Arial" w:cs="Arial"/>
              <w:noProof/>
              <w:kern w:val="28"/>
              <w:lang w:eastAsia="en-GB"/>
            </w:rPr>
            <w:t>[9]</w:t>
          </w:r>
          <w:r w:rsidR="005D4875">
            <w:rPr>
              <w:rFonts w:ascii="Arial" w:hAnsi="Arial" w:cs="Arial"/>
              <w:kern w:val="28"/>
              <w:lang w:eastAsia="en-GB"/>
            </w:rPr>
            <w:fldChar w:fldCharType="end"/>
          </w:r>
        </w:sdtContent>
      </w:sdt>
      <w:r w:rsidRPr="00162893">
        <w:rPr>
          <w:rFonts w:ascii="Arial" w:hAnsi="Arial" w:cs="Arial"/>
          <w:kern w:val="28"/>
          <w:lang w:eastAsia="en-GB"/>
        </w:rPr>
        <w:t>, especially when compared to road or rail transport.</w:t>
      </w:r>
    </w:p>
    <w:p w14:paraId="5683D70E" w14:textId="2DB609A0" w:rsidR="009A7CE3" w:rsidRPr="00162893" w:rsidRDefault="00CB7924" w:rsidP="009A7CE3">
      <w:pPr>
        <w:widowControl w:val="0"/>
        <w:suppressAutoHyphens w:val="0"/>
        <w:overflowPunct w:val="0"/>
        <w:autoSpaceDE w:val="0"/>
        <w:autoSpaceDN w:val="0"/>
        <w:adjustRightInd w:val="0"/>
        <w:spacing w:before="240" w:after="240" w:line="264" w:lineRule="auto"/>
        <w:ind w:left="850"/>
        <w:rPr>
          <w:rFonts w:ascii="Arial" w:hAnsi="Arial" w:cs="Arial"/>
          <w:kern w:val="28"/>
          <w:lang w:eastAsia="en-GB"/>
        </w:rPr>
      </w:pPr>
      <w:r w:rsidRPr="00162893">
        <w:rPr>
          <w:rFonts w:ascii="Arial" w:hAnsi="Arial" w:cs="Arial"/>
          <w:kern w:val="28"/>
          <w:lang w:eastAsia="en-GB"/>
        </w:rPr>
        <w:t>However,</w:t>
      </w:r>
      <w:r w:rsidR="009A7CE3" w:rsidRPr="00162893">
        <w:rPr>
          <w:rFonts w:ascii="Arial" w:hAnsi="Arial" w:cs="Arial"/>
          <w:kern w:val="28"/>
          <w:lang w:eastAsia="en-GB"/>
        </w:rPr>
        <w:t xml:space="preserve"> they are subject to several low-probability failure modes, typically:</w:t>
      </w:r>
    </w:p>
    <w:p w14:paraId="1ADE1DD0" w14:textId="591DAA55" w:rsidR="009A7CE3" w:rsidRDefault="009A7CE3" w:rsidP="009A7CE3">
      <w:pPr>
        <w:pStyle w:val="ListParagraph"/>
        <w:widowControl w:val="0"/>
        <w:numPr>
          <w:ilvl w:val="0"/>
          <w:numId w:val="42"/>
        </w:numPr>
        <w:suppressAutoHyphens w:val="0"/>
        <w:overflowPunct w:val="0"/>
        <w:autoSpaceDE w:val="0"/>
        <w:autoSpaceDN w:val="0"/>
        <w:adjustRightInd w:val="0"/>
        <w:spacing w:before="240" w:after="240" w:line="264" w:lineRule="auto"/>
        <w:rPr>
          <w:rFonts w:ascii="Arial" w:hAnsi="Arial" w:cs="Arial"/>
          <w:kern w:val="28"/>
          <w:lang w:eastAsia="en-GB"/>
        </w:rPr>
      </w:pPr>
      <w:r w:rsidRPr="00D47851">
        <w:rPr>
          <w:rFonts w:ascii="Arial" w:hAnsi="Arial" w:cs="Arial"/>
          <w:kern w:val="28"/>
          <w:lang w:eastAsia="en-GB"/>
        </w:rPr>
        <w:t xml:space="preserve">External excavation causing damage to the pipeline, usually by unauthorized 3rd party activities – this is the most probable cause of pipeline </w:t>
      </w:r>
      <w:r w:rsidR="00CB7924" w:rsidRPr="00D47851">
        <w:rPr>
          <w:rFonts w:ascii="Arial" w:hAnsi="Arial" w:cs="Arial"/>
          <w:kern w:val="28"/>
          <w:lang w:eastAsia="en-GB"/>
        </w:rPr>
        <w:t>failure and</w:t>
      </w:r>
      <w:r w:rsidRPr="00D47851">
        <w:rPr>
          <w:rFonts w:ascii="Arial" w:hAnsi="Arial" w:cs="Arial"/>
          <w:kern w:val="28"/>
          <w:lang w:eastAsia="en-GB"/>
        </w:rPr>
        <w:t xml:space="preserve"> is approximately four times more likely in suburban areas where service organizations (electricity, telephone, water, sewage etc.) frequently excavate roads and pavements.</w:t>
      </w:r>
    </w:p>
    <w:p w14:paraId="562A735A" w14:textId="77777777" w:rsidR="009A7CE3" w:rsidRPr="00D47851" w:rsidRDefault="009A7CE3" w:rsidP="009A7CE3">
      <w:pPr>
        <w:pStyle w:val="ListParagraph"/>
        <w:widowControl w:val="0"/>
        <w:suppressAutoHyphens w:val="0"/>
        <w:overflowPunct w:val="0"/>
        <w:autoSpaceDE w:val="0"/>
        <w:autoSpaceDN w:val="0"/>
        <w:adjustRightInd w:val="0"/>
        <w:spacing w:before="240" w:after="240" w:line="264" w:lineRule="auto"/>
        <w:ind w:left="1570"/>
        <w:rPr>
          <w:rFonts w:ascii="Arial" w:hAnsi="Arial" w:cs="Arial"/>
          <w:kern w:val="28"/>
          <w:lang w:eastAsia="en-GB"/>
        </w:rPr>
      </w:pPr>
    </w:p>
    <w:p w14:paraId="359825C7" w14:textId="31DFB044" w:rsidR="009A7CE3" w:rsidRDefault="009A7CE3" w:rsidP="009A7CE3">
      <w:pPr>
        <w:pStyle w:val="ListParagraph"/>
        <w:widowControl w:val="0"/>
        <w:numPr>
          <w:ilvl w:val="0"/>
          <w:numId w:val="42"/>
        </w:numPr>
        <w:suppressAutoHyphens w:val="0"/>
        <w:overflowPunct w:val="0"/>
        <w:autoSpaceDE w:val="0"/>
        <w:autoSpaceDN w:val="0"/>
        <w:adjustRightInd w:val="0"/>
        <w:spacing w:before="240" w:after="240" w:line="264" w:lineRule="auto"/>
        <w:rPr>
          <w:rFonts w:ascii="Arial" w:hAnsi="Arial" w:cs="Arial"/>
          <w:kern w:val="28"/>
          <w:lang w:eastAsia="en-GB"/>
        </w:rPr>
      </w:pPr>
      <w:r w:rsidRPr="00D47851">
        <w:rPr>
          <w:rFonts w:ascii="Arial" w:hAnsi="Arial" w:cs="Arial"/>
          <w:kern w:val="28"/>
          <w:lang w:eastAsia="en-GB"/>
        </w:rPr>
        <w:t xml:space="preserve">Mechanical failure is a lower probability risk, caused by some inherent weakness in the pipe wall, either from original manufacture of the pipe, or from any damage which occurred during construction work when the pipe was laid in the ground. </w:t>
      </w:r>
    </w:p>
    <w:p w14:paraId="28EE1438" w14:textId="77777777" w:rsidR="009A7CE3" w:rsidRPr="00D47851" w:rsidRDefault="009A7CE3" w:rsidP="009A7CE3">
      <w:pPr>
        <w:pStyle w:val="ListParagraph"/>
        <w:widowControl w:val="0"/>
        <w:suppressAutoHyphens w:val="0"/>
        <w:overflowPunct w:val="0"/>
        <w:autoSpaceDE w:val="0"/>
        <w:autoSpaceDN w:val="0"/>
        <w:adjustRightInd w:val="0"/>
        <w:spacing w:before="240" w:after="240" w:line="264" w:lineRule="auto"/>
        <w:ind w:left="1570"/>
        <w:rPr>
          <w:rFonts w:ascii="Arial" w:hAnsi="Arial" w:cs="Arial"/>
          <w:kern w:val="28"/>
          <w:lang w:eastAsia="en-GB"/>
        </w:rPr>
      </w:pPr>
    </w:p>
    <w:p w14:paraId="508A626A" w14:textId="77777777" w:rsidR="009A7CE3" w:rsidRDefault="009A7CE3" w:rsidP="009A7CE3">
      <w:pPr>
        <w:pStyle w:val="ListParagraph"/>
        <w:widowControl w:val="0"/>
        <w:numPr>
          <w:ilvl w:val="0"/>
          <w:numId w:val="42"/>
        </w:numPr>
        <w:suppressAutoHyphens w:val="0"/>
        <w:overflowPunct w:val="0"/>
        <w:autoSpaceDE w:val="0"/>
        <w:autoSpaceDN w:val="0"/>
        <w:adjustRightInd w:val="0"/>
        <w:spacing w:before="240" w:after="240" w:line="264" w:lineRule="auto"/>
        <w:rPr>
          <w:rFonts w:ascii="Arial" w:hAnsi="Arial" w:cs="Arial"/>
          <w:kern w:val="28"/>
          <w:lang w:eastAsia="en-GB"/>
        </w:rPr>
      </w:pPr>
      <w:r w:rsidRPr="00162893">
        <w:rPr>
          <w:rFonts w:ascii="Arial" w:hAnsi="Arial" w:cs="Arial"/>
          <w:kern w:val="28"/>
          <w:lang w:eastAsia="en-GB"/>
        </w:rPr>
        <w:t xml:space="preserve">Internal or external corrosion is also a lower probability risk. A corrosion failure is likely to occur as small leak only giving warning before developing into a larger leak. </w:t>
      </w:r>
    </w:p>
    <w:p w14:paraId="67EE4D94" w14:textId="77777777" w:rsidR="009A7CE3" w:rsidRPr="00D47851" w:rsidRDefault="009A7CE3" w:rsidP="009A7CE3">
      <w:pPr>
        <w:pStyle w:val="ListParagraph"/>
        <w:spacing w:before="0" w:after="0"/>
        <w:jc w:val="left"/>
        <w:rPr>
          <w:rFonts w:ascii="Arial" w:hAnsi="Arial" w:cs="Arial"/>
          <w:kern w:val="28"/>
          <w:lang w:eastAsia="en-GB"/>
        </w:rPr>
      </w:pPr>
    </w:p>
    <w:p w14:paraId="3C231523" w14:textId="77777777" w:rsidR="009A7CE3" w:rsidRDefault="009A7CE3" w:rsidP="009A7CE3">
      <w:pPr>
        <w:pStyle w:val="ListParagraph"/>
        <w:widowControl w:val="0"/>
        <w:numPr>
          <w:ilvl w:val="0"/>
          <w:numId w:val="42"/>
        </w:numPr>
        <w:suppressAutoHyphens w:val="0"/>
        <w:overflowPunct w:val="0"/>
        <w:autoSpaceDE w:val="0"/>
        <w:autoSpaceDN w:val="0"/>
        <w:adjustRightInd w:val="0"/>
        <w:spacing w:before="240" w:after="240" w:line="264" w:lineRule="auto"/>
        <w:rPr>
          <w:rFonts w:ascii="Arial" w:hAnsi="Arial" w:cs="Arial"/>
          <w:kern w:val="28"/>
          <w:lang w:eastAsia="en-GB"/>
        </w:rPr>
      </w:pPr>
      <w:r w:rsidRPr="00162893">
        <w:rPr>
          <w:rFonts w:ascii="Arial" w:hAnsi="Arial" w:cs="Arial"/>
          <w:kern w:val="28"/>
          <w:lang w:eastAsia="en-GB"/>
        </w:rPr>
        <w:t>Ground movement from natural or man-made causes – this failure mechanism usually occurs where there is a risk of landslide or other ground movement affecting the pipeline route. It is not usually as significant when compared to other failure mechanisms.</w:t>
      </w:r>
    </w:p>
    <w:p w14:paraId="28EEA88C" w14:textId="77777777" w:rsidR="009A7CE3" w:rsidRPr="00162893" w:rsidRDefault="009A7CE3" w:rsidP="009A7CE3">
      <w:pPr>
        <w:pStyle w:val="ListParagraph"/>
        <w:widowControl w:val="0"/>
        <w:suppressAutoHyphens w:val="0"/>
        <w:overflowPunct w:val="0"/>
        <w:autoSpaceDE w:val="0"/>
        <w:autoSpaceDN w:val="0"/>
        <w:adjustRightInd w:val="0"/>
        <w:spacing w:before="240" w:after="240" w:line="264" w:lineRule="auto"/>
        <w:ind w:left="1570"/>
        <w:rPr>
          <w:rFonts w:ascii="Arial" w:hAnsi="Arial" w:cs="Arial"/>
          <w:kern w:val="28"/>
          <w:lang w:eastAsia="en-GB"/>
        </w:rPr>
      </w:pPr>
    </w:p>
    <w:p w14:paraId="66C4CB9D" w14:textId="2CB940B8" w:rsidR="009A7CE3" w:rsidRPr="00162893" w:rsidRDefault="009A7CE3" w:rsidP="009A7CE3">
      <w:pPr>
        <w:pStyle w:val="ListParagraph"/>
        <w:widowControl w:val="0"/>
        <w:numPr>
          <w:ilvl w:val="0"/>
          <w:numId w:val="42"/>
        </w:numPr>
        <w:suppressAutoHyphens w:val="0"/>
        <w:overflowPunct w:val="0"/>
        <w:autoSpaceDE w:val="0"/>
        <w:autoSpaceDN w:val="0"/>
        <w:adjustRightInd w:val="0"/>
        <w:spacing w:before="240" w:after="240" w:line="264" w:lineRule="auto"/>
        <w:rPr>
          <w:rFonts w:ascii="Arial" w:hAnsi="Arial" w:cs="Arial"/>
          <w:kern w:val="28"/>
          <w:lang w:eastAsia="en-GB"/>
        </w:rPr>
      </w:pPr>
      <w:r w:rsidRPr="00162893">
        <w:rPr>
          <w:rFonts w:ascii="Arial" w:hAnsi="Arial" w:cs="Arial"/>
          <w:kern w:val="28"/>
          <w:lang w:eastAsia="en-GB"/>
        </w:rPr>
        <w:t xml:space="preserve">Operational failure – due to operation outside expected design limits, over-pressure, cycling, and fatigue are possible causes. </w:t>
      </w:r>
      <w:r w:rsidR="00BF3A85" w:rsidRPr="00162893">
        <w:rPr>
          <w:rFonts w:ascii="Arial" w:hAnsi="Arial" w:cs="Arial"/>
          <w:kern w:val="28"/>
          <w:lang w:eastAsia="en-GB"/>
        </w:rPr>
        <w:t>However,</w:t>
      </w:r>
      <w:r w:rsidRPr="00162893">
        <w:rPr>
          <w:rFonts w:ascii="Arial" w:hAnsi="Arial" w:cs="Arial"/>
          <w:kern w:val="28"/>
          <w:lang w:eastAsia="en-GB"/>
        </w:rPr>
        <w:t xml:space="preserve"> design and operating systems, controls and procedures reduce the risk to a lower order of magnitude compared to the main four causes.</w:t>
      </w:r>
    </w:p>
    <w:p w14:paraId="2D6BD254" w14:textId="5B26EC4C" w:rsidR="00265116" w:rsidRDefault="00845903" w:rsidP="00265116">
      <w:pPr>
        <w:pStyle w:val="BodyText"/>
      </w:pPr>
      <w:r w:rsidRPr="00845903">
        <w:t>Other failure modes are possible, but the first four mechanisms tend to dominate cross-country pipeline failures.</w:t>
      </w:r>
    </w:p>
    <w:p w14:paraId="7F440FA0" w14:textId="3DB8694E" w:rsidR="00845903" w:rsidRDefault="00845903" w:rsidP="00864020">
      <w:pPr>
        <w:pStyle w:val="Heading3"/>
      </w:pPr>
      <w:r>
        <w:t>Derivation of Failure Rates</w:t>
      </w:r>
    </w:p>
    <w:p w14:paraId="20A05E4C" w14:textId="784A9F3E" w:rsidR="007462DD" w:rsidRDefault="007462DD" w:rsidP="007462DD">
      <w:pPr>
        <w:pStyle w:val="BodyText"/>
        <w:spacing w:after="240"/>
      </w:pPr>
      <w:r>
        <w:t>Based on historical data</w:t>
      </w:r>
      <w:r w:rsidR="00621AA9">
        <w:t xml:space="preserve"> collected by various groups</w:t>
      </w:r>
      <w:r>
        <w:t xml:space="preserve">, it </w:t>
      </w:r>
      <w:r w:rsidR="00621AA9">
        <w:t>is</w:t>
      </w:r>
      <w:r>
        <w:t xml:space="preserve"> possible to build up extensive databases of failure rates of UK pipelines, such that predictions of failure rates can be obtained for specific pipeline design</w:t>
      </w:r>
      <w:r w:rsidR="00621AA9">
        <w:t xml:space="preserve"> parameter</w:t>
      </w:r>
      <w:r>
        <w:t>s.</w:t>
      </w:r>
    </w:p>
    <w:p w14:paraId="66ACB6F7" w14:textId="274423C1" w:rsidR="00845903" w:rsidRDefault="007462DD" w:rsidP="007462DD">
      <w:pPr>
        <w:pStyle w:val="BodyText"/>
      </w:pPr>
      <w:r>
        <w:t xml:space="preserve">Analysis of CONCAWE data </w:t>
      </w:r>
      <w:sdt>
        <w:sdtPr>
          <w:id w:val="-2120903623"/>
          <w:citation/>
        </w:sdtPr>
        <w:sdtEndPr/>
        <w:sdtContent>
          <w:r w:rsidR="003620EF">
            <w:fldChar w:fldCharType="begin"/>
          </w:r>
          <w:r w:rsidR="00CD27BA">
            <w:instrText xml:space="preserve">CITATION CONCAWE_8_11 \l 2057 </w:instrText>
          </w:r>
          <w:r w:rsidR="003620EF">
            <w:fldChar w:fldCharType="separate"/>
          </w:r>
          <w:r w:rsidR="00142E77">
            <w:rPr>
              <w:noProof/>
            </w:rPr>
            <w:t>[10]</w:t>
          </w:r>
          <w:r w:rsidR="003620EF">
            <w:fldChar w:fldCharType="end"/>
          </w:r>
        </w:sdtContent>
      </w:sdt>
      <w:r w:rsidR="00621AA9">
        <w:t>,</w:t>
      </w:r>
      <w:r w:rsidR="00F63740">
        <w:t xml:space="preserve"> </w:t>
      </w:r>
      <w:r w:rsidR="00621AA9">
        <w:t>which covers</w:t>
      </w:r>
      <w:r>
        <w:t xml:space="preserve"> crude oil and produc</w:t>
      </w:r>
      <w:r w:rsidR="002F4C7B">
        <w:t>t</w:t>
      </w:r>
      <w:r>
        <w:t xml:space="preserve"> pipeline</w:t>
      </w:r>
      <w:r w:rsidR="002F4C7B">
        <w:t>s</w:t>
      </w:r>
      <w:r>
        <w:t xml:space="preserve"> in Europe</w:t>
      </w:r>
      <w:r w:rsidR="00621AA9">
        <w:t>,</w:t>
      </w:r>
      <w:r>
        <w:t xml:space="preserve"> for the period 1971</w:t>
      </w:r>
      <w:r w:rsidR="002F4C7B">
        <w:t xml:space="preserve"> – </w:t>
      </w:r>
      <w:r>
        <w:t>20</w:t>
      </w:r>
      <w:r w:rsidR="00CD27BA">
        <w:t>09</w:t>
      </w:r>
      <w:r>
        <w:t xml:space="preserve"> </w:t>
      </w:r>
      <w:r w:rsidR="00A01544">
        <w:t>gives</w:t>
      </w:r>
      <w:r>
        <w:t xml:space="preserve"> the </w:t>
      </w:r>
      <w:r w:rsidR="002F4C7B">
        <w:t xml:space="preserve">relative </w:t>
      </w:r>
      <w:r>
        <w:t xml:space="preserve">contributions </w:t>
      </w:r>
      <w:r w:rsidR="00621AA9">
        <w:t xml:space="preserve">to gasoline pipeline failure rates </w:t>
      </w:r>
      <w:r>
        <w:t>from various causes</w:t>
      </w:r>
      <w:r w:rsidR="00A474FF">
        <w:t xml:space="preserve"> as shown in </w:t>
      </w:r>
      <w:r w:rsidR="00006911">
        <w:fldChar w:fldCharType="begin"/>
      </w:r>
      <w:r w:rsidR="00006911">
        <w:instrText xml:space="preserve"> REF _Ref520189254 \h </w:instrText>
      </w:r>
      <w:r w:rsidR="00006911">
        <w:fldChar w:fldCharType="separate"/>
      </w:r>
      <w:r w:rsidR="00B16850">
        <w:t>Figure </w:t>
      </w:r>
      <w:r w:rsidR="00B16850">
        <w:rPr>
          <w:noProof/>
        </w:rPr>
        <w:t>3</w:t>
      </w:r>
      <w:r w:rsidR="00B16850">
        <w:t>.</w:t>
      </w:r>
      <w:r w:rsidR="00B16850">
        <w:rPr>
          <w:noProof/>
        </w:rPr>
        <w:t>1</w:t>
      </w:r>
      <w:r w:rsidR="00006911">
        <w:fldChar w:fldCharType="end"/>
      </w:r>
      <w:r w:rsidR="00006911">
        <w:t>.</w:t>
      </w:r>
    </w:p>
    <w:p w14:paraId="523AB1DA" w14:textId="77777777" w:rsidR="00A474FF" w:rsidRDefault="00A962AE" w:rsidP="00006911">
      <w:pPr>
        <w:pStyle w:val="BodyText"/>
        <w:keepNext/>
        <w:jc w:val="center"/>
      </w:pPr>
      <w:r>
        <w:rPr>
          <w:rFonts w:ascii="Arial" w:hAnsi="Arial" w:cs="Arial"/>
          <w:noProof/>
          <w:kern w:val="28"/>
          <w:lang w:val="en-US" w:eastAsia="zh-CN"/>
        </w:rPr>
        <w:lastRenderedPageBreak/>
        <w:drawing>
          <wp:inline distT="0" distB="0" distL="0" distR="0" wp14:anchorId="708CDD02" wp14:editId="67078764">
            <wp:extent cx="3739277" cy="25775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9396" cy="2577665"/>
                    </a:xfrm>
                    <a:prstGeom prst="rect">
                      <a:avLst/>
                    </a:prstGeom>
                    <a:noFill/>
                    <a:ln>
                      <a:noFill/>
                    </a:ln>
                  </pic:spPr>
                </pic:pic>
              </a:graphicData>
            </a:graphic>
          </wp:inline>
        </w:drawing>
      </w:r>
    </w:p>
    <w:p w14:paraId="751D1F4D" w14:textId="4BD95803" w:rsidR="00A962AE" w:rsidRDefault="00A474FF" w:rsidP="00D328B3">
      <w:pPr>
        <w:pStyle w:val="Caption"/>
      </w:pPr>
      <w:bookmarkStart w:id="12" w:name="_Ref520189254"/>
      <w:r>
        <w:t>Figure </w:t>
      </w:r>
      <w:r w:rsidR="00C51F88">
        <w:rPr>
          <w:noProof/>
        </w:rPr>
        <w:fldChar w:fldCharType="begin"/>
      </w:r>
      <w:r w:rsidR="00C51F88">
        <w:rPr>
          <w:noProof/>
        </w:rPr>
        <w:instrText xml:space="preserve"> STYLEREF 1 \s </w:instrText>
      </w:r>
      <w:r w:rsidR="00C51F88">
        <w:rPr>
          <w:noProof/>
        </w:rPr>
        <w:fldChar w:fldCharType="separate"/>
      </w:r>
      <w:r w:rsidR="009E63B9">
        <w:rPr>
          <w:noProof/>
        </w:rPr>
        <w:t>3</w:t>
      </w:r>
      <w:r w:rsidR="00C51F88">
        <w:rPr>
          <w:noProof/>
        </w:rPr>
        <w:fldChar w:fldCharType="end"/>
      </w:r>
      <w:r w:rsidR="009E63B9">
        <w:t>.</w:t>
      </w:r>
      <w:r w:rsidR="00C51F88">
        <w:rPr>
          <w:noProof/>
        </w:rPr>
        <w:fldChar w:fldCharType="begin"/>
      </w:r>
      <w:r w:rsidR="00C51F88">
        <w:rPr>
          <w:noProof/>
        </w:rPr>
        <w:instrText xml:space="preserve"> SEQ Figure \* ARABIC \s 1 </w:instrText>
      </w:r>
      <w:r w:rsidR="00C51F88">
        <w:rPr>
          <w:noProof/>
        </w:rPr>
        <w:fldChar w:fldCharType="separate"/>
      </w:r>
      <w:r w:rsidR="009E63B9">
        <w:rPr>
          <w:noProof/>
        </w:rPr>
        <w:t>1</w:t>
      </w:r>
      <w:r w:rsidR="00C51F88">
        <w:rPr>
          <w:noProof/>
        </w:rPr>
        <w:fldChar w:fldCharType="end"/>
      </w:r>
      <w:bookmarkEnd w:id="12"/>
      <w:r>
        <w:t xml:space="preserve">: </w:t>
      </w:r>
      <w:r w:rsidR="00006911">
        <w:t xml:space="preserve">CONCAWE </w:t>
      </w:r>
      <w:r w:rsidR="00006911" w:rsidRPr="00D328B3">
        <w:t>Causes</w:t>
      </w:r>
      <w:r w:rsidR="00006911">
        <w:t xml:space="preserve"> of Failure (1971 – 2009)</w:t>
      </w:r>
      <w:r w:rsidR="00621AA9">
        <w:t xml:space="preserve"> – Gasoline Pipelines</w:t>
      </w:r>
    </w:p>
    <w:p w14:paraId="29EE85A0" w14:textId="0FA64AC7" w:rsidR="00A70459" w:rsidRPr="00162893" w:rsidRDefault="00A70459" w:rsidP="00A70459">
      <w:pPr>
        <w:pStyle w:val="BodyText"/>
        <w:rPr>
          <w:lang w:eastAsia="en-GB"/>
        </w:rPr>
      </w:pPr>
      <w:r w:rsidRPr="00162893">
        <w:rPr>
          <w:lang w:eastAsia="en-GB"/>
        </w:rPr>
        <w:t xml:space="preserve">Based on a total of 980,000 </w:t>
      </w:r>
      <w:proofErr w:type="spellStart"/>
      <w:proofErr w:type="gramStart"/>
      <w:r w:rsidRPr="00162893">
        <w:rPr>
          <w:lang w:eastAsia="en-GB"/>
        </w:rPr>
        <w:t>km</w:t>
      </w:r>
      <w:r w:rsidR="005021E2">
        <w:rPr>
          <w:lang w:eastAsia="en-GB"/>
        </w:rPr>
        <w:t>.</w:t>
      </w:r>
      <w:r w:rsidRPr="00162893">
        <w:rPr>
          <w:lang w:eastAsia="en-GB"/>
        </w:rPr>
        <w:t>years</w:t>
      </w:r>
      <w:proofErr w:type="spellEnd"/>
      <w:proofErr w:type="gramEnd"/>
      <w:r w:rsidRPr="00162893">
        <w:rPr>
          <w:lang w:eastAsia="en-GB"/>
        </w:rPr>
        <w:t xml:space="preserve"> of exposure, the overall failure rate is 0.26 failure</w:t>
      </w:r>
      <w:r w:rsidR="00D328B3">
        <w:rPr>
          <w:lang w:eastAsia="en-GB"/>
        </w:rPr>
        <w:t>s</w:t>
      </w:r>
      <w:r w:rsidRPr="00162893">
        <w:rPr>
          <w:lang w:eastAsia="en-GB"/>
        </w:rPr>
        <w:t xml:space="preserve"> per </w:t>
      </w:r>
      <w:r w:rsidR="00FF2545">
        <w:rPr>
          <w:lang w:eastAsia="en-GB"/>
        </w:rPr>
        <w:t xml:space="preserve">1000 km </w:t>
      </w:r>
      <w:r w:rsidRPr="00162893">
        <w:rPr>
          <w:lang w:eastAsia="en-GB"/>
        </w:rPr>
        <w:t>year</w:t>
      </w:r>
      <w:r w:rsidR="00FF2545">
        <w:rPr>
          <w:lang w:eastAsia="en-GB"/>
        </w:rPr>
        <w:t>s</w:t>
      </w:r>
      <w:r w:rsidRPr="00162893">
        <w:rPr>
          <w:lang w:eastAsia="en-GB"/>
        </w:rPr>
        <w:t>.</w:t>
      </w:r>
    </w:p>
    <w:p w14:paraId="1621D98C" w14:textId="326CAE9B" w:rsidR="005E4F8A" w:rsidRDefault="00A70459" w:rsidP="00D73ADF">
      <w:pPr>
        <w:pStyle w:val="BodyText"/>
        <w:rPr>
          <w:lang w:eastAsia="en-GB"/>
        </w:rPr>
      </w:pPr>
      <w:r w:rsidRPr="00162893">
        <w:rPr>
          <w:lang w:eastAsia="en-GB"/>
        </w:rPr>
        <w:t>However, more specific failure rates can be derived for the UK gasoline pipelines.</w:t>
      </w:r>
      <w:r w:rsidR="00D73ADF">
        <w:rPr>
          <w:lang w:eastAsia="en-GB"/>
        </w:rPr>
        <w:t xml:space="preserve"> </w:t>
      </w:r>
      <w:r w:rsidRPr="00162893">
        <w:rPr>
          <w:lang w:eastAsia="en-GB"/>
        </w:rPr>
        <w:t xml:space="preserve">External interference failure rates </w:t>
      </w:r>
      <w:r w:rsidR="00985675">
        <w:rPr>
          <w:lang w:eastAsia="en-GB"/>
        </w:rPr>
        <w:t>can be</w:t>
      </w:r>
      <w:r w:rsidRPr="00162893">
        <w:rPr>
          <w:lang w:eastAsia="en-GB"/>
        </w:rPr>
        <w:t xml:space="preserve"> derived using UK data </w:t>
      </w:r>
      <w:r w:rsidR="00985675">
        <w:rPr>
          <w:lang w:eastAsia="en-GB"/>
        </w:rPr>
        <w:t>from</w:t>
      </w:r>
      <w:r w:rsidR="004F66DC">
        <w:rPr>
          <w:lang w:eastAsia="en-GB"/>
        </w:rPr>
        <w:t xml:space="preserve"> the </w:t>
      </w:r>
      <w:r w:rsidRPr="00162893">
        <w:rPr>
          <w:lang w:eastAsia="en-GB"/>
        </w:rPr>
        <w:t xml:space="preserve">UKOPA </w:t>
      </w:r>
      <w:r w:rsidR="004F66DC">
        <w:rPr>
          <w:lang w:eastAsia="en-GB"/>
        </w:rPr>
        <w:t xml:space="preserve">database for </w:t>
      </w:r>
      <w:r w:rsidRPr="00162893">
        <w:rPr>
          <w:lang w:eastAsia="en-GB"/>
        </w:rPr>
        <w:t>Major Accident Hazard Pipelines (MAHPs) for the period 1968</w:t>
      </w:r>
      <w:r w:rsidR="00B16850">
        <w:rPr>
          <w:lang w:eastAsia="en-GB"/>
        </w:rPr>
        <w:t xml:space="preserve"> – </w:t>
      </w:r>
      <w:r w:rsidRPr="00162893">
        <w:rPr>
          <w:lang w:eastAsia="en-GB"/>
        </w:rPr>
        <w:t xml:space="preserve">2010 </w:t>
      </w:r>
      <w:sdt>
        <w:sdtPr>
          <w:rPr>
            <w:lang w:eastAsia="en-GB"/>
          </w:rPr>
          <w:id w:val="-819650170"/>
          <w:citation/>
        </w:sdtPr>
        <w:sdtEndPr/>
        <w:sdtContent>
          <w:r w:rsidR="004F66DC">
            <w:rPr>
              <w:lang w:eastAsia="en-GB"/>
            </w:rPr>
            <w:fldChar w:fldCharType="begin"/>
          </w:r>
          <w:r w:rsidR="00CD27BA">
            <w:rPr>
              <w:lang w:eastAsia="en-GB"/>
            </w:rPr>
            <w:instrText xml:space="preserve">CITATION UKOPA_15_003 \l 2057 </w:instrText>
          </w:r>
          <w:r w:rsidR="004F66DC">
            <w:rPr>
              <w:lang w:eastAsia="en-GB"/>
            </w:rPr>
            <w:fldChar w:fldCharType="separate"/>
          </w:r>
          <w:r w:rsidR="00142E77">
            <w:rPr>
              <w:noProof/>
              <w:lang w:eastAsia="en-GB"/>
            </w:rPr>
            <w:t>[11]</w:t>
          </w:r>
          <w:r w:rsidR="004F66DC">
            <w:rPr>
              <w:lang w:eastAsia="en-GB"/>
            </w:rPr>
            <w:fldChar w:fldCharType="end"/>
          </w:r>
        </w:sdtContent>
      </w:sdt>
      <w:r w:rsidR="004F66DC">
        <w:rPr>
          <w:lang w:eastAsia="en-GB"/>
        </w:rPr>
        <w:t>.</w:t>
      </w:r>
    </w:p>
    <w:p w14:paraId="3F25C457" w14:textId="6F79C942" w:rsidR="00A962AE" w:rsidRDefault="004F66DC" w:rsidP="00D73ADF">
      <w:pPr>
        <w:pStyle w:val="BodyText"/>
        <w:rPr>
          <w:lang w:eastAsia="en-GB"/>
        </w:rPr>
      </w:pPr>
      <w:r>
        <w:rPr>
          <w:lang w:eastAsia="en-GB"/>
        </w:rPr>
        <w:t>MAHP operators</w:t>
      </w:r>
      <w:r w:rsidR="00411F6E">
        <w:rPr>
          <w:lang w:eastAsia="en-GB"/>
        </w:rPr>
        <w:t xml:space="preserve"> have collected </w:t>
      </w:r>
      <w:r w:rsidR="005E4F8A">
        <w:rPr>
          <w:lang w:eastAsia="en-GB"/>
        </w:rPr>
        <w:t>field data on faults due to external interference which did not cause failure. This data can be used to generate probabilistic distributions of dent and gouge damage length and depth. These distributions can be used in fracture mechanics-based failure, or limit-state, equations to predict the leak and rupture frequency of any specific set of pipeline parameters</w:t>
      </w:r>
      <w:r w:rsidR="005E4F8A">
        <w:rPr>
          <w:rStyle w:val="FootnoteReference"/>
          <w:lang w:eastAsia="en-GB"/>
        </w:rPr>
        <w:footnoteReference w:id="2"/>
      </w:r>
      <w:r w:rsidR="005E4F8A">
        <w:rPr>
          <w:lang w:eastAsia="en-GB"/>
        </w:rPr>
        <w:t>. Although UK gasoline pipelines are not MAHPs and hence fault data for these pipelines has not been collated, there is no reason to believe that the pipeline hit rate and distributions of damage parameters would be any different.</w:t>
      </w:r>
    </w:p>
    <w:p w14:paraId="2B8D104E" w14:textId="1B00FB19" w:rsidR="005E4F8A" w:rsidRPr="00162893" w:rsidRDefault="005E4F8A" w:rsidP="005E4F8A">
      <w:pPr>
        <w:widowControl w:val="0"/>
        <w:suppressAutoHyphens w:val="0"/>
        <w:overflowPunct w:val="0"/>
        <w:autoSpaceDE w:val="0"/>
        <w:autoSpaceDN w:val="0"/>
        <w:adjustRightInd w:val="0"/>
        <w:spacing w:before="240" w:after="240" w:line="264" w:lineRule="auto"/>
        <w:ind w:left="850"/>
        <w:rPr>
          <w:rFonts w:ascii="Arial" w:hAnsi="Arial" w:cs="Arial"/>
          <w:kern w:val="28"/>
          <w:lang w:eastAsia="en-GB"/>
        </w:rPr>
      </w:pPr>
      <w:r w:rsidRPr="00162893">
        <w:rPr>
          <w:rFonts w:ascii="Arial" w:hAnsi="Arial" w:cs="Arial"/>
          <w:kern w:val="28"/>
          <w:lang w:eastAsia="en-GB"/>
        </w:rPr>
        <w:t>UK gasoline pipelines operators have systems and procedures in place which are of a similar standard to those applied to MAHPs in the UK, e.g. in-line inspection, so failure rates for m</w:t>
      </w:r>
      <w:r w:rsidR="00B16850">
        <w:rPr>
          <w:rFonts w:ascii="Arial" w:hAnsi="Arial" w:cs="Arial"/>
          <w:kern w:val="28"/>
          <w:lang w:eastAsia="en-GB"/>
        </w:rPr>
        <w:t>aterial and construction defects</w:t>
      </w:r>
      <w:r w:rsidRPr="00162893">
        <w:rPr>
          <w:rFonts w:ascii="Arial" w:hAnsi="Arial" w:cs="Arial"/>
          <w:kern w:val="28"/>
          <w:lang w:eastAsia="en-GB"/>
        </w:rPr>
        <w:t xml:space="preserve">, </w:t>
      </w:r>
      <w:r w:rsidR="00B16850">
        <w:rPr>
          <w:rFonts w:ascii="Arial" w:hAnsi="Arial" w:cs="Arial"/>
          <w:kern w:val="28"/>
          <w:lang w:eastAsia="en-GB"/>
        </w:rPr>
        <w:t xml:space="preserve">external </w:t>
      </w:r>
      <w:r w:rsidRPr="00162893">
        <w:rPr>
          <w:rFonts w:ascii="Arial" w:hAnsi="Arial" w:cs="Arial"/>
          <w:kern w:val="28"/>
          <w:lang w:eastAsia="en-GB"/>
        </w:rPr>
        <w:t xml:space="preserve">corrosion and natural </w:t>
      </w:r>
      <w:r w:rsidR="00B16850">
        <w:rPr>
          <w:rFonts w:ascii="Arial" w:hAnsi="Arial" w:cs="Arial"/>
          <w:kern w:val="28"/>
          <w:lang w:eastAsia="en-GB"/>
        </w:rPr>
        <w:t>landslides are</w:t>
      </w:r>
      <w:r w:rsidRPr="00162893">
        <w:rPr>
          <w:rFonts w:ascii="Arial" w:hAnsi="Arial" w:cs="Arial"/>
          <w:kern w:val="28"/>
          <w:lang w:eastAsia="en-GB"/>
        </w:rPr>
        <w:t xml:space="preserve"> taken from </w:t>
      </w:r>
      <w:r w:rsidR="00B16850">
        <w:rPr>
          <w:rFonts w:ascii="Arial" w:hAnsi="Arial" w:cs="Arial"/>
          <w:kern w:val="28"/>
          <w:lang w:eastAsia="en-GB"/>
        </w:rPr>
        <w:t xml:space="preserve">failure rates derived from </w:t>
      </w:r>
      <w:r w:rsidRPr="00162893">
        <w:rPr>
          <w:rFonts w:ascii="Arial" w:hAnsi="Arial" w:cs="Arial"/>
          <w:kern w:val="28"/>
          <w:lang w:eastAsia="en-GB"/>
        </w:rPr>
        <w:t xml:space="preserve">UKOPA data </w:t>
      </w:r>
      <w:r w:rsidR="00B16850">
        <w:rPr>
          <w:rFonts w:ascii="Arial" w:hAnsi="Arial" w:cs="Arial"/>
          <w:kern w:val="28"/>
          <w:lang w:eastAsia="en-GB"/>
        </w:rPr>
        <w:t>as published</w:t>
      </w:r>
      <w:r w:rsidRPr="00162893">
        <w:rPr>
          <w:rFonts w:ascii="Arial" w:hAnsi="Arial" w:cs="Arial"/>
          <w:kern w:val="28"/>
          <w:lang w:eastAsia="en-GB"/>
        </w:rPr>
        <w:t xml:space="preserve"> in </w:t>
      </w:r>
      <w:r w:rsidR="00B16850" w:rsidRPr="00162893">
        <w:rPr>
          <w:rFonts w:ascii="Arial" w:hAnsi="Arial" w:cs="Arial"/>
          <w:kern w:val="28"/>
          <w:lang w:eastAsia="en-GB"/>
        </w:rPr>
        <w:t>PD</w:t>
      </w:r>
      <w:r w:rsidR="00B16850">
        <w:rPr>
          <w:rFonts w:ascii="Arial" w:hAnsi="Arial" w:cs="Arial"/>
          <w:kern w:val="28"/>
          <w:lang w:eastAsia="en-GB"/>
        </w:rPr>
        <w:t> </w:t>
      </w:r>
      <w:r w:rsidR="00B16850" w:rsidRPr="00162893">
        <w:rPr>
          <w:rFonts w:ascii="Arial" w:hAnsi="Arial" w:cs="Arial"/>
          <w:kern w:val="28"/>
          <w:lang w:eastAsia="en-GB"/>
        </w:rPr>
        <w:t>8010</w:t>
      </w:r>
      <w:r w:rsidR="00B16850">
        <w:rPr>
          <w:rFonts w:ascii="Arial" w:hAnsi="Arial" w:cs="Arial"/>
          <w:kern w:val="28"/>
          <w:lang w:eastAsia="en-GB"/>
        </w:rPr>
        <w:t>-</w:t>
      </w:r>
      <w:r w:rsidR="00B16850" w:rsidRPr="00162893">
        <w:rPr>
          <w:rFonts w:ascii="Arial" w:hAnsi="Arial" w:cs="Arial"/>
          <w:kern w:val="28"/>
          <w:lang w:eastAsia="en-GB"/>
        </w:rPr>
        <w:t>3</w:t>
      </w:r>
      <w:sdt>
        <w:sdtPr>
          <w:rPr>
            <w:rFonts w:ascii="Arial" w:hAnsi="Arial" w:cs="Arial"/>
            <w:kern w:val="28"/>
            <w:lang w:eastAsia="en-GB"/>
          </w:rPr>
          <w:id w:val="-1911145691"/>
          <w:citation/>
        </w:sdtPr>
        <w:sdtEndPr/>
        <w:sdtContent>
          <w:r w:rsidR="00B16850">
            <w:rPr>
              <w:rFonts w:ascii="Arial" w:hAnsi="Arial" w:cs="Arial"/>
              <w:kern w:val="28"/>
              <w:lang w:eastAsia="en-GB"/>
            </w:rPr>
            <w:fldChar w:fldCharType="begin"/>
          </w:r>
          <w:r w:rsidR="00B16850">
            <w:rPr>
              <w:rFonts w:ascii="Arial" w:hAnsi="Arial" w:cs="Arial"/>
              <w:kern w:val="28"/>
              <w:lang w:eastAsia="en-GB"/>
            </w:rPr>
            <w:instrText xml:space="preserve"> CITATION PD8010_3_2012 \l 2057 </w:instrText>
          </w:r>
          <w:r w:rsidR="00B16850">
            <w:rPr>
              <w:rFonts w:ascii="Arial" w:hAnsi="Arial" w:cs="Arial"/>
              <w:kern w:val="28"/>
              <w:lang w:eastAsia="en-GB"/>
            </w:rPr>
            <w:fldChar w:fldCharType="separate"/>
          </w:r>
          <w:r w:rsidR="00142E77">
            <w:rPr>
              <w:rFonts w:ascii="Arial" w:hAnsi="Arial" w:cs="Arial"/>
              <w:noProof/>
              <w:kern w:val="28"/>
              <w:lang w:eastAsia="en-GB"/>
            </w:rPr>
            <w:t xml:space="preserve"> </w:t>
          </w:r>
          <w:r w:rsidR="00142E77" w:rsidRPr="00142E77">
            <w:rPr>
              <w:rFonts w:ascii="Arial" w:hAnsi="Arial" w:cs="Arial"/>
              <w:noProof/>
              <w:kern w:val="28"/>
              <w:lang w:eastAsia="en-GB"/>
            </w:rPr>
            <w:t>[6]</w:t>
          </w:r>
          <w:r w:rsidR="00B16850">
            <w:rPr>
              <w:rFonts w:ascii="Arial" w:hAnsi="Arial" w:cs="Arial"/>
              <w:kern w:val="28"/>
              <w:lang w:eastAsia="en-GB"/>
            </w:rPr>
            <w:fldChar w:fldCharType="end"/>
          </w:r>
        </w:sdtContent>
      </w:sdt>
      <w:r w:rsidRPr="00162893">
        <w:rPr>
          <w:rFonts w:ascii="Arial" w:hAnsi="Arial" w:cs="Arial"/>
          <w:kern w:val="28"/>
          <w:lang w:eastAsia="en-GB"/>
        </w:rPr>
        <w:t xml:space="preserve">. </w:t>
      </w:r>
      <w:r w:rsidR="00B16850">
        <w:rPr>
          <w:rFonts w:ascii="Arial" w:hAnsi="Arial" w:cs="Arial"/>
          <w:kern w:val="28"/>
          <w:lang w:eastAsia="en-GB"/>
        </w:rPr>
        <w:t>Failure</w:t>
      </w:r>
      <w:r w:rsidRPr="00162893">
        <w:rPr>
          <w:rFonts w:ascii="Arial" w:hAnsi="Arial" w:cs="Arial"/>
          <w:kern w:val="28"/>
          <w:lang w:eastAsia="en-GB"/>
        </w:rPr>
        <w:t xml:space="preserve"> rates </w:t>
      </w:r>
      <w:r w:rsidR="00B16850">
        <w:rPr>
          <w:rFonts w:ascii="Arial" w:hAnsi="Arial" w:cs="Arial"/>
          <w:kern w:val="28"/>
          <w:lang w:eastAsia="en-GB"/>
        </w:rPr>
        <w:t xml:space="preserve">due to other causes, including incorrect operations, </w:t>
      </w:r>
      <w:r w:rsidRPr="00162893">
        <w:rPr>
          <w:rFonts w:ascii="Arial" w:hAnsi="Arial" w:cs="Arial"/>
          <w:kern w:val="28"/>
          <w:lang w:eastAsia="en-GB"/>
        </w:rPr>
        <w:t>are generally of a lower order of magnitude, and are dependent on good operating and maintenance procedures.</w:t>
      </w:r>
    </w:p>
    <w:p w14:paraId="0E194E76" w14:textId="57CFAC85" w:rsidR="00B16850" w:rsidRDefault="00B16850" w:rsidP="00864020">
      <w:pPr>
        <w:pStyle w:val="Heading3"/>
        <w:rPr>
          <w:lang w:eastAsia="en-GB"/>
        </w:rPr>
      </w:pPr>
      <w:r>
        <w:rPr>
          <w:lang w:eastAsia="en-GB"/>
        </w:rPr>
        <w:t>HSE Failure Rates for Gasoline Pipelines (2015)</w:t>
      </w:r>
    </w:p>
    <w:p w14:paraId="551A3FE2" w14:textId="699902B4" w:rsidR="00B16850" w:rsidRPr="00B16850" w:rsidRDefault="00DA1F06" w:rsidP="00DA1F06">
      <w:pPr>
        <w:pStyle w:val="BodyText"/>
        <w:rPr>
          <w:lang w:eastAsia="en-GB"/>
        </w:rPr>
      </w:pPr>
      <w:r>
        <w:rPr>
          <w:lang w:eastAsia="en-GB"/>
        </w:rPr>
        <w:t xml:space="preserve">In 2015, the Health &amp; Safety Laboratory published research report RR1035 </w:t>
      </w:r>
      <w:sdt>
        <w:sdtPr>
          <w:rPr>
            <w:lang w:eastAsia="en-GB"/>
          </w:rPr>
          <w:id w:val="-1060550709"/>
          <w:citation/>
        </w:sdtPr>
        <w:sdtEndPr/>
        <w:sdtContent>
          <w:r>
            <w:rPr>
              <w:lang w:eastAsia="en-GB"/>
            </w:rPr>
            <w:fldChar w:fldCharType="begin"/>
          </w:r>
          <w:r w:rsidR="0000086A">
            <w:rPr>
              <w:lang w:eastAsia="en-GB"/>
            </w:rPr>
            <w:instrText xml:space="preserve">CITATION RR1035_2015 \l 2057 </w:instrText>
          </w:r>
          <w:r>
            <w:rPr>
              <w:lang w:eastAsia="en-GB"/>
            </w:rPr>
            <w:fldChar w:fldCharType="separate"/>
          </w:r>
          <w:r w:rsidR="00142E77">
            <w:rPr>
              <w:noProof/>
              <w:lang w:eastAsia="en-GB"/>
            </w:rPr>
            <w:t>[12]</w:t>
          </w:r>
          <w:r>
            <w:rPr>
              <w:lang w:eastAsia="en-GB"/>
            </w:rPr>
            <w:fldChar w:fldCharType="end"/>
          </w:r>
        </w:sdtContent>
      </w:sdt>
      <w:r w:rsidR="00080475">
        <w:rPr>
          <w:lang w:eastAsia="en-GB"/>
        </w:rPr>
        <w:t xml:space="preserve"> </w:t>
      </w:r>
      <w:r>
        <w:rPr>
          <w:lang w:eastAsia="en-GB"/>
        </w:rPr>
        <w:t>which contains proposed failure rates for calculating land use planning zones by HSE. Table 81</w:t>
      </w:r>
      <w:r w:rsidR="00080475">
        <w:rPr>
          <w:lang w:eastAsia="en-GB"/>
        </w:rPr>
        <w:t>from</w:t>
      </w:r>
      <w:r>
        <w:rPr>
          <w:lang w:eastAsia="en-GB"/>
        </w:rPr>
        <w:t xml:space="preserve"> the report is shown below.</w:t>
      </w:r>
    </w:p>
    <w:p w14:paraId="4078CC95" w14:textId="77777777" w:rsidR="00080475" w:rsidRDefault="00DA1F06" w:rsidP="00080475">
      <w:pPr>
        <w:pStyle w:val="BodyText"/>
        <w:keepNext/>
        <w:jc w:val="center"/>
      </w:pPr>
      <w:r>
        <w:rPr>
          <w:noProof/>
          <w:lang w:val="en-US" w:eastAsia="zh-CN"/>
        </w:rPr>
        <w:lastRenderedPageBreak/>
        <w:drawing>
          <wp:inline distT="0" distB="0" distL="0" distR="0" wp14:anchorId="3C616DA9" wp14:editId="00B8B95A">
            <wp:extent cx="4657725" cy="202332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655483" cy="2022349"/>
                    </a:xfrm>
                    <a:prstGeom prst="rect">
                      <a:avLst/>
                    </a:prstGeom>
                  </pic:spPr>
                </pic:pic>
              </a:graphicData>
            </a:graphic>
          </wp:inline>
        </w:drawing>
      </w:r>
    </w:p>
    <w:p w14:paraId="76A3FEBE" w14:textId="343F40EE" w:rsidR="00B16850" w:rsidRDefault="00080475" w:rsidP="00080475">
      <w:pPr>
        <w:pStyle w:val="Caption"/>
      </w:pPr>
      <w:r>
        <w:t xml:space="preserve">Table </w:t>
      </w:r>
      <w:r w:rsidR="00C51F88">
        <w:rPr>
          <w:noProof/>
        </w:rPr>
        <w:fldChar w:fldCharType="begin"/>
      </w:r>
      <w:r w:rsidR="00C51F88">
        <w:rPr>
          <w:noProof/>
        </w:rPr>
        <w:instrText xml:space="preserve"> STYLEREF 1 \s </w:instrText>
      </w:r>
      <w:r w:rsidR="00C51F88">
        <w:rPr>
          <w:noProof/>
        </w:rPr>
        <w:fldChar w:fldCharType="separate"/>
      </w:r>
      <w:r w:rsidR="006E62A3">
        <w:rPr>
          <w:noProof/>
        </w:rPr>
        <w:t>3</w:t>
      </w:r>
      <w:r w:rsidR="00C51F88">
        <w:rPr>
          <w:noProof/>
        </w:rPr>
        <w:fldChar w:fldCharType="end"/>
      </w:r>
      <w:r w:rsidR="006E62A3">
        <w:t>.</w:t>
      </w:r>
      <w:r w:rsidR="00C51F88">
        <w:rPr>
          <w:noProof/>
        </w:rPr>
        <w:fldChar w:fldCharType="begin"/>
      </w:r>
      <w:r w:rsidR="00C51F88">
        <w:rPr>
          <w:noProof/>
        </w:rPr>
        <w:instrText xml:space="preserve"> SEQ Table \* ARABIC \s 1 </w:instrText>
      </w:r>
      <w:r w:rsidR="00C51F88">
        <w:rPr>
          <w:noProof/>
        </w:rPr>
        <w:fldChar w:fldCharType="separate"/>
      </w:r>
      <w:r w:rsidR="006E62A3">
        <w:rPr>
          <w:noProof/>
        </w:rPr>
        <w:t>1</w:t>
      </w:r>
      <w:r w:rsidR="00C51F88">
        <w:rPr>
          <w:noProof/>
        </w:rPr>
        <w:fldChar w:fldCharType="end"/>
      </w:r>
      <w:r>
        <w:t>: Table 81 from RR 1035</w:t>
      </w:r>
    </w:p>
    <w:p w14:paraId="78688D1C" w14:textId="390BB190" w:rsidR="00080475" w:rsidRDefault="00080475" w:rsidP="00080475">
      <w:pPr>
        <w:pStyle w:val="BodyText"/>
        <w:rPr>
          <w:lang w:eastAsia="en-GB"/>
        </w:rPr>
      </w:pPr>
      <w:r>
        <w:rPr>
          <w:lang w:eastAsia="en-GB"/>
        </w:rPr>
        <w:t>The table is preceded in the report by the following text:</w:t>
      </w:r>
    </w:p>
    <w:p w14:paraId="5DFA64A1" w14:textId="31149505" w:rsidR="00080475" w:rsidRPr="00080475" w:rsidRDefault="00080475" w:rsidP="00080475">
      <w:pPr>
        <w:pStyle w:val="BodyText"/>
        <w:rPr>
          <w:i/>
          <w:lang w:eastAsia="en-GB"/>
        </w:rPr>
      </w:pPr>
      <w:r w:rsidRPr="00080475">
        <w:rPr>
          <w:i/>
          <w:lang w:eastAsia="en-GB"/>
        </w:rPr>
        <w:t xml:space="preserve">“It is proposed that the updated analysis of the CONCAWE products data presented in this report is used for the mechanical and corrosion failure modes, whilst that of the UKOPA dataset is used for ground movement and other and </w:t>
      </w:r>
      <w:r w:rsidR="00142E77" w:rsidRPr="00080475">
        <w:rPr>
          <w:i/>
          <w:lang w:eastAsia="en-GB"/>
        </w:rPr>
        <w:t>third-party</w:t>
      </w:r>
      <w:r w:rsidRPr="00080475">
        <w:rPr>
          <w:i/>
          <w:lang w:eastAsia="en-GB"/>
        </w:rPr>
        <w:t xml:space="preserve"> activity failure modes. The recommended failure rates are listed in Table 81. This is consistent with the failure rates currently used by MCPIPIN except in the case of third party activity where it is considered that failure rates based on UK data will be more representative for UK pipelines. These TPA failure rates are unlikely to be used, however, as the MCPIPIN TPA predictive model is recommended in this case.”</w:t>
      </w:r>
    </w:p>
    <w:p w14:paraId="0A85E14B" w14:textId="1522B4D4" w:rsidR="00080475" w:rsidRDefault="00080475" w:rsidP="00864020">
      <w:pPr>
        <w:pStyle w:val="Heading2"/>
      </w:pPr>
      <w:bookmarkStart w:id="13" w:name="_Toc531017331"/>
      <w:r>
        <w:t>Consequence Analysis</w:t>
      </w:r>
      <w:bookmarkEnd w:id="13"/>
    </w:p>
    <w:p w14:paraId="4D31F07D" w14:textId="64F945B2" w:rsidR="00080475" w:rsidRDefault="00080475" w:rsidP="00864020">
      <w:pPr>
        <w:pStyle w:val="Heading3"/>
      </w:pPr>
      <w:r>
        <w:t>Release Rates</w:t>
      </w:r>
    </w:p>
    <w:p w14:paraId="4B7A06AB" w14:textId="6C89FC66" w:rsidR="00080475" w:rsidRDefault="00080475" w:rsidP="00080475">
      <w:pPr>
        <w:pStyle w:val="BodyText"/>
      </w:pPr>
      <w:r>
        <w:t>Release rates are based on HSE analysis of hole sizes which conservatively assumes that pinholes are 0-20 mm equivalent circular diameter holes, small holes defined as 75 mm diameter, large holes as 110 mm diameter, and pipeline rupture which means double-ended open pipe. However, these hole sizes were derived for natural gas pipelines, and for higher density liquids such as gasoline, different hole sizes are relevant.</w:t>
      </w:r>
    </w:p>
    <w:p w14:paraId="235EBCA4" w14:textId="2A8E7C37" w:rsidR="00080475" w:rsidRDefault="00080475" w:rsidP="00080475">
      <w:pPr>
        <w:pStyle w:val="BodyText"/>
      </w:pPr>
      <w:r>
        <w:t>Hole sizes greater than ~50 mm diameter allow the full pumping rate (typically 300 – 700 m</w:t>
      </w:r>
      <w:r w:rsidRPr="00080475">
        <w:rPr>
          <w:vertAlign w:val="superscript"/>
        </w:rPr>
        <w:t>3</w:t>
      </w:r>
      <w:r>
        <w:t>/hour for 70 – 90 barg) to be released, so holes (small and large re-defined as “punctures”) are assumed to have a discharge rate equivalent to the normal forward flow. Ruptures are assumed to release 150% of the normal forward flow as the pump discharge flowrate increases with reduced head before the pump trips out on overload or is stopped. Small holes are assumed to be 20</w:t>
      </w:r>
      <w:r w:rsidR="00694EBF">
        <w:t xml:space="preserve"> </w:t>
      </w:r>
      <w:r>
        <w:t>mm in diameter.</w:t>
      </w:r>
    </w:p>
    <w:p w14:paraId="7D65EAB7" w14:textId="4383F8FF" w:rsidR="00694EBF" w:rsidRDefault="00080475" w:rsidP="00080475">
      <w:pPr>
        <w:pStyle w:val="BodyText"/>
      </w:pPr>
      <w:r>
        <w:t>Analysis of hole sizes recorded from the CONCAWE database (1971</w:t>
      </w:r>
      <w:r w:rsidR="00694EBF">
        <w:t xml:space="preserve"> – </w:t>
      </w:r>
      <w:r>
        <w:t>2009) indicates that the frequency of different hole sizes is</w:t>
      </w:r>
      <w:r w:rsidR="00694EBF">
        <w:t>:</w:t>
      </w:r>
    </w:p>
    <w:p w14:paraId="6F26DDB5" w14:textId="77777777" w:rsidR="00694EBF" w:rsidRDefault="00694EBF" w:rsidP="00694EBF">
      <w:pPr>
        <w:pStyle w:val="BodyText"/>
        <w:numPr>
          <w:ilvl w:val="0"/>
          <w:numId w:val="43"/>
        </w:numPr>
        <w:ind w:left="1570" w:hanging="357"/>
        <w:rPr>
          <w:lang w:eastAsia="en-GB"/>
        </w:rPr>
      </w:pPr>
      <w:r>
        <w:rPr>
          <w:lang w:eastAsia="en-GB"/>
        </w:rPr>
        <w:t>Pinhole</w:t>
      </w:r>
      <w:r>
        <w:rPr>
          <w:lang w:eastAsia="en-GB"/>
        </w:rPr>
        <w:tab/>
      </w:r>
      <w:r>
        <w:rPr>
          <w:lang w:eastAsia="en-GB"/>
        </w:rPr>
        <w:tab/>
      </w:r>
      <w:r w:rsidRPr="00B16850">
        <w:rPr>
          <w:lang w:eastAsia="en-GB"/>
        </w:rPr>
        <w:t>50% of the total leak frequency</w:t>
      </w:r>
    </w:p>
    <w:p w14:paraId="41146BA7" w14:textId="77777777" w:rsidR="00694EBF" w:rsidRDefault="00694EBF" w:rsidP="00694EBF">
      <w:pPr>
        <w:pStyle w:val="BodyText"/>
        <w:numPr>
          <w:ilvl w:val="0"/>
          <w:numId w:val="43"/>
        </w:numPr>
        <w:spacing w:before="0"/>
        <w:ind w:left="1570" w:hanging="357"/>
        <w:rPr>
          <w:lang w:eastAsia="en-GB"/>
        </w:rPr>
      </w:pPr>
      <w:r>
        <w:rPr>
          <w:lang w:eastAsia="en-GB"/>
        </w:rPr>
        <w:t>Small hole</w:t>
      </w:r>
      <w:r>
        <w:rPr>
          <w:lang w:eastAsia="en-GB"/>
        </w:rPr>
        <w:tab/>
      </w:r>
      <w:r>
        <w:rPr>
          <w:lang w:eastAsia="en-GB"/>
        </w:rPr>
        <w:tab/>
      </w:r>
      <w:r w:rsidRPr="00B16850">
        <w:rPr>
          <w:lang w:eastAsia="en-GB"/>
        </w:rPr>
        <w:t>25% of the total leak frequency</w:t>
      </w:r>
    </w:p>
    <w:p w14:paraId="4772CC18" w14:textId="77777777" w:rsidR="00694EBF" w:rsidRDefault="00694EBF" w:rsidP="00694EBF">
      <w:pPr>
        <w:pStyle w:val="BodyText"/>
        <w:numPr>
          <w:ilvl w:val="0"/>
          <w:numId w:val="43"/>
        </w:numPr>
        <w:spacing w:before="0"/>
        <w:ind w:left="1570" w:hanging="357"/>
        <w:rPr>
          <w:lang w:eastAsia="en-GB"/>
        </w:rPr>
      </w:pPr>
      <w:r>
        <w:rPr>
          <w:lang w:eastAsia="en-GB"/>
        </w:rPr>
        <w:t>Large hole</w:t>
      </w:r>
      <w:r>
        <w:rPr>
          <w:lang w:eastAsia="en-GB"/>
        </w:rPr>
        <w:tab/>
      </w:r>
      <w:r>
        <w:rPr>
          <w:lang w:eastAsia="en-GB"/>
        </w:rPr>
        <w:tab/>
      </w:r>
      <w:r w:rsidRPr="00B16850">
        <w:rPr>
          <w:lang w:eastAsia="en-GB"/>
        </w:rPr>
        <w:t>25% of the total leak frequency</w:t>
      </w:r>
    </w:p>
    <w:p w14:paraId="49F39D7F" w14:textId="50B8DE97" w:rsidR="00080475" w:rsidRDefault="00080475" w:rsidP="00080475">
      <w:pPr>
        <w:pStyle w:val="BodyText"/>
      </w:pPr>
      <w:r>
        <w:lastRenderedPageBreak/>
        <w:t>These proportions have been used when dividing failure frequencies from the 3</w:t>
      </w:r>
      <w:r w:rsidRPr="00694EBF">
        <w:rPr>
          <w:vertAlign w:val="superscript"/>
        </w:rPr>
        <w:t>rd</w:t>
      </w:r>
      <w:r>
        <w:t xml:space="preserve"> party external interference predictive model and from PD</w:t>
      </w:r>
      <w:r w:rsidR="00694EBF">
        <w:t xml:space="preserve"> </w:t>
      </w:r>
      <w:r>
        <w:t xml:space="preserve">8010 failure data for </w:t>
      </w:r>
      <w:r w:rsidR="00694EBF" w:rsidRPr="00162893">
        <w:rPr>
          <w:rFonts w:ascii="Arial" w:hAnsi="Arial" w:cs="Arial"/>
          <w:kern w:val="28"/>
          <w:lang w:eastAsia="en-GB"/>
        </w:rPr>
        <w:t>m</w:t>
      </w:r>
      <w:r w:rsidR="00694EBF">
        <w:rPr>
          <w:rFonts w:ascii="Arial" w:hAnsi="Arial" w:cs="Arial"/>
          <w:kern w:val="28"/>
          <w:lang w:eastAsia="en-GB"/>
        </w:rPr>
        <w:t>aterial and construction defects</w:t>
      </w:r>
      <w:r w:rsidR="00694EBF" w:rsidRPr="00162893">
        <w:rPr>
          <w:rFonts w:ascii="Arial" w:hAnsi="Arial" w:cs="Arial"/>
          <w:kern w:val="28"/>
          <w:lang w:eastAsia="en-GB"/>
        </w:rPr>
        <w:t xml:space="preserve">, </w:t>
      </w:r>
      <w:r w:rsidR="00694EBF">
        <w:rPr>
          <w:rFonts w:ascii="Arial" w:hAnsi="Arial" w:cs="Arial"/>
          <w:kern w:val="28"/>
          <w:lang w:eastAsia="en-GB"/>
        </w:rPr>
        <w:t xml:space="preserve">external </w:t>
      </w:r>
      <w:r w:rsidR="00694EBF" w:rsidRPr="00162893">
        <w:rPr>
          <w:rFonts w:ascii="Arial" w:hAnsi="Arial" w:cs="Arial"/>
          <w:kern w:val="28"/>
          <w:lang w:eastAsia="en-GB"/>
        </w:rPr>
        <w:t xml:space="preserve">corrosion and natural </w:t>
      </w:r>
      <w:r w:rsidR="00694EBF">
        <w:rPr>
          <w:rFonts w:ascii="Arial" w:hAnsi="Arial" w:cs="Arial"/>
          <w:kern w:val="28"/>
          <w:lang w:eastAsia="en-GB"/>
        </w:rPr>
        <w:t>landslides</w:t>
      </w:r>
      <w:r>
        <w:t>.</w:t>
      </w:r>
    </w:p>
    <w:p w14:paraId="5F401D9F" w14:textId="35834BB4" w:rsidR="009C61FB" w:rsidRDefault="009C61FB" w:rsidP="00080475">
      <w:pPr>
        <w:pStyle w:val="BodyText"/>
      </w:pPr>
      <w:r>
        <w:t>Release rates</w:t>
      </w:r>
      <w:r w:rsidR="004F30AA">
        <w:t xml:space="preserve"> from the pipeline have been calculated using the standard equation for liquid flow through a sharp-edged orifice</w:t>
      </w:r>
      <w:sdt>
        <w:sdtPr>
          <w:id w:val="822854891"/>
          <w:citation/>
        </w:sdtPr>
        <w:sdtEndPr/>
        <w:sdtContent>
          <w:r w:rsidR="00E35D54">
            <w:fldChar w:fldCharType="begin"/>
          </w:r>
          <w:r w:rsidR="00E35D54">
            <w:instrText xml:space="preserve"> CITATION CPR_14E_YellowBook \l 2057 </w:instrText>
          </w:r>
          <w:r w:rsidR="00E35D54">
            <w:fldChar w:fldCharType="separate"/>
          </w:r>
          <w:r w:rsidR="00142E77">
            <w:rPr>
              <w:noProof/>
            </w:rPr>
            <w:t xml:space="preserve"> [13]</w:t>
          </w:r>
          <w:r w:rsidR="00E35D54">
            <w:fldChar w:fldCharType="end"/>
          </w:r>
        </w:sdtContent>
      </w:sdt>
      <w:r w:rsidR="004F30AA">
        <w:t>.</w:t>
      </w:r>
    </w:p>
    <w:p w14:paraId="134AE7F4" w14:textId="4FE6103A" w:rsidR="004F30AA" w:rsidRPr="004F30AA" w:rsidRDefault="004F30AA" w:rsidP="00080475">
      <w:pPr>
        <w:pStyle w:val="BodyText"/>
      </w:pPr>
      <m:oMathPara>
        <m:oMath>
          <m:r>
            <w:rPr>
              <w:rFonts w:ascii="Cambria Math" w:hAnsi="Cambria Math"/>
            </w:rPr>
            <m:t>F=</m:t>
          </m:r>
          <m:sSub>
            <m:sSubPr>
              <m:ctrlPr>
                <w:rPr>
                  <w:rFonts w:ascii="Cambria Math" w:hAnsi="Cambria Math"/>
                  <w:i/>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r>
                <w:rPr>
                  <w:rFonts w:ascii="Cambria Math" w:hAnsi="Cambria Math"/>
                </w:rPr>
                <m:t>200000⋅ρ⋅P</m:t>
              </m:r>
            </m:e>
          </m:rad>
        </m:oMath>
      </m:oMathPara>
    </w:p>
    <w:p w14:paraId="1AC8786D" w14:textId="7005292A" w:rsidR="004F30AA" w:rsidRDefault="00A03B32" w:rsidP="004F30AA">
      <w:pPr>
        <w:pStyle w:val="BodyText"/>
      </w:pPr>
      <w:r>
        <w:t>w</w:t>
      </w:r>
      <w:r w:rsidR="004F30AA">
        <w:t>here:</w:t>
      </w:r>
      <w:r w:rsidR="004F30AA">
        <w:tab/>
        <w:t>F = mass flow rate (kg/s)</w:t>
      </w:r>
    </w:p>
    <w:p w14:paraId="73A6B060" w14:textId="2AF120FE" w:rsidR="004F30AA" w:rsidRDefault="004F30AA" w:rsidP="004F30AA">
      <w:r>
        <w:tab/>
      </w:r>
      <w:r w:rsidR="00C8521A">
        <w:tab/>
      </w:r>
      <w:r>
        <w:tab/>
        <w:t>C</w:t>
      </w:r>
      <w:r w:rsidRPr="004F30AA">
        <w:rPr>
          <w:vertAlign w:val="subscript"/>
        </w:rPr>
        <w:t>d</w:t>
      </w:r>
      <w:r>
        <w:t xml:space="preserve"> = discharge coefficient (0.6 for holes)</w:t>
      </w:r>
    </w:p>
    <w:p w14:paraId="7D13FEA4" w14:textId="07831199" w:rsidR="004F30AA" w:rsidRDefault="004F30AA" w:rsidP="004F30AA">
      <w:r>
        <w:tab/>
      </w:r>
      <w:r w:rsidR="00C8521A">
        <w:tab/>
      </w:r>
      <w:r>
        <w:tab/>
      </w:r>
      <w:r>
        <w:rPr>
          <w:rFonts w:cstheme="minorHAnsi"/>
        </w:rPr>
        <w:t>ρ</w:t>
      </w:r>
      <w:r>
        <w:t xml:space="preserve"> = liquid density (gasoline is </w:t>
      </w:r>
      <w:r>
        <w:rPr>
          <w:rFonts w:cstheme="minorHAnsi"/>
        </w:rPr>
        <w:t>≈</w:t>
      </w:r>
      <w:r>
        <w:t xml:space="preserve"> 740 kg/m</w:t>
      </w:r>
      <w:r w:rsidRPr="004F30AA">
        <w:rPr>
          <w:vertAlign w:val="superscript"/>
        </w:rPr>
        <w:t>3</w:t>
      </w:r>
      <w:r>
        <w:t>)</w:t>
      </w:r>
    </w:p>
    <w:p w14:paraId="3F15FC1D" w14:textId="344E3399" w:rsidR="004F30AA" w:rsidRDefault="004F30AA" w:rsidP="004F30AA">
      <w:r>
        <w:tab/>
      </w:r>
      <w:r w:rsidR="00C8521A">
        <w:tab/>
      </w:r>
      <w:r>
        <w:tab/>
        <w:t>P = pressure (barg)</w:t>
      </w:r>
    </w:p>
    <w:p w14:paraId="40A76A07" w14:textId="18B1B0F2" w:rsidR="004F30AA" w:rsidRDefault="004F30AA" w:rsidP="004F30AA">
      <w:r>
        <w:tab/>
      </w:r>
      <w:r w:rsidR="00C8521A">
        <w:tab/>
      </w:r>
      <w:r>
        <w:tab/>
        <w:t>A = area of hole (m</w:t>
      </w:r>
      <w:r w:rsidRPr="004F30AA">
        <w:rPr>
          <w:vertAlign w:val="superscript"/>
        </w:rPr>
        <w:t>2</w:t>
      </w:r>
      <w:r>
        <w:t>)</w:t>
      </w:r>
    </w:p>
    <w:p w14:paraId="2E493695" w14:textId="77777777" w:rsidR="00F4544F" w:rsidRDefault="00F4544F" w:rsidP="00864020">
      <w:pPr>
        <w:pStyle w:val="Heading3"/>
      </w:pPr>
      <w:r>
        <w:t>Ground Soak-in</w:t>
      </w:r>
    </w:p>
    <w:p w14:paraId="49BFC167" w14:textId="77777777" w:rsidR="00F4544F" w:rsidRDefault="00F4544F" w:rsidP="00F4544F">
      <w:pPr>
        <w:pStyle w:val="BodyText"/>
      </w:pPr>
      <w:r>
        <w:t xml:space="preserve">The size of the pool formed by a gasoline spillage will depend on the extent to which it seeps into the ground. The faster the gasoline seeps into the ground, the smaller the pool is likely to be. The degree to which the gasoline soaks into the ground is largely dependent on the permeability of the soil. Sandy or chalky soils have a high permeability resulting in smaller pool sizes, whereas heavy clay soils have a low permeability with less soak-in. </w:t>
      </w:r>
    </w:p>
    <w:p w14:paraId="5C6B6D00" w14:textId="77777777" w:rsidR="00F4544F" w:rsidRDefault="00F4544F" w:rsidP="00F4544F">
      <w:pPr>
        <w:pStyle w:val="BodyText"/>
      </w:pPr>
      <w:r>
        <w:t xml:space="preserve">Also, the dynamic viscosity of gasoline is approximately 4 times less than that of water, and so the coefficient of permeability for gasoline (i.e. the degree to which soak-in occurs) will be a factor of about 4 times greater than that of water. </w:t>
      </w:r>
    </w:p>
    <w:p w14:paraId="20417803" w14:textId="77777777" w:rsidR="00F4544F" w:rsidRPr="00A03B32" w:rsidRDefault="00F4544F" w:rsidP="00F4544F">
      <w:pPr>
        <w:pStyle w:val="BodyText"/>
      </w:pPr>
      <w:r>
        <w:t>However, soak-in is significantly reduced when the ground is saturated with rain water or frozen, and spillages in suburban areas will not soak in to road or concrete surfaces. After discussion with HSE the UKOPA methodology therefore conservatively assumes no soak-in occurs following a gasoline spillage.</w:t>
      </w:r>
    </w:p>
    <w:p w14:paraId="066E0828" w14:textId="5B7E8530" w:rsidR="004F30AA" w:rsidRDefault="004F30AA" w:rsidP="00864020">
      <w:pPr>
        <w:pStyle w:val="Heading3"/>
      </w:pPr>
      <w:r>
        <w:t>Immediate Ignition Pool Fires</w:t>
      </w:r>
    </w:p>
    <w:p w14:paraId="3AE73B21" w14:textId="7AE03865" w:rsidR="004F30AA" w:rsidRDefault="004F30AA" w:rsidP="004F30AA">
      <w:pPr>
        <w:pStyle w:val="BodyText"/>
      </w:pPr>
      <w:r>
        <w:t>Pool fires are assumed to be circular and</w:t>
      </w:r>
      <w:r w:rsidR="00F4544F">
        <w:t xml:space="preserve"> as</w:t>
      </w:r>
      <w:r>
        <w:t xml:space="preserve"> it is conservatively assumed that no ground soak-in occurs, the pool extends to the maximum diameter dependent on </w:t>
      </w:r>
      <w:r w:rsidR="00F4544F">
        <w:t>the release</w:t>
      </w:r>
      <w:r>
        <w:t xml:space="preserve"> rate into the pool. The method assumes a “flat-earth” situation with the pool spreading equally in each direction from the release point.</w:t>
      </w:r>
    </w:p>
    <w:p w14:paraId="39A836DF" w14:textId="0E821F81" w:rsidR="004F30AA" w:rsidRDefault="004F30AA" w:rsidP="004F30AA">
      <w:pPr>
        <w:pStyle w:val="BodyText"/>
      </w:pPr>
      <w:r>
        <w:t>The equation for calculating the equilibrium diameter of a gasoline pool is as follows</w:t>
      </w:r>
      <w:sdt>
        <w:sdtPr>
          <w:id w:val="-29039113"/>
          <w:citation/>
        </w:sdtPr>
        <w:sdtEndPr/>
        <w:sdtContent>
          <w:r w:rsidR="00A03B32">
            <w:fldChar w:fldCharType="begin"/>
          </w:r>
          <w:r w:rsidR="00990D54">
            <w:instrText xml:space="preserve">CITATION CRR96_1996 \l 2057 </w:instrText>
          </w:r>
          <w:r w:rsidR="00A03B32">
            <w:fldChar w:fldCharType="separate"/>
          </w:r>
          <w:r w:rsidR="00142E77">
            <w:rPr>
              <w:noProof/>
            </w:rPr>
            <w:t xml:space="preserve"> [14]</w:t>
          </w:r>
          <w:r w:rsidR="00A03B32">
            <w:fldChar w:fldCharType="end"/>
          </w:r>
        </w:sdtContent>
      </w:sdt>
      <w:r>
        <w:t>:</w:t>
      </w:r>
    </w:p>
    <w:p w14:paraId="33BF0CEB" w14:textId="514597C4" w:rsidR="004F30AA" w:rsidRPr="00A03B32" w:rsidRDefault="00115168" w:rsidP="004F30AA">
      <w:pPr>
        <w:pStyle w:val="BodyText"/>
      </w:pPr>
      <m:oMathPara>
        <m:oMath>
          <m:sSub>
            <m:sSubPr>
              <m:ctrlPr>
                <w:rPr>
                  <w:rFonts w:ascii="Cambria Math" w:hAnsi="Cambria Math"/>
                  <w:i/>
                </w:rPr>
              </m:ctrlPr>
            </m:sSubPr>
            <m:e>
              <m:r>
                <w:rPr>
                  <w:rFonts w:ascii="Cambria Math" w:hAnsi="Cambria Math"/>
                </w:rPr>
                <m:t>D</m:t>
              </m:r>
            </m:e>
            <m:sub>
              <m:r>
                <w:rPr>
                  <w:rFonts w:ascii="Cambria Math" w:hAnsi="Cambria Math"/>
                </w:rPr>
                <m:t>max</m:t>
              </m:r>
            </m:sub>
          </m:sSub>
          <m:r>
            <w:rPr>
              <w:rFonts w:ascii="Cambria Math" w:hAnsi="Cambria Math"/>
            </w:rPr>
            <m:t>=2</m:t>
          </m:r>
          <m:rad>
            <m:radPr>
              <m:degHide m:val="1"/>
              <m:ctrlPr>
                <w:rPr>
                  <w:rFonts w:ascii="Cambria Math" w:hAnsi="Cambria Math"/>
                  <w:i/>
                </w:rPr>
              </m:ctrlPr>
            </m:radPr>
            <m:deg/>
            <m:e>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r</m:t>
                      </m:r>
                    </m:sub>
                  </m:sSub>
                </m:num>
                <m:den>
                  <m:sSub>
                    <m:sSubPr>
                      <m:ctrlPr>
                        <w:rPr>
                          <w:rFonts w:ascii="Cambria Math" w:hAnsi="Cambria Math"/>
                          <w:i/>
                        </w:rPr>
                      </m:ctrlPr>
                    </m:sSubPr>
                    <m:e>
                      <m:r>
                        <w:rPr>
                          <w:rFonts w:ascii="Cambria Math" w:hAnsi="Cambria Math"/>
                        </w:rPr>
                        <m:t>π⋅m</m:t>
                      </m:r>
                    </m:e>
                    <m:sub>
                      <m:r>
                        <w:rPr>
                          <w:rFonts w:ascii="Cambria Math" w:hAnsi="Cambria Math"/>
                        </w:rPr>
                        <m:t>f</m:t>
                      </m:r>
                    </m:sub>
                  </m:sSub>
                </m:den>
              </m:f>
            </m:e>
          </m:rad>
        </m:oMath>
      </m:oMathPara>
    </w:p>
    <w:p w14:paraId="75DC27AC" w14:textId="23543327" w:rsidR="00A03B32" w:rsidRDefault="00A03B32" w:rsidP="004F30AA">
      <w:pPr>
        <w:pStyle w:val="BodyText"/>
      </w:pPr>
      <w:r>
        <w:t>where:</w:t>
      </w:r>
      <w:r>
        <w:tab/>
      </w:r>
      <w:proofErr w:type="spellStart"/>
      <w:r>
        <w:t>D</w:t>
      </w:r>
      <w:r w:rsidRPr="00A03B32">
        <w:rPr>
          <w:vertAlign w:val="subscript"/>
        </w:rPr>
        <w:t>max</w:t>
      </w:r>
      <w:proofErr w:type="spellEnd"/>
      <w:r>
        <w:t xml:space="preserve"> = maximum diameter of pool fire (metres)</w:t>
      </w:r>
    </w:p>
    <w:p w14:paraId="703B1749" w14:textId="3342A446" w:rsidR="00A03B32" w:rsidRDefault="00A03B32" w:rsidP="00A03B32">
      <w:r>
        <w:tab/>
      </w:r>
      <w:r w:rsidR="00C8521A">
        <w:tab/>
      </w:r>
      <w:r>
        <w:tab/>
      </w:r>
      <w:proofErr w:type="spellStart"/>
      <w:r>
        <w:t>m</w:t>
      </w:r>
      <w:r w:rsidRPr="00A03B32">
        <w:rPr>
          <w:vertAlign w:val="subscript"/>
        </w:rPr>
        <w:t>r</w:t>
      </w:r>
      <w:proofErr w:type="spellEnd"/>
      <w:r>
        <w:t xml:space="preserve"> = release rate of gasoline into the pool (kg/s)</w:t>
      </w:r>
    </w:p>
    <w:p w14:paraId="10EB4033" w14:textId="19440607" w:rsidR="00A03B32" w:rsidRDefault="00A03B32" w:rsidP="00A03B32">
      <w:r>
        <w:tab/>
      </w:r>
      <w:r w:rsidR="00C8521A">
        <w:tab/>
      </w:r>
      <w:r>
        <w:tab/>
        <w:t>m</w:t>
      </w:r>
      <w:r w:rsidRPr="00A03B32">
        <w:rPr>
          <w:vertAlign w:val="subscript"/>
        </w:rPr>
        <w:t>f</w:t>
      </w:r>
      <w:r>
        <w:t xml:space="preserve"> = burning rate of gasoline (kg/s.m</w:t>
      </w:r>
      <w:r w:rsidRPr="00A03B32">
        <w:rPr>
          <w:vertAlign w:val="superscript"/>
        </w:rPr>
        <w:t>2</w:t>
      </w:r>
      <w:r>
        <w:t xml:space="preserve"> = 0.067 for large pool fires)</w:t>
      </w:r>
    </w:p>
    <w:p w14:paraId="1C9CB497" w14:textId="4CA3B6D6" w:rsidR="00A03B32" w:rsidRDefault="00A03B32" w:rsidP="00A03B32">
      <w:pPr>
        <w:pStyle w:val="BodyText"/>
      </w:pPr>
      <w:r w:rsidRPr="00A03B32">
        <w:t xml:space="preserve">The calculation of thermal effects requires assessment of the size of the pool fire, the height, width and surface emissive power of the flames, the view factor of the observer depending on </w:t>
      </w:r>
      <w:r w:rsidRPr="00A03B32">
        <w:lastRenderedPageBreak/>
        <w:t>distance from the flames, and the transmissivity of the atmosphere. Published calculation methods are available for obtaining these</w:t>
      </w:r>
      <w:r>
        <w:t>, e.g.</w:t>
      </w:r>
      <w:sdt>
        <w:sdtPr>
          <w:id w:val="1161732576"/>
          <w:citation/>
        </w:sdtPr>
        <w:sdtEndPr/>
        <w:sdtContent>
          <w:r>
            <w:fldChar w:fldCharType="begin"/>
          </w:r>
          <w:r w:rsidR="00990D54">
            <w:instrText xml:space="preserve">CITATION CRR96_1996 \l 2057 </w:instrText>
          </w:r>
          <w:r>
            <w:fldChar w:fldCharType="separate"/>
          </w:r>
          <w:r w:rsidR="00142E77">
            <w:rPr>
              <w:noProof/>
            </w:rPr>
            <w:t xml:space="preserve"> [14]</w:t>
          </w:r>
          <w:r>
            <w:fldChar w:fldCharType="end"/>
          </w:r>
        </w:sdtContent>
      </w:sdt>
      <w:r>
        <w:t xml:space="preserve"> or </w:t>
      </w:r>
      <w:sdt>
        <w:sdtPr>
          <w:id w:val="-1489010724"/>
          <w:citation/>
        </w:sdtPr>
        <w:sdtEndPr/>
        <w:sdtContent>
          <w:r>
            <w:fldChar w:fldCharType="begin"/>
          </w:r>
          <w:r>
            <w:instrText xml:space="preserve"> CITATION Lees_3rd_Ed \l 2057 </w:instrText>
          </w:r>
          <w:r>
            <w:fldChar w:fldCharType="separate"/>
          </w:r>
          <w:r w:rsidR="00142E77">
            <w:rPr>
              <w:noProof/>
            </w:rPr>
            <w:t>[15]</w:t>
          </w:r>
          <w:r>
            <w:fldChar w:fldCharType="end"/>
          </w:r>
        </w:sdtContent>
      </w:sdt>
      <w:r w:rsidRPr="00A03B32">
        <w:t>.</w:t>
      </w:r>
    </w:p>
    <w:p w14:paraId="7AB04FC4" w14:textId="5DFDA074" w:rsidR="00F4544F" w:rsidRDefault="00F4544F" w:rsidP="00864020">
      <w:pPr>
        <w:pStyle w:val="Heading3"/>
        <w:rPr>
          <w:lang w:eastAsia="en-GB"/>
        </w:rPr>
      </w:pPr>
      <w:bookmarkStart w:id="14" w:name="_Toc508707714"/>
      <w:r>
        <w:rPr>
          <w:lang w:eastAsia="en-GB"/>
        </w:rPr>
        <w:t>Delayed Ignition Pool Fires</w:t>
      </w:r>
      <w:bookmarkEnd w:id="14"/>
    </w:p>
    <w:p w14:paraId="58F10CDC" w14:textId="59FE3BDA" w:rsidR="00F4544F" w:rsidRDefault="00F4544F" w:rsidP="00F4544F">
      <w:pPr>
        <w:pStyle w:val="BodyText"/>
        <w:rPr>
          <w:lang w:eastAsia="en-GB"/>
        </w:rPr>
      </w:pPr>
      <w:r>
        <w:rPr>
          <w:lang w:eastAsia="en-GB"/>
        </w:rPr>
        <w:t>Delayed ignition pool fires are modelled in the same way as immediate ignition pool fires, except that the pool fire ignites when the pool has reached its maximum diameter after the time taken to shut off the flow to the leak or rupture. This is the time taken for the leak detection system to identify the leak and sound an alarm, for the control room operator confirm that a leak is occurring, and for the operator to then stop the pump supplying the leak. For significant leaks or ruptures, a good leak detection system, and a 24/7 manned control room, this time is assumed to be 5 minutes.</w:t>
      </w:r>
    </w:p>
    <w:p w14:paraId="32873B19" w14:textId="0FFF2B55" w:rsidR="00F4544F" w:rsidRDefault="00F4544F" w:rsidP="00F4544F">
      <w:pPr>
        <w:pStyle w:val="BodyText"/>
        <w:rPr>
          <w:lang w:eastAsia="en-GB"/>
        </w:rPr>
      </w:pPr>
      <w:r>
        <w:rPr>
          <w:lang w:eastAsia="en-GB"/>
        </w:rPr>
        <w:t>The resulting pool diameter is calculated assuming average pool depth of 20 mm, and again assumes no ground soak-in. However, the main limitation of this approach is that the pool size is based on the “flat-earth” assumption that the pool will evenly spread forming a circular pool. In reality the pool will flow downhill and into drains, gullies and ditches and so the flat-earth pool is unrealistic for areas where the pipeline crosses roads and watercourses.</w:t>
      </w:r>
      <w:r w:rsidR="00142E77">
        <w:rPr>
          <w:lang w:eastAsia="en-GB"/>
        </w:rPr>
        <w:t xml:space="preserve"> Typically, the pool diameter is limited to 100 m to simplistically account for the flaws in the flat earth model </w:t>
      </w:r>
      <w:sdt>
        <w:sdtPr>
          <w:rPr>
            <w:lang w:eastAsia="en-GB"/>
          </w:rPr>
          <w:id w:val="1778526338"/>
          <w:citation/>
        </w:sdtPr>
        <w:sdtEndPr/>
        <w:sdtContent>
          <w:r w:rsidR="00142E77">
            <w:rPr>
              <w:lang w:eastAsia="en-GB"/>
            </w:rPr>
            <w:fldChar w:fldCharType="begin"/>
          </w:r>
          <w:r w:rsidR="00142E77">
            <w:rPr>
              <w:lang w:eastAsia="en-GB"/>
            </w:rPr>
            <w:instrText xml:space="preserve"> CITATION CRR206_1999 \l 2057 </w:instrText>
          </w:r>
          <w:r w:rsidR="00142E77">
            <w:rPr>
              <w:lang w:eastAsia="en-GB"/>
            </w:rPr>
            <w:fldChar w:fldCharType="separate"/>
          </w:r>
          <w:r w:rsidR="00142E77">
            <w:rPr>
              <w:noProof/>
              <w:lang w:eastAsia="en-GB"/>
            </w:rPr>
            <w:t>[2]</w:t>
          </w:r>
          <w:r w:rsidR="00142E77">
            <w:rPr>
              <w:lang w:eastAsia="en-GB"/>
            </w:rPr>
            <w:fldChar w:fldCharType="end"/>
          </w:r>
        </w:sdtContent>
      </w:sdt>
      <w:r w:rsidR="00142E77">
        <w:rPr>
          <w:lang w:eastAsia="en-GB"/>
        </w:rPr>
        <w:t>.</w:t>
      </w:r>
    </w:p>
    <w:p w14:paraId="08F30C7F" w14:textId="77777777" w:rsidR="00F4544F" w:rsidRDefault="00F4544F" w:rsidP="00F4544F">
      <w:pPr>
        <w:widowControl w:val="0"/>
        <w:suppressAutoHyphens w:val="0"/>
        <w:overflowPunct w:val="0"/>
        <w:autoSpaceDE w:val="0"/>
        <w:autoSpaceDN w:val="0"/>
        <w:adjustRightInd w:val="0"/>
        <w:spacing w:before="240" w:after="240" w:line="264" w:lineRule="auto"/>
        <w:ind w:left="850"/>
        <w:rPr>
          <w:rFonts w:ascii="Arial" w:hAnsi="Arial" w:cs="Arial"/>
          <w:kern w:val="28"/>
          <w:lang w:eastAsia="en-GB"/>
        </w:rPr>
      </w:pPr>
      <w:r>
        <w:rPr>
          <w:lang w:eastAsia="en-GB"/>
        </w:rPr>
        <w:t>Once the pool diameter has been derived from the flow rate, delay time, and pool depth, t</w:t>
      </w:r>
      <w:r w:rsidRPr="00162893">
        <w:rPr>
          <w:rFonts w:ascii="Arial" w:hAnsi="Arial" w:cs="Arial"/>
          <w:kern w:val="28"/>
          <w:lang w:eastAsia="en-GB"/>
        </w:rPr>
        <w:t>he calculation of thermal effects requires assessment of the size of the pool fire, the</w:t>
      </w:r>
      <w:r>
        <w:rPr>
          <w:rFonts w:ascii="Arial" w:hAnsi="Arial" w:cs="Arial"/>
          <w:kern w:val="28"/>
          <w:lang w:eastAsia="en-GB"/>
        </w:rPr>
        <w:t xml:space="preserve"> height, width and</w:t>
      </w:r>
      <w:r w:rsidRPr="00162893">
        <w:rPr>
          <w:rFonts w:ascii="Arial" w:hAnsi="Arial" w:cs="Arial"/>
          <w:kern w:val="28"/>
          <w:lang w:eastAsia="en-GB"/>
        </w:rPr>
        <w:t xml:space="preserve"> surface emissive power of the flames, the view factor of the observer depending on distance from the flames, and the transmissivity of the atmosphere.</w:t>
      </w:r>
      <w:r>
        <w:rPr>
          <w:rFonts w:ascii="Arial" w:hAnsi="Arial" w:cs="Arial"/>
          <w:kern w:val="28"/>
          <w:lang w:eastAsia="en-GB"/>
        </w:rPr>
        <w:t xml:space="preserve"> </w:t>
      </w:r>
    </w:p>
    <w:p w14:paraId="6F331284" w14:textId="44257DCF" w:rsidR="00F4544F" w:rsidRDefault="00F4544F" w:rsidP="00864020">
      <w:pPr>
        <w:pStyle w:val="Heading3"/>
        <w:rPr>
          <w:lang w:eastAsia="en-GB"/>
        </w:rPr>
      </w:pPr>
      <w:bookmarkStart w:id="15" w:name="_Toc508707715"/>
      <w:r>
        <w:rPr>
          <w:lang w:eastAsia="en-GB"/>
        </w:rPr>
        <w:t>Spray Fires</w:t>
      </w:r>
      <w:bookmarkEnd w:id="15"/>
    </w:p>
    <w:p w14:paraId="155A3C81" w14:textId="0FDB8497" w:rsidR="00F4544F" w:rsidRDefault="00F4544F" w:rsidP="00F4544F">
      <w:pPr>
        <w:pStyle w:val="BodyText"/>
        <w:rPr>
          <w:lang w:eastAsia="en-GB"/>
        </w:rPr>
      </w:pPr>
      <w:r>
        <w:rPr>
          <w:lang w:eastAsia="en-GB"/>
        </w:rPr>
        <w:t>Spray fires are possible for a limited range of hole sizes only. When the hole size is small (less than about 20 mm) the amount released in a spray is small, and the spray distance falls within the assumed pool fire radius. For large holes sizes (greater than about 40 mm) the velocity out of the hole is insufficient to throw the spray far, and so again the spray distance is within the pool fire radius. However, between these hole sizes, a spray of liquid droplets may form, and the spray distance may be significantly greater that the pool fire radius, especially if the angle of the spray is 45</w:t>
      </w:r>
      <w:r>
        <w:rPr>
          <w:rFonts w:cstheme="minorHAnsi"/>
          <w:vertAlign w:val="superscript"/>
          <w:lang w:eastAsia="en-GB"/>
        </w:rPr>
        <w:t>°</w:t>
      </w:r>
      <w:r>
        <w:rPr>
          <w:lang w:eastAsia="en-GB"/>
        </w:rPr>
        <w:t xml:space="preserve"> from the vertical.</w:t>
      </w:r>
    </w:p>
    <w:p w14:paraId="054546BF" w14:textId="74694D52" w:rsidR="00F4544F" w:rsidRDefault="00F4544F" w:rsidP="00F4544F">
      <w:pPr>
        <w:pStyle w:val="BodyText"/>
        <w:rPr>
          <w:lang w:eastAsia="en-GB"/>
        </w:rPr>
      </w:pPr>
      <w:r>
        <w:rPr>
          <w:lang w:eastAsia="en-GB"/>
        </w:rPr>
        <w:t xml:space="preserve">The WS Atkins report </w:t>
      </w:r>
      <w:sdt>
        <w:sdtPr>
          <w:rPr>
            <w:lang w:eastAsia="en-GB"/>
          </w:rPr>
          <w:id w:val="1806815385"/>
          <w:citation/>
        </w:sdtPr>
        <w:sdtEndPr/>
        <w:sdtContent>
          <w:r>
            <w:rPr>
              <w:lang w:eastAsia="en-GB"/>
            </w:rPr>
            <w:fldChar w:fldCharType="begin"/>
          </w:r>
          <w:r>
            <w:rPr>
              <w:lang w:eastAsia="en-GB"/>
            </w:rPr>
            <w:instrText xml:space="preserve"> CITATION CRR210_1999 \l 2057 </w:instrText>
          </w:r>
          <w:r>
            <w:rPr>
              <w:lang w:eastAsia="en-GB"/>
            </w:rPr>
            <w:fldChar w:fldCharType="separate"/>
          </w:r>
          <w:r w:rsidR="00142E77">
            <w:rPr>
              <w:noProof/>
              <w:lang w:eastAsia="en-GB"/>
            </w:rPr>
            <w:t>[3]</w:t>
          </w:r>
          <w:r>
            <w:rPr>
              <w:lang w:eastAsia="en-GB"/>
            </w:rPr>
            <w:fldChar w:fldCharType="end"/>
          </w:r>
        </w:sdtContent>
      </w:sdt>
      <w:r>
        <w:rPr>
          <w:lang w:eastAsia="en-GB"/>
        </w:rPr>
        <w:t xml:space="preserve"> in 1998 discusses spray fires. </w:t>
      </w:r>
      <w:r w:rsidRPr="008754C3">
        <w:rPr>
          <w:lang w:eastAsia="en-GB"/>
        </w:rPr>
        <w:t>From USA data, 93% of sprays were found to occur due to 3</w:t>
      </w:r>
      <w:r w:rsidRPr="00F4544F">
        <w:rPr>
          <w:vertAlign w:val="superscript"/>
          <w:lang w:eastAsia="en-GB"/>
        </w:rPr>
        <w:t>rd</w:t>
      </w:r>
      <w:r w:rsidRPr="008754C3">
        <w:rPr>
          <w:lang w:eastAsia="en-GB"/>
        </w:rPr>
        <w:t xml:space="preserve"> party activities. </w:t>
      </w:r>
      <w:r>
        <w:rPr>
          <w:lang w:eastAsia="en-GB"/>
        </w:rPr>
        <w:t xml:space="preserve">WS </w:t>
      </w:r>
      <w:r w:rsidRPr="008754C3">
        <w:rPr>
          <w:lang w:eastAsia="en-GB"/>
        </w:rPr>
        <w:t>Atkins estimated that 1</w:t>
      </w:r>
      <w:r>
        <w:rPr>
          <w:lang w:eastAsia="en-GB"/>
        </w:rPr>
        <w:t>5</w:t>
      </w:r>
      <w:r w:rsidRPr="008754C3">
        <w:rPr>
          <w:lang w:eastAsia="en-GB"/>
        </w:rPr>
        <w:t>% of incidents recorded have involved spray releases for some period</w:t>
      </w:r>
      <w:r>
        <w:rPr>
          <w:lang w:eastAsia="en-GB"/>
        </w:rPr>
        <w:t>,</w:t>
      </w:r>
      <w:r w:rsidRPr="008754C3">
        <w:rPr>
          <w:lang w:eastAsia="en-GB"/>
        </w:rPr>
        <w:t xml:space="preserve"> </w:t>
      </w:r>
      <w:r>
        <w:rPr>
          <w:lang w:eastAsia="en-GB"/>
        </w:rPr>
        <w:t xml:space="preserve">and </w:t>
      </w:r>
      <w:r w:rsidRPr="008754C3">
        <w:rPr>
          <w:lang w:eastAsia="en-GB"/>
        </w:rPr>
        <w:t>therefore th</w:t>
      </w:r>
      <w:r>
        <w:rPr>
          <w:lang w:eastAsia="en-GB"/>
        </w:rPr>
        <w:t xml:space="preserve">is factor </w:t>
      </w:r>
      <w:r w:rsidRPr="008754C3">
        <w:rPr>
          <w:lang w:eastAsia="en-GB"/>
        </w:rPr>
        <w:t>should be used as a conservative estimate in risk assessments.</w:t>
      </w:r>
      <w:r>
        <w:rPr>
          <w:lang w:eastAsia="en-GB"/>
        </w:rPr>
        <w:t xml:space="preserve"> Based on a review of all worldwide accidents involving clean products in pipelines, WS Atkins conclude that the best approach is to apply an empirical model for determining the extent of spray fires. They assume that the consequence model for sprays covers an approximately elliptical area. Their analysis showed that the maximum range of the jet/spray is theoretically proportional to pressure, so they proposed that:</w:t>
      </w:r>
    </w:p>
    <w:p w14:paraId="4DB7B360" w14:textId="66B4F6FB" w:rsidR="00F4544F" w:rsidRDefault="00F4544F" w:rsidP="00F4544F">
      <w:pPr>
        <w:pStyle w:val="BodyText"/>
        <w:jc w:val="center"/>
        <w:rPr>
          <w:lang w:eastAsia="en-GB"/>
        </w:rPr>
      </w:pPr>
      <m:oMathPara>
        <m:oMath>
          <m:r>
            <w:rPr>
              <w:rFonts w:ascii="Cambria Math" w:hAnsi="Cambria Math"/>
              <w:lang w:eastAsia="en-GB"/>
            </w:rPr>
            <m:t>Range of spray in metres=2 ×pressure in barg</m:t>
          </m:r>
        </m:oMath>
      </m:oMathPara>
    </w:p>
    <w:p w14:paraId="1B69473D" w14:textId="44613154" w:rsidR="00F4544F" w:rsidRDefault="00F4544F" w:rsidP="00F4544F">
      <w:pPr>
        <w:pStyle w:val="BodyText"/>
        <w:rPr>
          <w:lang w:eastAsia="en-GB"/>
        </w:rPr>
      </w:pPr>
      <w:r>
        <w:rPr>
          <w:lang w:eastAsia="en-GB"/>
        </w:rPr>
        <w:t>Sprays do not always have this maximum range, and so four cases corresponding to 25%, 50%, 75% and 100% of the maximum range are included in the model, with the maximum width of the ellipse taken to be 80% of the range. This is based on examination of photos, diagrams, and eye witness reports. So, for a pipeline MAOP of 80 barg, the maximum spray distance is 2 x 80 = 160 m, with intermediate distances 120 m, 80 m and 40 m.</w:t>
      </w:r>
    </w:p>
    <w:p w14:paraId="70941C37" w14:textId="5203DFD3" w:rsidR="00F4544F" w:rsidRDefault="00F4544F" w:rsidP="00864020">
      <w:pPr>
        <w:pStyle w:val="Heading3"/>
        <w:rPr>
          <w:lang w:eastAsia="en-GB"/>
        </w:rPr>
      </w:pPr>
      <w:r>
        <w:rPr>
          <w:lang w:eastAsia="en-GB"/>
        </w:rPr>
        <w:lastRenderedPageBreak/>
        <w:t>Ignition Probability</w:t>
      </w:r>
    </w:p>
    <w:p w14:paraId="09F91C63" w14:textId="67884C58" w:rsidR="00F4544F" w:rsidRDefault="00F4544F" w:rsidP="00F4544F">
      <w:pPr>
        <w:widowControl w:val="0"/>
        <w:suppressAutoHyphens w:val="0"/>
        <w:overflowPunct w:val="0"/>
        <w:autoSpaceDE w:val="0"/>
        <w:autoSpaceDN w:val="0"/>
        <w:adjustRightInd w:val="0"/>
        <w:spacing w:before="240" w:after="240" w:line="264" w:lineRule="auto"/>
        <w:ind w:left="850"/>
        <w:rPr>
          <w:rFonts w:ascii="Arial" w:hAnsi="Arial" w:cs="Arial"/>
          <w:kern w:val="28"/>
          <w:lang w:eastAsia="en-GB"/>
        </w:rPr>
      </w:pPr>
      <w:r>
        <w:rPr>
          <w:rFonts w:ascii="Arial" w:hAnsi="Arial" w:cs="Arial"/>
          <w:kern w:val="28"/>
          <w:lang w:eastAsia="en-GB"/>
        </w:rPr>
        <w:t>Extensive analysis of CONCAWE and US Dept of Transport data by both AD Little</w:t>
      </w:r>
      <w:sdt>
        <w:sdtPr>
          <w:rPr>
            <w:rFonts w:ascii="Arial" w:hAnsi="Arial" w:cs="Arial"/>
            <w:kern w:val="28"/>
            <w:lang w:eastAsia="en-GB"/>
          </w:rPr>
          <w:id w:val="-841544017"/>
          <w:citation/>
        </w:sdtPr>
        <w:sdtEndPr/>
        <w:sdtContent>
          <w:r w:rsidR="00454AD2">
            <w:rPr>
              <w:rFonts w:ascii="Arial" w:hAnsi="Arial" w:cs="Arial"/>
              <w:kern w:val="28"/>
              <w:lang w:eastAsia="en-GB"/>
            </w:rPr>
            <w:fldChar w:fldCharType="begin"/>
          </w:r>
          <w:r w:rsidR="00454AD2">
            <w:rPr>
              <w:rFonts w:ascii="Arial" w:hAnsi="Arial" w:cs="Arial"/>
              <w:kern w:val="28"/>
              <w:lang w:eastAsia="en-GB"/>
            </w:rPr>
            <w:instrText xml:space="preserve"> CITATION CRR206_1999 \l 2057 </w:instrText>
          </w:r>
          <w:r w:rsidR="00454AD2">
            <w:rPr>
              <w:rFonts w:ascii="Arial" w:hAnsi="Arial" w:cs="Arial"/>
              <w:kern w:val="28"/>
              <w:lang w:eastAsia="en-GB"/>
            </w:rPr>
            <w:fldChar w:fldCharType="separate"/>
          </w:r>
          <w:r w:rsidR="00142E77">
            <w:rPr>
              <w:rFonts w:ascii="Arial" w:hAnsi="Arial" w:cs="Arial"/>
              <w:noProof/>
              <w:kern w:val="28"/>
              <w:lang w:eastAsia="en-GB"/>
            </w:rPr>
            <w:t xml:space="preserve"> </w:t>
          </w:r>
          <w:r w:rsidR="00142E77" w:rsidRPr="00142E77">
            <w:rPr>
              <w:rFonts w:ascii="Arial" w:hAnsi="Arial" w:cs="Arial"/>
              <w:noProof/>
              <w:kern w:val="28"/>
              <w:lang w:eastAsia="en-GB"/>
            </w:rPr>
            <w:t>[2]</w:t>
          </w:r>
          <w:r w:rsidR="00454AD2">
            <w:rPr>
              <w:rFonts w:ascii="Arial" w:hAnsi="Arial" w:cs="Arial"/>
              <w:kern w:val="28"/>
              <w:lang w:eastAsia="en-GB"/>
            </w:rPr>
            <w:fldChar w:fldCharType="end"/>
          </w:r>
        </w:sdtContent>
      </w:sdt>
      <w:r>
        <w:rPr>
          <w:rFonts w:ascii="Arial" w:hAnsi="Arial" w:cs="Arial"/>
          <w:kern w:val="28"/>
          <w:lang w:eastAsia="en-GB"/>
        </w:rPr>
        <w:t xml:space="preserve"> and WS</w:t>
      </w:r>
      <w:r w:rsidR="00454AD2">
        <w:rPr>
          <w:rFonts w:ascii="Arial" w:hAnsi="Arial" w:cs="Arial"/>
          <w:kern w:val="28"/>
          <w:lang w:eastAsia="en-GB"/>
        </w:rPr>
        <w:t> </w:t>
      </w:r>
      <w:r>
        <w:rPr>
          <w:rFonts w:ascii="Arial" w:hAnsi="Arial" w:cs="Arial"/>
          <w:kern w:val="28"/>
          <w:lang w:eastAsia="en-GB"/>
        </w:rPr>
        <w:t>Atkins</w:t>
      </w:r>
      <w:sdt>
        <w:sdtPr>
          <w:rPr>
            <w:rFonts w:ascii="Arial" w:hAnsi="Arial" w:cs="Arial"/>
            <w:kern w:val="28"/>
            <w:lang w:eastAsia="en-GB"/>
          </w:rPr>
          <w:id w:val="-955949071"/>
          <w:citation/>
        </w:sdtPr>
        <w:sdtEndPr/>
        <w:sdtContent>
          <w:r w:rsidR="00454AD2">
            <w:rPr>
              <w:rFonts w:ascii="Arial" w:hAnsi="Arial" w:cs="Arial"/>
              <w:kern w:val="28"/>
              <w:lang w:eastAsia="en-GB"/>
            </w:rPr>
            <w:fldChar w:fldCharType="begin"/>
          </w:r>
          <w:r w:rsidR="00454AD2">
            <w:rPr>
              <w:rFonts w:ascii="Arial" w:hAnsi="Arial" w:cs="Arial"/>
              <w:kern w:val="28"/>
              <w:lang w:eastAsia="en-GB"/>
            </w:rPr>
            <w:instrText xml:space="preserve"> CITATION CRR210_1999 \l 2057 </w:instrText>
          </w:r>
          <w:r w:rsidR="00454AD2">
            <w:rPr>
              <w:rFonts w:ascii="Arial" w:hAnsi="Arial" w:cs="Arial"/>
              <w:kern w:val="28"/>
              <w:lang w:eastAsia="en-GB"/>
            </w:rPr>
            <w:fldChar w:fldCharType="separate"/>
          </w:r>
          <w:r w:rsidR="00142E77">
            <w:rPr>
              <w:rFonts w:ascii="Arial" w:hAnsi="Arial" w:cs="Arial"/>
              <w:noProof/>
              <w:kern w:val="28"/>
              <w:lang w:eastAsia="en-GB"/>
            </w:rPr>
            <w:t xml:space="preserve"> </w:t>
          </w:r>
          <w:r w:rsidR="00142E77" w:rsidRPr="00142E77">
            <w:rPr>
              <w:rFonts w:ascii="Arial" w:hAnsi="Arial" w:cs="Arial"/>
              <w:noProof/>
              <w:kern w:val="28"/>
              <w:lang w:eastAsia="en-GB"/>
            </w:rPr>
            <w:t>[3]</w:t>
          </w:r>
          <w:r w:rsidR="00454AD2">
            <w:rPr>
              <w:rFonts w:ascii="Arial" w:hAnsi="Arial" w:cs="Arial"/>
              <w:kern w:val="28"/>
              <w:lang w:eastAsia="en-GB"/>
            </w:rPr>
            <w:fldChar w:fldCharType="end"/>
          </w:r>
        </w:sdtContent>
      </w:sdt>
      <w:r>
        <w:rPr>
          <w:rFonts w:ascii="Arial" w:hAnsi="Arial" w:cs="Arial"/>
          <w:kern w:val="28"/>
          <w:lang w:eastAsia="en-GB"/>
        </w:rPr>
        <w:t xml:space="preserve"> showed that ignition probabilities were very low for gasoline pipeline leaks and spillages. Both reports showed that ignition probabilities were higher in suburban areas than rural areas.</w:t>
      </w:r>
    </w:p>
    <w:p w14:paraId="34C2B990" w14:textId="02BCC9F2" w:rsidR="00F4544F" w:rsidRDefault="00F4544F" w:rsidP="00F4544F">
      <w:pPr>
        <w:widowControl w:val="0"/>
        <w:suppressAutoHyphens w:val="0"/>
        <w:overflowPunct w:val="0"/>
        <w:autoSpaceDE w:val="0"/>
        <w:autoSpaceDN w:val="0"/>
        <w:adjustRightInd w:val="0"/>
        <w:spacing w:before="240" w:after="240" w:line="264" w:lineRule="auto"/>
        <w:ind w:left="850"/>
        <w:rPr>
          <w:rFonts w:ascii="Arial" w:hAnsi="Arial" w:cs="Arial"/>
          <w:kern w:val="28"/>
          <w:lang w:eastAsia="en-GB"/>
        </w:rPr>
      </w:pPr>
      <w:r>
        <w:rPr>
          <w:rFonts w:ascii="Arial" w:hAnsi="Arial" w:cs="Arial"/>
          <w:kern w:val="28"/>
          <w:lang w:eastAsia="en-GB"/>
        </w:rPr>
        <w:t>Analysis of their data and based on</w:t>
      </w:r>
      <w:r w:rsidR="00454AD2">
        <w:rPr>
          <w:rFonts w:ascii="Arial" w:hAnsi="Arial" w:cs="Arial"/>
          <w:kern w:val="28"/>
          <w:lang w:eastAsia="en-GB"/>
        </w:rPr>
        <w:t xml:space="preserve"> the</w:t>
      </w:r>
      <w:r>
        <w:rPr>
          <w:rFonts w:ascii="Arial" w:hAnsi="Arial" w:cs="Arial"/>
          <w:kern w:val="28"/>
          <w:lang w:eastAsia="en-GB"/>
        </w:rPr>
        <w:t xml:space="preserve"> HSE proposed methodology for land use planning zones in 2010, the following ignition probabilities are applied in the UKOPA methodology.</w:t>
      </w:r>
    </w:p>
    <w:tbl>
      <w:tblPr>
        <w:tblStyle w:val="TableGrid"/>
        <w:tblW w:w="5797" w:type="dxa"/>
        <w:jc w:val="left"/>
        <w:tblInd w:w="1980" w:type="dxa"/>
        <w:tblLook w:val="06A0" w:firstRow="1" w:lastRow="0" w:firstColumn="1" w:lastColumn="0" w:noHBand="1" w:noVBand="1"/>
      </w:tblPr>
      <w:tblGrid>
        <w:gridCol w:w="2691"/>
        <w:gridCol w:w="1553"/>
        <w:gridCol w:w="1553"/>
      </w:tblGrid>
      <w:tr w:rsidR="00454AD2" w:rsidRPr="00631044" w14:paraId="4B683619" w14:textId="77777777" w:rsidTr="00864020">
        <w:trPr>
          <w:cnfStyle w:val="100000000000" w:firstRow="1" w:lastRow="0" w:firstColumn="0" w:lastColumn="0" w:oddVBand="0" w:evenVBand="0" w:oddHBand="0"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2691" w:type="dxa"/>
            <w:vMerge w:val="restart"/>
            <w:shd w:val="clear" w:color="auto" w:fill="CAC8C8" w:themeFill="accent2"/>
          </w:tcPr>
          <w:p w14:paraId="6DE35B91" w14:textId="1099BC75" w:rsidR="00454AD2" w:rsidRPr="00631044" w:rsidRDefault="00454AD2" w:rsidP="00864020">
            <w:pPr>
              <w:spacing w:before="0" w:after="0"/>
              <w:jc w:val="center"/>
            </w:pPr>
            <w:r w:rsidRPr="00BF5332">
              <w:t>Fire Type</w:t>
            </w:r>
          </w:p>
        </w:tc>
        <w:tc>
          <w:tcPr>
            <w:tcW w:w="3106" w:type="dxa"/>
            <w:gridSpan w:val="2"/>
            <w:tcBorders>
              <w:bottom w:val="single" w:sz="4" w:space="0" w:color="auto"/>
            </w:tcBorders>
            <w:shd w:val="clear" w:color="auto" w:fill="CAC8C8" w:themeFill="accent2"/>
          </w:tcPr>
          <w:p w14:paraId="23D4BD2D" w14:textId="57425401" w:rsidR="00454AD2" w:rsidRPr="00454AD2" w:rsidRDefault="00454AD2" w:rsidP="00864020">
            <w:pPr>
              <w:spacing w:before="0" w:after="0"/>
              <w:jc w:val="center"/>
              <w:cnfStyle w:val="100000000000" w:firstRow="1" w:lastRow="0" w:firstColumn="0" w:lastColumn="0" w:oddVBand="0" w:evenVBand="0" w:oddHBand="0" w:evenHBand="0" w:firstRowFirstColumn="0" w:firstRowLastColumn="0" w:lastRowFirstColumn="0" w:lastRowLastColumn="0"/>
            </w:pPr>
            <w:r w:rsidRPr="00BF5332">
              <w:t>Ignition Probability</w:t>
            </w:r>
          </w:p>
        </w:tc>
      </w:tr>
      <w:tr w:rsidR="00454AD2" w:rsidRPr="00631044" w14:paraId="65FCF19A" w14:textId="77777777" w:rsidTr="00864020">
        <w:trPr>
          <w:trHeight w:val="20"/>
          <w:jc w:val="left"/>
        </w:trPr>
        <w:tc>
          <w:tcPr>
            <w:cnfStyle w:val="001000000000" w:firstRow="0" w:lastRow="0" w:firstColumn="1" w:lastColumn="0" w:oddVBand="0" w:evenVBand="0" w:oddHBand="0" w:evenHBand="0" w:firstRowFirstColumn="0" w:firstRowLastColumn="0" w:lastRowFirstColumn="0" w:lastRowLastColumn="0"/>
            <w:tcW w:w="2691" w:type="dxa"/>
            <w:vMerge/>
            <w:shd w:val="clear" w:color="auto" w:fill="CAC8C8" w:themeFill="accent2"/>
          </w:tcPr>
          <w:p w14:paraId="590B06BC" w14:textId="77777777" w:rsidR="00454AD2" w:rsidRPr="00454AD2" w:rsidRDefault="00454AD2" w:rsidP="00864020">
            <w:pPr>
              <w:spacing w:before="0" w:after="0"/>
              <w:jc w:val="center"/>
            </w:pPr>
          </w:p>
        </w:tc>
        <w:tc>
          <w:tcPr>
            <w:tcW w:w="1553" w:type="dxa"/>
            <w:tcBorders>
              <w:top w:val="single" w:sz="4" w:space="0" w:color="auto"/>
            </w:tcBorders>
            <w:shd w:val="clear" w:color="auto" w:fill="CAC8C8" w:themeFill="accent2"/>
          </w:tcPr>
          <w:p w14:paraId="170E3556" w14:textId="532388E4" w:rsidR="00454AD2" w:rsidRPr="00454AD2" w:rsidRDefault="00454AD2" w:rsidP="00864020">
            <w:pPr>
              <w:spacing w:before="0" w:after="0"/>
              <w:jc w:val="center"/>
              <w:cnfStyle w:val="000000000000" w:firstRow="0" w:lastRow="0" w:firstColumn="0" w:lastColumn="0" w:oddVBand="0" w:evenVBand="0" w:oddHBand="0" w:evenHBand="0" w:firstRowFirstColumn="0" w:firstRowLastColumn="0" w:lastRowFirstColumn="0" w:lastRowLastColumn="0"/>
              <w:rPr>
                <w:b/>
              </w:rPr>
            </w:pPr>
            <w:r w:rsidRPr="00454AD2">
              <w:rPr>
                <w:b/>
              </w:rPr>
              <w:t>Rural</w:t>
            </w:r>
          </w:p>
        </w:tc>
        <w:tc>
          <w:tcPr>
            <w:tcW w:w="1553" w:type="dxa"/>
            <w:tcBorders>
              <w:top w:val="single" w:sz="4" w:space="0" w:color="auto"/>
            </w:tcBorders>
            <w:shd w:val="clear" w:color="auto" w:fill="CAC8C8" w:themeFill="accent2"/>
          </w:tcPr>
          <w:p w14:paraId="1720F252" w14:textId="76089489" w:rsidR="00454AD2" w:rsidRPr="00454AD2" w:rsidRDefault="00454AD2" w:rsidP="00864020">
            <w:pPr>
              <w:spacing w:before="0" w:after="0"/>
              <w:jc w:val="center"/>
              <w:cnfStyle w:val="000000000000" w:firstRow="0" w:lastRow="0" w:firstColumn="0" w:lastColumn="0" w:oddVBand="0" w:evenVBand="0" w:oddHBand="0" w:evenHBand="0" w:firstRowFirstColumn="0" w:firstRowLastColumn="0" w:lastRowFirstColumn="0" w:lastRowLastColumn="0"/>
              <w:rPr>
                <w:b/>
              </w:rPr>
            </w:pPr>
            <w:r w:rsidRPr="00454AD2">
              <w:rPr>
                <w:b/>
              </w:rPr>
              <w:t>Suburban</w:t>
            </w:r>
          </w:p>
        </w:tc>
      </w:tr>
      <w:tr w:rsidR="00F4544F" w:rsidRPr="00631044" w14:paraId="14709AC9" w14:textId="77777777" w:rsidTr="00864020">
        <w:trPr>
          <w:trHeight w:val="20"/>
          <w:jc w:val="left"/>
        </w:trPr>
        <w:tc>
          <w:tcPr>
            <w:cnfStyle w:val="001000000000" w:firstRow="0" w:lastRow="0" w:firstColumn="1" w:lastColumn="0" w:oddVBand="0" w:evenVBand="0" w:oddHBand="0" w:evenHBand="0" w:firstRowFirstColumn="0" w:firstRowLastColumn="0" w:lastRowFirstColumn="0" w:lastRowLastColumn="0"/>
            <w:tcW w:w="2691" w:type="dxa"/>
          </w:tcPr>
          <w:p w14:paraId="77F03C9D" w14:textId="3FDC17A4" w:rsidR="00F4544F" w:rsidRPr="00D24585" w:rsidRDefault="00F4544F" w:rsidP="00864020">
            <w:pPr>
              <w:spacing w:before="0" w:after="0"/>
              <w:jc w:val="center"/>
            </w:pPr>
            <w:r w:rsidRPr="00BF5332">
              <w:t>Spray Fire</w:t>
            </w:r>
          </w:p>
        </w:tc>
        <w:tc>
          <w:tcPr>
            <w:tcW w:w="1553" w:type="dxa"/>
          </w:tcPr>
          <w:p w14:paraId="56524394" w14:textId="4F1FA8E1" w:rsidR="00F4544F" w:rsidRPr="00631044" w:rsidRDefault="00F4544F" w:rsidP="00864020">
            <w:pPr>
              <w:spacing w:before="0" w:after="0"/>
              <w:jc w:val="center"/>
              <w:cnfStyle w:val="000000000000" w:firstRow="0" w:lastRow="0" w:firstColumn="0" w:lastColumn="0" w:oddVBand="0" w:evenVBand="0" w:oddHBand="0" w:evenHBand="0" w:firstRowFirstColumn="0" w:firstRowLastColumn="0" w:lastRowFirstColumn="0" w:lastRowLastColumn="0"/>
            </w:pPr>
            <w:r w:rsidRPr="00BF5332">
              <w:t>0.03</w:t>
            </w:r>
          </w:p>
        </w:tc>
        <w:tc>
          <w:tcPr>
            <w:tcW w:w="1553" w:type="dxa"/>
          </w:tcPr>
          <w:p w14:paraId="2CF75803" w14:textId="3CEC43A0" w:rsidR="00F4544F" w:rsidRPr="00631044" w:rsidRDefault="00F4544F" w:rsidP="00864020">
            <w:pPr>
              <w:spacing w:before="0" w:after="0"/>
              <w:jc w:val="center"/>
              <w:cnfStyle w:val="000000000000" w:firstRow="0" w:lastRow="0" w:firstColumn="0" w:lastColumn="0" w:oddVBand="0" w:evenVBand="0" w:oddHBand="0" w:evenHBand="0" w:firstRowFirstColumn="0" w:firstRowLastColumn="0" w:lastRowFirstColumn="0" w:lastRowLastColumn="0"/>
            </w:pPr>
            <w:r w:rsidRPr="00BF5332">
              <w:t>0.05</w:t>
            </w:r>
          </w:p>
        </w:tc>
      </w:tr>
      <w:tr w:rsidR="00F4544F" w:rsidRPr="00631044" w14:paraId="25B4AE6A" w14:textId="77777777" w:rsidTr="00C8521A">
        <w:trPr>
          <w:jc w:val="left"/>
        </w:trPr>
        <w:tc>
          <w:tcPr>
            <w:cnfStyle w:val="001000000000" w:firstRow="0" w:lastRow="0" w:firstColumn="1" w:lastColumn="0" w:oddVBand="0" w:evenVBand="0" w:oddHBand="0" w:evenHBand="0" w:firstRowFirstColumn="0" w:firstRowLastColumn="0" w:lastRowFirstColumn="0" w:lastRowLastColumn="0"/>
            <w:tcW w:w="2691" w:type="dxa"/>
          </w:tcPr>
          <w:p w14:paraId="3EEEDFC5" w14:textId="26EAD781" w:rsidR="00F4544F" w:rsidRPr="00D24585" w:rsidRDefault="00F4544F" w:rsidP="00864020">
            <w:pPr>
              <w:spacing w:before="0" w:after="0"/>
              <w:jc w:val="center"/>
            </w:pPr>
            <w:r w:rsidRPr="00BF5332">
              <w:t xml:space="preserve">Immediate Ignition </w:t>
            </w:r>
            <w:r w:rsidR="00454AD2">
              <w:t xml:space="preserve">Pool </w:t>
            </w:r>
            <w:r w:rsidRPr="00BF5332">
              <w:t>Fire</w:t>
            </w:r>
          </w:p>
        </w:tc>
        <w:tc>
          <w:tcPr>
            <w:tcW w:w="1553" w:type="dxa"/>
          </w:tcPr>
          <w:p w14:paraId="6D0B5EBB" w14:textId="3F7ECCDC" w:rsidR="00F4544F" w:rsidRPr="00631044" w:rsidRDefault="00F4544F" w:rsidP="00864020">
            <w:pPr>
              <w:spacing w:before="0" w:after="0"/>
              <w:jc w:val="center"/>
              <w:cnfStyle w:val="000000000000" w:firstRow="0" w:lastRow="0" w:firstColumn="0" w:lastColumn="0" w:oddVBand="0" w:evenVBand="0" w:oddHBand="0" w:evenHBand="0" w:firstRowFirstColumn="0" w:firstRowLastColumn="0" w:lastRowFirstColumn="0" w:lastRowLastColumn="0"/>
            </w:pPr>
            <w:r w:rsidRPr="00BF5332">
              <w:t>0.015</w:t>
            </w:r>
          </w:p>
        </w:tc>
        <w:tc>
          <w:tcPr>
            <w:tcW w:w="1553" w:type="dxa"/>
          </w:tcPr>
          <w:p w14:paraId="683E27CA" w14:textId="704D428C" w:rsidR="00F4544F" w:rsidRPr="00631044" w:rsidRDefault="00F4544F" w:rsidP="00864020">
            <w:pPr>
              <w:spacing w:before="0" w:after="0"/>
              <w:jc w:val="center"/>
              <w:cnfStyle w:val="000000000000" w:firstRow="0" w:lastRow="0" w:firstColumn="0" w:lastColumn="0" w:oddVBand="0" w:evenVBand="0" w:oddHBand="0" w:evenHBand="0" w:firstRowFirstColumn="0" w:firstRowLastColumn="0" w:lastRowFirstColumn="0" w:lastRowLastColumn="0"/>
            </w:pPr>
            <w:r w:rsidRPr="00BF5332">
              <w:t>0.025</w:t>
            </w:r>
          </w:p>
        </w:tc>
      </w:tr>
      <w:tr w:rsidR="00F4544F" w:rsidRPr="00631044" w14:paraId="638345A8" w14:textId="77777777" w:rsidTr="00C8521A">
        <w:trPr>
          <w:jc w:val="left"/>
        </w:trPr>
        <w:tc>
          <w:tcPr>
            <w:cnfStyle w:val="001000000000" w:firstRow="0" w:lastRow="0" w:firstColumn="1" w:lastColumn="0" w:oddVBand="0" w:evenVBand="0" w:oddHBand="0" w:evenHBand="0" w:firstRowFirstColumn="0" w:firstRowLastColumn="0" w:lastRowFirstColumn="0" w:lastRowLastColumn="0"/>
            <w:tcW w:w="2691" w:type="dxa"/>
          </w:tcPr>
          <w:p w14:paraId="7AC1783A" w14:textId="7A5D62DF" w:rsidR="00F4544F" w:rsidRPr="00BF5332" w:rsidRDefault="00454AD2" w:rsidP="00864020">
            <w:pPr>
              <w:spacing w:before="0" w:after="0"/>
              <w:jc w:val="center"/>
            </w:pPr>
            <w:r>
              <w:t>Delayed Ignition Pool Fire</w:t>
            </w:r>
          </w:p>
        </w:tc>
        <w:tc>
          <w:tcPr>
            <w:tcW w:w="1553" w:type="dxa"/>
          </w:tcPr>
          <w:p w14:paraId="6B2E5243" w14:textId="08B702DD" w:rsidR="00F4544F" w:rsidRPr="00BF5332" w:rsidRDefault="00454AD2" w:rsidP="00864020">
            <w:pPr>
              <w:spacing w:before="0" w:after="0"/>
              <w:jc w:val="center"/>
              <w:cnfStyle w:val="000000000000" w:firstRow="0" w:lastRow="0" w:firstColumn="0" w:lastColumn="0" w:oddVBand="0" w:evenVBand="0" w:oddHBand="0" w:evenHBand="0" w:firstRowFirstColumn="0" w:firstRowLastColumn="0" w:lastRowFirstColumn="0" w:lastRowLastColumn="0"/>
            </w:pPr>
            <w:r>
              <w:t>0.015</w:t>
            </w:r>
          </w:p>
        </w:tc>
        <w:tc>
          <w:tcPr>
            <w:tcW w:w="1553" w:type="dxa"/>
          </w:tcPr>
          <w:p w14:paraId="6B16C4A8" w14:textId="0DE01143" w:rsidR="00F4544F" w:rsidRPr="00BF5332" w:rsidRDefault="00454AD2" w:rsidP="00864020">
            <w:pPr>
              <w:spacing w:before="0" w:after="0"/>
              <w:jc w:val="center"/>
              <w:cnfStyle w:val="000000000000" w:firstRow="0" w:lastRow="0" w:firstColumn="0" w:lastColumn="0" w:oddVBand="0" w:evenVBand="0" w:oddHBand="0" w:evenHBand="0" w:firstRowFirstColumn="0" w:firstRowLastColumn="0" w:lastRowFirstColumn="0" w:lastRowLastColumn="0"/>
            </w:pPr>
            <w:r>
              <w:t>0.025</w:t>
            </w:r>
          </w:p>
        </w:tc>
      </w:tr>
    </w:tbl>
    <w:p w14:paraId="4185079B" w14:textId="05246A9B" w:rsidR="00F4544F" w:rsidRDefault="00454AD2" w:rsidP="00454AD2">
      <w:pPr>
        <w:pStyle w:val="Caption"/>
      </w:pPr>
      <w:r>
        <w:t xml:space="preserve">Table </w:t>
      </w:r>
      <w:r w:rsidR="00C51F88">
        <w:rPr>
          <w:noProof/>
        </w:rPr>
        <w:fldChar w:fldCharType="begin"/>
      </w:r>
      <w:r w:rsidR="00C51F88">
        <w:rPr>
          <w:noProof/>
        </w:rPr>
        <w:instrText xml:space="preserve"> STYLEREF 1 \s </w:instrText>
      </w:r>
      <w:r w:rsidR="00C51F88">
        <w:rPr>
          <w:noProof/>
        </w:rPr>
        <w:fldChar w:fldCharType="separate"/>
      </w:r>
      <w:r w:rsidR="006E62A3">
        <w:rPr>
          <w:noProof/>
        </w:rPr>
        <w:t>3</w:t>
      </w:r>
      <w:r w:rsidR="00C51F88">
        <w:rPr>
          <w:noProof/>
        </w:rPr>
        <w:fldChar w:fldCharType="end"/>
      </w:r>
      <w:r w:rsidR="006E62A3">
        <w:t>.</w:t>
      </w:r>
      <w:r w:rsidR="00C51F88">
        <w:rPr>
          <w:noProof/>
        </w:rPr>
        <w:fldChar w:fldCharType="begin"/>
      </w:r>
      <w:r w:rsidR="00C51F88">
        <w:rPr>
          <w:noProof/>
        </w:rPr>
        <w:instrText xml:space="preserve"> SEQ Table \* ARABIC \s 1 </w:instrText>
      </w:r>
      <w:r w:rsidR="00C51F88">
        <w:rPr>
          <w:noProof/>
        </w:rPr>
        <w:fldChar w:fldCharType="separate"/>
      </w:r>
      <w:r w:rsidR="006E62A3">
        <w:rPr>
          <w:noProof/>
        </w:rPr>
        <w:t>2</w:t>
      </w:r>
      <w:r w:rsidR="00C51F88">
        <w:rPr>
          <w:noProof/>
        </w:rPr>
        <w:fldChar w:fldCharType="end"/>
      </w:r>
      <w:r>
        <w:t xml:space="preserve">: </w:t>
      </w:r>
      <w:r w:rsidR="00C8521A">
        <w:t>Gasoline Fire Ignition Probabilities</w:t>
      </w:r>
    </w:p>
    <w:p w14:paraId="014FB509" w14:textId="7E8244C4" w:rsidR="00C8521A" w:rsidRDefault="00C8521A" w:rsidP="00864020">
      <w:pPr>
        <w:pStyle w:val="Heading3"/>
        <w:rPr>
          <w:lang w:eastAsia="en-GB"/>
        </w:rPr>
      </w:pPr>
      <w:bookmarkStart w:id="16" w:name="_Toc508707717"/>
      <w:r>
        <w:rPr>
          <w:lang w:eastAsia="en-GB"/>
        </w:rPr>
        <w:t>Impact on Population</w:t>
      </w:r>
      <w:bookmarkEnd w:id="16"/>
    </w:p>
    <w:p w14:paraId="69E0BFE2" w14:textId="77777777" w:rsidR="00C8521A" w:rsidRDefault="00C8521A" w:rsidP="00C8521A">
      <w:pPr>
        <w:pStyle w:val="BodyText"/>
        <w:rPr>
          <w:lang w:eastAsia="en-GB"/>
        </w:rPr>
      </w:pPr>
      <w:r>
        <w:rPr>
          <w:lang w:eastAsia="en-GB"/>
        </w:rPr>
        <w:t>Thermal radiation levels are calculated to assess the impact on the exposed population.</w:t>
      </w:r>
    </w:p>
    <w:p w14:paraId="7ADAA087" w14:textId="1C45C80D" w:rsidR="00C8521A" w:rsidRDefault="00C8521A" w:rsidP="00C8521A">
      <w:pPr>
        <w:pStyle w:val="BodyText"/>
        <w:rPr>
          <w:lang w:eastAsia="en-GB"/>
        </w:rPr>
      </w:pPr>
      <w:r>
        <w:rPr>
          <w:lang w:eastAsia="en-GB"/>
        </w:rPr>
        <w:t>Based on serious accidents which have occurred in the past, the effects on people of high thermal radiation are found to be a function of the thermal radiation intensity, and its duration. For short duration events, such as exposure to large pool fires, the effects have been correlated with the thermal radiation flux to the power four-thirds (4/3) multiplied by the duration. This measure, called the “thermal radiation dose unit”, or tdu, is calculated as follows:</w:t>
      </w:r>
    </w:p>
    <w:p w14:paraId="08013C4D" w14:textId="49B96CBE" w:rsidR="00C8521A" w:rsidRPr="00C8521A" w:rsidRDefault="00C8521A" w:rsidP="00C8521A">
      <w:pPr>
        <w:pStyle w:val="BodyText"/>
      </w:pPr>
      <m:oMathPara>
        <m:oMath>
          <m:r>
            <w:rPr>
              <w:rFonts w:ascii="Cambria Math" w:hAnsi="Cambria Math"/>
            </w:rPr>
            <m:t xml:space="preserve">Thermal dose unit </m:t>
          </m:r>
          <m:d>
            <m:dPr>
              <m:ctrlPr>
                <w:rPr>
                  <w:rFonts w:ascii="Cambria Math" w:hAnsi="Cambria Math"/>
                  <w:i/>
                </w:rPr>
              </m:ctrlPr>
            </m:dPr>
            <m:e>
              <m:r>
                <w:rPr>
                  <w:rFonts w:ascii="Cambria Math" w:hAnsi="Cambria Math"/>
                </w:rPr>
                <m:t>tdu</m:t>
              </m:r>
            </m:e>
          </m:d>
          <m:r>
            <w:rPr>
              <w:rFonts w:ascii="Cambria Math" w:hAnsi="Cambria Math"/>
            </w:rPr>
            <m:t>=</m:t>
          </m:r>
          <m:sSup>
            <m:sSupPr>
              <m:ctrlPr>
                <w:rPr>
                  <w:rFonts w:ascii="Cambria Math" w:hAnsi="Cambria Math"/>
                  <w:i/>
                </w:rPr>
              </m:ctrlPr>
            </m:sSupPr>
            <m:e>
              <m:r>
                <w:rPr>
                  <w:rFonts w:ascii="Cambria Math" w:hAnsi="Cambria Math"/>
                </w:rPr>
                <m:t>I</m:t>
              </m:r>
            </m:e>
            <m:sup>
              <m:f>
                <m:fPr>
                  <m:ctrlPr>
                    <w:rPr>
                      <w:rFonts w:ascii="Cambria Math" w:hAnsi="Cambria Math"/>
                      <w:i/>
                    </w:rPr>
                  </m:ctrlPr>
                </m:fPr>
                <m:num>
                  <m:r>
                    <w:rPr>
                      <w:rFonts w:ascii="Cambria Math" w:hAnsi="Cambria Math"/>
                    </w:rPr>
                    <m:t>4</m:t>
                  </m:r>
                </m:num>
                <m:den>
                  <m:r>
                    <w:rPr>
                      <w:rFonts w:ascii="Cambria Math" w:hAnsi="Cambria Math"/>
                    </w:rPr>
                    <m:t>3</m:t>
                  </m:r>
                </m:den>
              </m:f>
            </m:sup>
          </m:sSup>
          <m:r>
            <w:rPr>
              <w:rFonts w:ascii="Cambria Math" w:hAnsi="Cambria Math"/>
            </w:rPr>
            <m:t xml:space="preserve">⋅t </m:t>
          </m:r>
        </m:oMath>
      </m:oMathPara>
    </w:p>
    <w:p w14:paraId="49A4B6DC" w14:textId="0CE57E31" w:rsidR="00C8521A" w:rsidRDefault="00C8521A" w:rsidP="00C8521A">
      <w:pPr>
        <w:pStyle w:val="BodyText"/>
      </w:pPr>
      <w:r>
        <w:t xml:space="preserve">Where: </w:t>
      </w:r>
      <w:r>
        <w:tab/>
        <w:t>I = thermal radiation flux (kW/m</w:t>
      </w:r>
      <w:r w:rsidRPr="00C8521A">
        <w:rPr>
          <w:vertAlign w:val="superscript"/>
        </w:rPr>
        <w:t>2</w:t>
      </w:r>
      <w:r>
        <w:t>)</w:t>
      </w:r>
    </w:p>
    <w:p w14:paraId="5B26D4B9" w14:textId="3CFB0423" w:rsidR="00C8521A" w:rsidRDefault="00C8521A" w:rsidP="00C8521A">
      <w:r>
        <w:tab/>
      </w:r>
      <w:r>
        <w:tab/>
      </w:r>
      <w:r>
        <w:tab/>
        <w:t>t = exposure duration (seconds)</w:t>
      </w:r>
    </w:p>
    <w:p w14:paraId="47CF8A4A" w14:textId="10A9CC06" w:rsidR="00C8521A" w:rsidRDefault="00C8521A" w:rsidP="00C8521A">
      <w:pPr>
        <w:pStyle w:val="BodyText"/>
        <w:rPr>
          <w:lang w:eastAsia="en-GB"/>
        </w:rPr>
      </w:pPr>
      <w:r>
        <w:rPr>
          <w:lang w:eastAsia="en-GB"/>
        </w:rPr>
        <w:t xml:space="preserve">HSE methodology </w:t>
      </w:r>
      <w:sdt>
        <w:sdtPr>
          <w:rPr>
            <w:lang w:eastAsia="en-GB"/>
          </w:rPr>
          <w:id w:val="1064681995"/>
          <w:citation/>
        </w:sdtPr>
        <w:sdtEndPr/>
        <w:sdtContent>
          <w:r>
            <w:rPr>
              <w:lang w:eastAsia="en-GB"/>
            </w:rPr>
            <w:fldChar w:fldCharType="begin"/>
          </w:r>
          <w:r>
            <w:rPr>
              <w:lang w:eastAsia="en-GB"/>
            </w:rPr>
            <w:instrText xml:space="preserve"> CITATION Bilo_Kinsman_1997b \l 2057 </w:instrText>
          </w:r>
          <w:r>
            <w:rPr>
              <w:lang w:eastAsia="en-GB"/>
            </w:rPr>
            <w:fldChar w:fldCharType="separate"/>
          </w:r>
          <w:r w:rsidR="00142E77">
            <w:rPr>
              <w:noProof/>
              <w:lang w:eastAsia="en-GB"/>
            </w:rPr>
            <w:t>[16]</w:t>
          </w:r>
          <w:r>
            <w:rPr>
              <w:lang w:eastAsia="en-GB"/>
            </w:rPr>
            <w:fldChar w:fldCharType="end"/>
          </w:r>
        </w:sdtContent>
      </w:sdt>
      <w:r>
        <w:rPr>
          <w:lang w:eastAsia="en-GB"/>
        </w:rPr>
        <w:t xml:space="preserve"> calculates the Dangerous Dose effect when calculating the size of land use planning zones, this being the effect which will start to cause fatal injuries to vulnerable members of the population (approximately equivalent to LD01 – lethal to 1% of the population). For their risk assessment they use a thermal dose of 1000 tdu as having “Dangerous Dose” effects for people outdoors.</w:t>
      </w:r>
    </w:p>
    <w:p w14:paraId="04DA8B0F" w14:textId="2E3D0FDC" w:rsidR="00C8521A" w:rsidRDefault="00C8521A" w:rsidP="00C8521A">
      <w:pPr>
        <w:pStyle w:val="BodyText"/>
        <w:rPr>
          <w:lang w:eastAsia="en-GB"/>
        </w:rPr>
      </w:pPr>
      <w:r>
        <w:rPr>
          <w:lang w:eastAsia="en-GB"/>
        </w:rPr>
        <w:t xml:space="preserve">When calculating societal risks, the level of effect on people is usually measured to LD50 – lethal dose for 50% of the exposed population. HSE have derived 1800 tdu as the thermal radiation level equivalent to “Significant Likelihood of Death” (SLOD), and therefore use this as the equivalent LD50 (50% of the population) thermal radiation level. </w:t>
      </w:r>
      <w:r w:rsidR="006625BD">
        <w:rPr>
          <w:lang w:eastAsia="en-GB"/>
        </w:rPr>
        <w:t>Therefore, the HSE methodology applies the LD50 dose criterion as if it is the sharp dividing boundary between 0% and 100% fatal injury</w:t>
      </w:r>
      <w:r w:rsidR="006625BD">
        <w:rPr>
          <w:rStyle w:val="FootnoteReference"/>
          <w:lang w:eastAsia="en-GB"/>
        </w:rPr>
        <w:footnoteReference w:id="3"/>
      </w:r>
      <w:r w:rsidR="006625BD">
        <w:rPr>
          <w:lang w:eastAsia="en-GB"/>
        </w:rPr>
        <w:t>.</w:t>
      </w:r>
    </w:p>
    <w:p w14:paraId="52625AAD" w14:textId="67E1554D" w:rsidR="006625BD" w:rsidRDefault="006625BD" w:rsidP="006625BD">
      <w:pPr>
        <w:pStyle w:val="BodyText"/>
      </w:pPr>
      <w:r>
        <w:lastRenderedPageBreak/>
        <w:t xml:space="preserve">For societal risk analyses, the effect distances are calculated to the 1800 tdu “Significant Likelihood of Death” for calculating the societal risk FN curve to then be compared with societal risk fatality FN criterion lines in PD 8010 Part 3. </w:t>
      </w:r>
    </w:p>
    <w:p w14:paraId="223D752B" w14:textId="191D9C00" w:rsidR="006625BD" w:rsidRDefault="006625BD" w:rsidP="006625BD">
      <w:pPr>
        <w:pStyle w:val="BodyText"/>
      </w:pPr>
      <w:r>
        <w:t xml:space="preserve">Effect distances are calculated for people indoors and outdoors for each of the hazard scenarios. For people inside buildings, it is assumed that 100% fatal effects occur if the building is engulfed in the pool fire. For people in buildings close to the fire, or already outside, it is assumed that they will go outside and try and escape from the high intensity thermal radiation effects of the pool fire. </w:t>
      </w:r>
    </w:p>
    <w:p w14:paraId="059D5FA6" w14:textId="2759676C" w:rsidR="006625BD" w:rsidRDefault="006625BD" w:rsidP="006625BD">
      <w:pPr>
        <w:pStyle w:val="BodyText"/>
      </w:pPr>
      <w:r>
        <w:t>For people who are escaping outdoors from the fire, thermal radiation levels are calculated for an individual escaping at a speed of 2.5 m/s (9 kph) for 30 seconds until finding shelter (i.e. 75 metres away). The incremental thermal radiation is calculated for each metre along the 75 metres run to shelter (30 seconds exposure). For start distances where the cumulative thermal radiation during the 75 metres run exceeds 1800 tdu, fatal effects are assumed to occur. Therefore, the survival distance at which the observer just receives below 1800 tdu can be calculated.</w:t>
      </w:r>
    </w:p>
    <w:p w14:paraId="30612079" w14:textId="04F6ACB5" w:rsidR="006625BD" w:rsidRDefault="006625BD" w:rsidP="006625BD">
      <w:pPr>
        <w:pStyle w:val="BodyText"/>
        <w:rPr>
          <w:lang w:eastAsia="en-GB"/>
        </w:rPr>
      </w:pPr>
      <w:r>
        <w:rPr>
          <w:lang w:eastAsia="en-GB"/>
        </w:rPr>
        <w:t>For vulnerable population, fatal injury effects are assumed to occur at 1000 tdu, and the escape speed is 1 m/s rather than 2.5 m/s.</w:t>
      </w:r>
    </w:p>
    <w:p w14:paraId="006C8E98" w14:textId="77777777" w:rsidR="006625BD" w:rsidRDefault="006625BD" w:rsidP="006625BD">
      <w:pPr>
        <w:pStyle w:val="BodyText"/>
        <w:keepNext/>
        <w:jc w:val="center"/>
      </w:pPr>
      <w:r>
        <w:rPr>
          <w:noProof/>
          <w:lang w:val="en-US" w:eastAsia="zh-CN"/>
        </w:rPr>
        <w:drawing>
          <wp:inline distT="0" distB="0" distL="0" distR="0" wp14:anchorId="65C6369B" wp14:editId="0029BB85">
            <wp:extent cx="4290827" cy="449632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293209" cy="4498822"/>
                    </a:xfrm>
                    <a:prstGeom prst="rect">
                      <a:avLst/>
                    </a:prstGeom>
                  </pic:spPr>
                </pic:pic>
              </a:graphicData>
            </a:graphic>
          </wp:inline>
        </w:drawing>
      </w:r>
    </w:p>
    <w:p w14:paraId="2BE15534" w14:textId="757D6D84" w:rsidR="006625BD" w:rsidRDefault="006625BD" w:rsidP="006625BD">
      <w:pPr>
        <w:pStyle w:val="Caption"/>
      </w:pPr>
      <w:r>
        <w:t xml:space="preserve">Figure </w:t>
      </w:r>
      <w:r w:rsidR="00C51F88">
        <w:rPr>
          <w:noProof/>
        </w:rPr>
        <w:fldChar w:fldCharType="begin"/>
      </w:r>
      <w:r w:rsidR="00C51F88">
        <w:rPr>
          <w:noProof/>
        </w:rPr>
        <w:instrText xml:space="preserve"> STYLEREF 1 \s </w:instrText>
      </w:r>
      <w:r w:rsidR="00C51F88">
        <w:rPr>
          <w:noProof/>
        </w:rPr>
        <w:fldChar w:fldCharType="separate"/>
      </w:r>
      <w:r w:rsidR="009E63B9">
        <w:rPr>
          <w:noProof/>
        </w:rPr>
        <w:t>3</w:t>
      </w:r>
      <w:r w:rsidR="00C51F88">
        <w:rPr>
          <w:noProof/>
        </w:rPr>
        <w:fldChar w:fldCharType="end"/>
      </w:r>
      <w:r w:rsidR="009E63B9">
        <w:t>.</w:t>
      </w:r>
      <w:r w:rsidR="00C51F88">
        <w:rPr>
          <w:noProof/>
        </w:rPr>
        <w:fldChar w:fldCharType="begin"/>
      </w:r>
      <w:r w:rsidR="00C51F88">
        <w:rPr>
          <w:noProof/>
        </w:rPr>
        <w:instrText xml:space="preserve"> SEQ Figure \* ARABIC \s 1 </w:instrText>
      </w:r>
      <w:r w:rsidR="00C51F88">
        <w:rPr>
          <w:noProof/>
        </w:rPr>
        <w:fldChar w:fldCharType="separate"/>
      </w:r>
      <w:r w:rsidR="009E63B9">
        <w:rPr>
          <w:noProof/>
        </w:rPr>
        <w:t>2</w:t>
      </w:r>
      <w:r w:rsidR="00C51F88">
        <w:rPr>
          <w:noProof/>
        </w:rPr>
        <w:fldChar w:fldCharType="end"/>
      </w:r>
      <w:r>
        <w:t>: Summary of Consequence Analysis for Spray &amp; Pool Fires</w:t>
      </w:r>
    </w:p>
    <w:p w14:paraId="7BEA1D2E" w14:textId="43F6BF34" w:rsidR="006625BD" w:rsidRDefault="006625BD" w:rsidP="00864020">
      <w:pPr>
        <w:pStyle w:val="Heading3"/>
      </w:pPr>
      <w:r>
        <w:lastRenderedPageBreak/>
        <w:t>Other Consequences</w:t>
      </w:r>
    </w:p>
    <w:p w14:paraId="294D0A23" w14:textId="5933E414" w:rsidR="00864020" w:rsidRDefault="00864020" w:rsidP="00864020">
      <w:pPr>
        <w:pStyle w:val="BodyText"/>
      </w:pPr>
      <w:r>
        <w:t>Other possible consequences of a gasoline pipeline release include:</w:t>
      </w:r>
    </w:p>
    <w:p w14:paraId="25E8085C" w14:textId="77777777" w:rsidR="00864020" w:rsidRDefault="00864020" w:rsidP="00864020">
      <w:pPr>
        <w:pStyle w:val="BodyText"/>
        <w:numPr>
          <w:ilvl w:val="0"/>
          <w:numId w:val="44"/>
        </w:numPr>
      </w:pPr>
      <w:r>
        <w:t>Flash Fire</w:t>
      </w:r>
    </w:p>
    <w:p w14:paraId="48EA5294" w14:textId="3B84DA14" w:rsidR="00864020" w:rsidRDefault="00BE332E" w:rsidP="00864020">
      <w:pPr>
        <w:pStyle w:val="BodyText"/>
        <w:spacing w:before="0"/>
        <w:ind w:left="1571"/>
      </w:pPr>
      <w:r>
        <w:t>T</w:t>
      </w:r>
      <w:r w:rsidR="00864020">
        <w:t>his occurs when drifting vapour causes a flammable cloud to form downwind of the release point. It then finds a source of ignition and the burning cloud flashes back to the release point. However, for gasoline, the extent of the vapour cloud is likely to be similar to the spray fire scenarios which are already considered above, although under certain low wind conditions, lighter fractions from gasoline could drift some 100s of metres downwind.</w:t>
      </w:r>
    </w:p>
    <w:p w14:paraId="29BFE1A7" w14:textId="35DDE80C" w:rsidR="00864020" w:rsidRDefault="00864020" w:rsidP="00864020">
      <w:pPr>
        <w:pStyle w:val="BodyText"/>
        <w:numPr>
          <w:ilvl w:val="0"/>
          <w:numId w:val="44"/>
        </w:numPr>
      </w:pPr>
      <w:r>
        <w:t>Vapour Cloud Explosion (VCE)</w:t>
      </w:r>
    </w:p>
    <w:p w14:paraId="0FA46B75" w14:textId="3CF1E608" w:rsidR="00864020" w:rsidRPr="00864020" w:rsidRDefault="00864020" w:rsidP="00864020">
      <w:pPr>
        <w:pStyle w:val="BodyText"/>
        <w:spacing w:before="0"/>
        <w:ind w:left="1571"/>
      </w:pPr>
      <w:r>
        <w:t>Under low wind conditions, the drifting cloud of vapour could engulf housing and other obstructed areas in a suburban area. Delayed ignition of the flammable cloud and flame acceleration in the obstructed areas could lead to high explosion overpressures, leading to damage 100s of metres from the release point. However, a detailed hazard analysis by the Health &amp; Safety Laboratory for HSE shows that the risk of this scenario is significantly lower than levels which affect land use planning</w:t>
      </w:r>
      <w:r w:rsidR="009E63B9">
        <w:t xml:space="preserve"> for pipelines</w:t>
      </w:r>
      <w:r>
        <w:t>. Therefore, the vapour cloud explosion scenario is not included in the gasoline pipeline QRA</w:t>
      </w:r>
      <w:r w:rsidR="00BE332E">
        <w:t xml:space="preserve"> methodology</w:t>
      </w:r>
      <w:r w:rsidR="00BE332E">
        <w:rPr>
          <w:rStyle w:val="FootnoteReference"/>
        </w:rPr>
        <w:footnoteReference w:id="4"/>
      </w:r>
      <w:r>
        <w:t>.</w:t>
      </w:r>
    </w:p>
    <w:p w14:paraId="1D7CD1C1" w14:textId="53DCD8FF" w:rsidR="00864020" w:rsidRDefault="00864020" w:rsidP="008E4FFC">
      <w:pPr>
        <w:pStyle w:val="Heading1"/>
      </w:pPr>
      <w:bookmarkStart w:id="17" w:name="_Toc531017332"/>
      <w:r>
        <w:lastRenderedPageBreak/>
        <w:t>Derivation of Proposed LUP Zones</w:t>
      </w:r>
      <w:bookmarkEnd w:id="17"/>
    </w:p>
    <w:p w14:paraId="5A7D9BCE" w14:textId="5FF168B7" w:rsidR="00864020" w:rsidRDefault="00864020" w:rsidP="00864020">
      <w:pPr>
        <w:pStyle w:val="Heading2"/>
      </w:pPr>
      <w:bookmarkStart w:id="18" w:name="_Toc531017333"/>
      <w:r>
        <w:t>Individual Risk</w:t>
      </w:r>
      <w:bookmarkEnd w:id="18"/>
    </w:p>
    <w:p w14:paraId="7E7425F7" w14:textId="2BB813EF" w:rsidR="00864020" w:rsidRDefault="00864020" w:rsidP="00864020">
      <w:pPr>
        <w:widowControl w:val="0"/>
        <w:suppressAutoHyphens w:val="0"/>
        <w:overflowPunct w:val="0"/>
        <w:autoSpaceDE w:val="0"/>
        <w:autoSpaceDN w:val="0"/>
        <w:adjustRightInd w:val="0"/>
        <w:spacing w:before="240" w:after="240" w:line="264" w:lineRule="auto"/>
        <w:ind w:left="850"/>
        <w:rPr>
          <w:rFonts w:ascii="Arial" w:hAnsi="Arial" w:cs="Arial"/>
          <w:kern w:val="28"/>
          <w:lang w:eastAsia="en-GB"/>
        </w:rPr>
      </w:pPr>
      <w:r w:rsidRPr="008D6DCF">
        <w:rPr>
          <w:rFonts w:ascii="Arial" w:hAnsi="Arial" w:cs="Arial"/>
          <w:kern w:val="28"/>
          <w:lang w:eastAsia="en-GB"/>
        </w:rPr>
        <w:t xml:space="preserve">This represents the risk to an individual, located at a specific distance from the pipeline, assumed to be present all the time. It is shown graphically as a cross-section through the pipeline showing the risk at various distances, known as the “Risk Transect”. Individual Risks are </w:t>
      </w:r>
      <w:r>
        <w:rPr>
          <w:rFonts w:ascii="Arial" w:hAnsi="Arial" w:cs="Arial"/>
          <w:kern w:val="28"/>
          <w:lang w:eastAsia="en-GB"/>
        </w:rPr>
        <w:t xml:space="preserve">often </w:t>
      </w:r>
      <w:r w:rsidRPr="008D6DCF">
        <w:rPr>
          <w:rFonts w:ascii="Arial" w:hAnsi="Arial" w:cs="Arial"/>
          <w:kern w:val="28"/>
          <w:lang w:eastAsia="en-GB"/>
        </w:rPr>
        <w:t>presented in terms of risk of fatality per million years (shortened to Chances per Million per Year or cpm).</w:t>
      </w:r>
    </w:p>
    <w:p w14:paraId="71A037A0" w14:textId="5FAF5DFC" w:rsidR="00D51D47" w:rsidRDefault="00D51D47" w:rsidP="00D51D47">
      <w:pPr>
        <w:widowControl w:val="0"/>
        <w:suppressAutoHyphens w:val="0"/>
        <w:overflowPunct w:val="0"/>
        <w:autoSpaceDE w:val="0"/>
        <w:autoSpaceDN w:val="0"/>
        <w:adjustRightInd w:val="0"/>
        <w:spacing w:before="240" w:after="240" w:line="264" w:lineRule="auto"/>
        <w:ind w:left="850"/>
        <w:rPr>
          <w:rFonts w:ascii="Arial" w:hAnsi="Arial" w:cs="Arial"/>
          <w:kern w:val="28"/>
          <w:lang w:eastAsia="en-GB"/>
        </w:rPr>
      </w:pPr>
      <w:r>
        <w:rPr>
          <w:rFonts w:ascii="Arial" w:hAnsi="Arial" w:cs="Arial"/>
          <w:kern w:val="28"/>
          <w:lang w:eastAsia="en-GB"/>
        </w:rPr>
        <w:t xml:space="preserve">HSE have issued a framework for individual risk, in their discussion document “Reducing Risks, Protecting People” </w:t>
      </w:r>
      <w:sdt>
        <w:sdtPr>
          <w:rPr>
            <w:rFonts w:ascii="Arial" w:hAnsi="Arial" w:cs="Arial"/>
            <w:kern w:val="28"/>
            <w:lang w:eastAsia="en-GB"/>
          </w:rPr>
          <w:id w:val="-1179195817"/>
          <w:citation/>
        </w:sdtPr>
        <w:sdtEndPr/>
        <w:sdtContent>
          <w:r>
            <w:rPr>
              <w:rFonts w:ascii="Arial" w:hAnsi="Arial" w:cs="Arial"/>
              <w:kern w:val="28"/>
              <w:lang w:eastAsia="en-GB"/>
            </w:rPr>
            <w:fldChar w:fldCharType="begin"/>
          </w:r>
          <w:r>
            <w:rPr>
              <w:rFonts w:ascii="Arial" w:hAnsi="Arial" w:cs="Arial"/>
              <w:kern w:val="28"/>
              <w:lang w:eastAsia="en-GB"/>
            </w:rPr>
            <w:instrText xml:space="preserve"> CITATION R2P2_2001 \l 2057 </w:instrText>
          </w:r>
          <w:r>
            <w:rPr>
              <w:rFonts w:ascii="Arial" w:hAnsi="Arial" w:cs="Arial"/>
              <w:kern w:val="28"/>
              <w:lang w:eastAsia="en-GB"/>
            </w:rPr>
            <w:fldChar w:fldCharType="separate"/>
          </w:r>
          <w:r w:rsidR="00142E77" w:rsidRPr="00142E77">
            <w:rPr>
              <w:rFonts w:ascii="Arial" w:hAnsi="Arial" w:cs="Arial"/>
              <w:noProof/>
              <w:kern w:val="28"/>
              <w:lang w:eastAsia="en-GB"/>
            </w:rPr>
            <w:t>[17]</w:t>
          </w:r>
          <w:r>
            <w:rPr>
              <w:rFonts w:ascii="Arial" w:hAnsi="Arial" w:cs="Arial"/>
              <w:kern w:val="28"/>
              <w:lang w:eastAsia="en-GB"/>
            </w:rPr>
            <w:fldChar w:fldCharType="end"/>
          </w:r>
        </w:sdtContent>
      </w:sdt>
      <w:r w:rsidR="00EA2436">
        <w:rPr>
          <w:rFonts w:ascii="Arial" w:hAnsi="Arial" w:cs="Arial"/>
          <w:kern w:val="28"/>
          <w:lang w:eastAsia="en-GB"/>
        </w:rPr>
        <w:t xml:space="preserve">, as shown in </w:t>
      </w:r>
      <w:r w:rsidR="00EA2436">
        <w:rPr>
          <w:rFonts w:ascii="Arial" w:hAnsi="Arial" w:cs="Arial"/>
          <w:kern w:val="28"/>
          <w:lang w:eastAsia="en-GB"/>
        </w:rPr>
        <w:fldChar w:fldCharType="begin"/>
      </w:r>
      <w:r w:rsidR="00EA2436">
        <w:rPr>
          <w:rFonts w:ascii="Arial" w:hAnsi="Arial" w:cs="Arial"/>
          <w:kern w:val="28"/>
          <w:lang w:eastAsia="en-GB"/>
        </w:rPr>
        <w:instrText xml:space="preserve"> REF _Ref521507685 \h </w:instrText>
      </w:r>
      <w:r w:rsidR="00EA2436">
        <w:rPr>
          <w:rFonts w:ascii="Arial" w:hAnsi="Arial" w:cs="Arial"/>
          <w:kern w:val="28"/>
          <w:lang w:eastAsia="en-GB"/>
        </w:rPr>
      </w:r>
      <w:r w:rsidR="00EA2436">
        <w:rPr>
          <w:rFonts w:ascii="Arial" w:hAnsi="Arial" w:cs="Arial"/>
          <w:kern w:val="28"/>
          <w:lang w:eastAsia="en-GB"/>
        </w:rPr>
        <w:fldChar w:fldCharType="separate"/>
      </w:r>
      <w:r w:rsidR="00EA2436">
        <w:t xml:space="preserve">Figure </w:t>
      </w:r>
      <w:r w:rsidR="00EA2436">
        <w:rPr>
          <w:noProof/>
        </w:rPr>
        <w:t>4</w:t>
      </w:r>
      <w:r w:rsidR="00EA2436">
        <w:t>.</w:t>
      </w:r>
      <w:r w:rsidR="00EA2436">
        <w:rPr>
          <w:noProof/>
        </w:rPr>
        <w:t>1</w:t>
      </w:r>
      <w:r w:rsidR="00EA2436">
        <w:rPr>
          <w:rFonts w:ascii="Arial" w:hAnsi="Arial" w:cs="Arial"/>
          <w:kern w:val="28"/>
          <w:lang w:eastAsia="en-GB"/>
        </w:rPr>
        <w:fldChar w:fldCharType="end"/>
      </w:r>
      <w:r w:rsidR="00EA2436">
        <w:rPr>
          <w:rFonts w:ascii="Arial" w:hAnsi="Arial" w:cs="Arial"/>
          <w:kern w:val="28"/>
          <w:lang w:eastAsia="en-GB"/>
        </w:rPr>
        <w:t xml:space="preserve"> below.</w:t>
      </w:r>
      <w:r>
        <w:rPr>
          <w:rFonts w:ascii="Arial" w:hAnsi="Arial" w:cs="Arial"/>
          <w:kern w:val="28"/>
          <w:lang w:eastAsia="en-GB"/>
        </w:rPr>
        <w:t xml:space="preserve"> This framework has been used for the demonstration of ALARP (“As Low </w:t>
      </w:r>
      <w:proofErr w:type="gramStart"/>
      <w:r>
        <w:rPr>
          <w:rFonts w:ascii="Arial" w:hAnsi="Arial" w:cs="Arial"/>
          <w:kern w:val="28"/>
          <w:lang w:eastAsia="en-GB"/>
        </w:rPr>
        <w:t>As</w:t>
      </w:r>
      <w:proofErr w:type="gramEnd"/>
      <w:r>
        <w:rPr>
          <w:rFonts w:ascii="Arial" w:hAnsi="Arial" w:cs="Arial"/>
          <w:kern w:val="28"/>
          <w:lang w:eastAsia="en-GB"/>
        </w:rPr>
        <w:t xml:space="preserve"> Reasonably Practicable”) for COMAH registered sites in the UK. </w:t>
      </w:r>
    </w:p>
    <w:p w14:paraId="17CD3190" w14:textId="77777777" w:rsidR="00D51D47" w:rsidRDefault="00D51D47" w:rsidP="00D51D47">
      <w:pPr>
        <w:keepNext/>
        <w:widowControl w:val="0"/>
        <w:suppressAutoHyphens w:val="0"/>
        <w:overflowPunct w:val="0"/>
        <w:autoSpaceDE w:val="0"/>
        <w:autoSpaceDN w:val="0"/>
        <w:adjustRightInd w:val="0"/>
        <w:spacing w:before="240" w:after="240" w:line="264" w:lineRule="auto"/>
        <w:ind w:left="850"/>
        <w:jc w:val="center"/>
      </w:pPr>
      <w:r>
        <w:rPr>
          <w:noProof/>
          <w:lang w:val="en-US" w:eastAsia="zh-CN"/>
        </w:rPr>
        <w:drawing>
          <wp:inline distT="0" distB="0" distL="0" distR="0" wp14:anchorId="097626F4" wp14:editId="14C12081">
            <wp:extent cx="3701743" cy="2669061"/>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E Carrot.JPG"/>
                    <pic:cNvPicPr/>
                  </pic:nvPicPr>
                  <pic:blipFill>
                    <a:blip r:embed="rId22">
                      <a:extLst>
                        <a:ext uri="{28A0092B-C50C-407E-A947-70E740481C1C}">
                          <a14:useLocalDpi xmlns:a14="http://schemas.microsoft.com/office/drawing/2010/main" val="0"/>
                        </a:ext>
                      </a:extLst>
                    </a:blip>
                    <a:stretch>
                      <a:fillRect/>
                    </a:stretch>
                  </pic:blipFill>
                  <pic:spPr>
                    <a:xfrm>
                      <a:off x="0" y="0"/>
                      <a:ext cx="3706979" cy="2672837"/>
                    </a:xfrm>
                    <a:prstGeom prst="rect">
                      <a:avLst/>
                    </a:prstGeom>
                  </pic:spPr>
                </pic:pic>
              </a:graphicData>
            </a:graphic>
          </wp:inline>
        </w:drawing>
      </w:r>
    </w:p>
    <w:p w14:paraId="2A82FB53" w14:textId="48746252" w:rsidR="00D51D47" w:rsidRPr="008D6DCF" w:rsidRDefault="00D51D47" w:rsidP="00D51D47">
      <w:pPr>
        <w:pStyle w:val="Caption"/>
        <w:rPr>
          <w:rFonts w:ascii="Arial" w:hAnsi="Arial" w:cs="Arial"/>
          <w:kern w:val="28"/>
          <w:lang w:eastAsia="en-GB"/>
        </w:rPr>
      </w:pPr>
      <w:bookmarkStart w:id="19" w:name="_Ref521507685"/>
      <w:r>
        <w:t xml:space="preserve">Figure </w:t>
      </w:r>
      <w:r w:rsidR="00C51F88">
        <w:rPr>
          <w:noProof/>
        </w:rPr>
        <w:fldChar w:fldCharType="begin"/>
      </w:r>
      <w:r w:rsidR="00C51F88">
        <w:rPr>
          <w:noProof/>
        </w:rPr>
        <w:instrText xml:space="preserve"> STYLEREF 1 \s </w:instrText>
      </w:r>
      <w:r w:rsidR="00C51F88">
        <w:rPr>
          <w:noProof/>
        </w:rPr>
        <w:fldChar w:fldCharType="separate"/>
      </w:r>
      <w:r w:rsidR="009E63B9">
        <w:rPr>
          <w:noProof/>
        </w:rPr>
        <w:t>4</w:t>
      </w:r>
      <w:r w:rsidR="00C51F88">
        <w:rPr>
          <w:noProof/>
        </w:rPr>
        <w:fldChar w:fldCharType="end"/>
      </w:r>
      <w:r w:rsidR="009E63B9">
        <w:t>.</w:t>
      </w:r>
      <w:r w:rsidR="00C51F88">
        <w:rPr>
          <w:noProof/>
        </w:rPr>
        <w:fldChar w:fldCharType="begin"/>
      </w:r>
      <w:r w:rsidR="00C51F88">
        <w:rPr>
          <w:noProof/>
        </w:rPr>
        <w:instrText xml:space="preserve"> SEQ Figure \* ARABIC \s 1 </w:instrText>
      </w:r>
      <w:r w:rsidR="00C51F88">
        <w:rPr>
          <w:noProof/>
        </w:rPr>
        <w:fldChar w:fldCharType="separate"/>
      </w:r>
      <w:r w:rsidR="009E63B9">
        <w:rPr>
          <w:noProof/>
        </w:rPr>
        <w:t>1</w:t>
      </w:r>
      <w:r w:rsidR="00C51F88">
        <w:rPr>
          <w:noProof/>
        </w:rPr>
        <w:fldChar w:fldCharType="end"/>
      </w:r>
      <w:bookmarkEnd w:id="19"/>
      <w:r>
        <w:t>: HSE Framework for Individual Risk Tolerability</w:t>
      </w:r>
    </w:p>
    <w:p w14:paraId="48E183D8" w14:textId="65FFE9B6" w:rsidR="00864020" w:rsidRDefault="00864020" w:rsidP="00425B98">
      <w:pPr>
        <w:widowControl w:val="0"/>
        <w:suppressAutoHyphens w:val="0"/>
        <w:overflowPunct w:val="0"/>
        <w:autoSpaceDE w:val="0"/>
        <w:autoSpaceDN w:val="0"/>
        <w:adjustRightInd w:val="0"/>
        <w:spacing w:before="240" w:after="240" w:line="264" w:lineRule="auto"/>
        <w:ind w:left="850"/>
        <w:rPr>
          <w:rFonts w:ascii="Arial" w:hAnsi="Arial" w:cs="Arial"/>
          <w:kern w:val="28"/>
          <w:lang w:eastAsia="en-GB"/>
        </w:rPr>
      </w:pPr>
      <w:r w:rsidRPr="008D6DCF">
        <w:rPr>
          <w:rFonts w:ascii="Arial" w:hAnsi="Arial" w:cs="Arial"/>
          <w:kern w:val="28"/>
          <w:lang w:eastAsia="en-GB"/>
        </w:rPr>
        <w:t xml:space="preserve">Individual Risk levels </w:t>
      </w:r>
      <w:r w:rsidR="00425B98">
        <w:rPr>
          <w:rFonts w:ascii="Arial" w:hAnsi="Arial" w:cs="Arial"/>
          <w:kern w:val="28"/>
          <w:lang w:eastAsia="en-GB"/>
        </w:rPr>
        <w:t>were</w:t>
      </w:r>
      <w:r w:rsidRPr="008D6DCF">
        <w:rPr>
          <w:rFonts w:ascii="Arial" w:hAnsi="Arial" w:cs="Arial"/>
          <w:kern w:val="28"/>
          <w:lang w:eastAsia="en-GB"/>
        </w:rPr>
        <w:t xml:space="preserve"> </w:t>
      </w:r>
      <w:r w:rsidR="00D51D47">
        <w:rPr>
          <w:rFonts w:ascii="Arial" w:hAnsi="Arial" w:cs="Arial"/>
          <w:kern w:val="28"/>
          <w:lang w:eastAsia="en-GB"/>
        </w:rPr>
        <w:t xml:space="preserve">also </w:t>
      </w:r>
      <w:r w:rsidRPr="008D6DCF">
        <w:rPr>
          <w:rFonts w:ascii="Arial" w:hAnsi="Arial" w:cs="Arial"/>
          <w:kern w:val="28"/>
          <w:lang w:eastAsia="en-GB"/>
        </w:rPr>
        <w:t xml:space="preserve">set by the </w:t>
      </w:r>
      <w:r w:rsidR="00D51D47">
        <w:rPr>
          <w:rFonts w:ascii="Arial" w:hAnsi="Arial" w:cs="Arial"/>
          <w:kern w:val="28"/>
          <w:lang w:eastAsia="en-GB"/>
        </w:rPr>
        <w:t>HSE</w:t>
      </w:r>
      <w:r w:rsidRPr="008D6DCF">
        <w:rPr>
          <w:rFonts w:ascii="Arial" w:hAnsi="Arial" w:cs="Arial"/>
          <w:kern w:val="28"/>
          <w:lang w:eastAsia="en-GB"/>
        </w:rPr>
        <w:t xml:space="preserve"> </w:t>
      </w:r>
      <w:r w:rsidR="00425B98">
        <w:rPr>
          <w:rFonts w:ascii="Arial" w:hAnsi="Arial" w:cs="Arial"/>
          <w:kern w:val="28"/>
          <w:lang w:eastAsia="en-GB"/>
        </w:rPr>
        <w:t xml:space="preserve">in the late 1980s </w:t>
      </w:r>
      <w:r w:rsidRPr="008D6DCF">
        <w:rPr>
          <w:rFonts w:ascii="Arial" w:hAnsi="Arial" w:cs="Arial"/>
          <w:kern w:val="28"/>
          <w:lang w:eastAsia="en-GB"/>
        </w:rPr>
        <w:t xml:space="preserve">to provide guidance on new developments </w:t>
      </w:r>
      <w:sdt>
        <w:sdtPr>
          <w:rPr>
            <w:rFonts w:ascii="Arial" w:hAnsi="Arial" w:cs="Arial"/>
            <w:kern w:val="28"/>
            <w:lang w:eastAsia="en-GB"/>
          </w:rPr>
          <w:id w:val="354393137"/>
          <w:citation/>
        </w:sdtPr>
        <w:sdtEndPr/>
        <w:sdtContent>
          <w:r w:rsidR="005D4875">
            <w:rPr>
              <w:rFonts w:ascii="Arial" w:hAnsi="Arial" w:cs="Arial"/>
              <w:kern w:val="28"/>
              <w:lang w:eastAsia="en-GB"/>
            </w:rPr>
            <w:fldChar w:fldCharType="begin"/>
          </w:r>
          <w:r w:rsidR="005D4875">
            <w:rPr>
              <w:rFonts w:ascii="Arial" w:hAnsi="Arial" w:cs="Arial"/>
              <w:kern w:val="28"/>
              <w:lang w:eastAsia="en-GB"/>
            </w:rPr>
            <w:instrText xml:space="preserve"> CITATION HSE_LUP \l 2057 </w:instrText>
          </w:r>
          <w:r w:rsidR="005D4875">
            <w:rPr>
              <w:rFonts w:ascii="Arial" w:hAnsi="Arial" w:cs="Arial"/>
              <w:kern w:val="28"/>
              <w:lang w:eastAsia="en-GB"/>
            </w:rPr>
            <w:fldChar w:fldCharType="separate"/>
          </w:r>
          <w:r w:rsidR="00142E77" w:rsidRPr="00142E77">
            <w:rPr>
              <w:rFonts w:ascii="Arial" w:hAnsi="Arial" w:cs="Arial"/>
              <w:noProof/>
              <w:kern w:val="28"/>
              <w:lang w:eastAsia="en-GB"/>
            </w:rPr>
            <w:t>[8]</w:t>
          </w:r>
          <w:r w:rsidR="005D4875">
            <w:rPr>
              <w:rFonts w:ascii="Arial" w:hAnsi="Arial" w:cs="Arial"/>
              <w:kern w:val="28"/>
              <w:lang w:eastAsia="en-GB"/>
            </w:rPr>
            <w:fldChar w:fldCharType="end"/>
          </w:r>
        </w:sdtContent>
      </w:sdt>
      <w:r w:rsidR="005D4875">
        <w:rPr>
          <w:rFonts w:ascii="Arial" w:hAnsi="Arial" w:cs="Arial"/>
          <w:kern w:val="28"/>
          <w:lang w:eastAsia="en-GB"/>
        </w:rPr>
        <w:t xml:space="preserve"> </w:t>
      </w:r>
      <w:r w:rsidRPr="008D6DCF">
        <w:rPr>
          <w:rFonts w:ascii="Arial" w:hAnsi="Arial" w:cs="Arial"/>
          <w:kern w:val="28"/>
          <w:lang w:eastAsia="en-GB"/>
        </w:rPr>
        <w:t xml:space="preserve">near Major Accident Hazard </w:t>
      </w:r>
      <w:r w:rsidR="00425B98">
        <w:rPr>
          <w:rFonts w:ascii="Arial" w:hAnsi="Arial" w:cs="Arial"/>
          <w:kern w:val="28"/>
          <w:lang w:eastAsia="en-GB"/>
        </w:rPr>
        <w:t>P</w:t>
      </w:r>
      <w:r w:rsidRPr="008D6DCF">
        <w:rPr>
          <w:rFonts w:ascii="Arial" w:hAnsi="Arial" w:cs="Arial"/>
          <w:kern w:val="28"/>
          <w:lang w:eastAsia="en-GB"/>
        </w:rPr>
        <w:t>ipelines (MAHPs) as defined by the Pipel</w:t>
      </w:r>
      <w:r>
        <w:rPr>
          <w:rFonts w:ascii="Arial" w:hAnsi="Arial" w:cs="Arial"/>
          <w:kern w:val="28"/>
          <w:lang w:eastAsia="en-GB"/>
        </w:rPr>
        <w:t>ine Safety Regulations (1996)</w:t>
      </w:r>
      <w:sdt>
        <w:sdtPr>
          <w:rPr>
            <w:rFonts w:ascii="Arial" w:hAnsi="Arial" w:cs="Arial"/>
            <w:kern w:val="28"/>
            <w:lang w:eastAsia="en-GB"/>
          </w:rPr>
          <w:id w:val="1005708688"/>
          <w:citation/>
        </w:sdtPr>
        <w:sdtEndPr/>
        <w:sdtContent>
          <w:r>
            <w:rPr>
              <w:rFonts w:ascii="Arial" w:hAnsi="Arial" w:cs="Arial"/>
              <w:kern w:val="28"/>
              <w:lang w:eastAsia="en-GB"/>
            </w:rPr>
            <w:fldChar w:fldCharType="begin"/>
          </w:r>
          <w:r>
            <w:rPr>
              <w:rFonts w:ascii="Arial" w:hAnsi="Arial" w:cs="Arial"/>
              <w:kern w:val="28"/>
              <w:lang w:eastAsia="en-GB"/>
            </w:rPr>
            <w:instrText xml:space="preserve"> CITATION PSR96 \l 2057 </w:instrText>
          </w:r>
          <w:r>
            <w:rPr>
              <w:rFonts w:ascii="Arial" w:hAnsi="Arial" w:cs="Arial"/>
              <w:kern w:val="28"/>
              <w:lang w:eastAsia="en-GB"/>
            </w:rPr>
            <w:fldChar w:fldCharType="separate"/>
          </w:r>
          <w:r w:rsidR="00142E77">
            <w:rPr>
              <w:rFonts w:ascii="Arial" w:hAnsi="Arial" w:cs="Arial"/>
              <w:noProof/>
              <w:kern w:val="28"/>
              <w:lang w:eastAsia="en-GB"/>
            </w:rPr>
            <w:t xml:space="preserve"> </w:t>
          </w:r>
          <w:r w:rsidR="00142E77" w:rsidRPr="00142E77">
            <w:rPr>
              <w:rFonts w:ascii="Arial" w:hAnsi="Arial" w:cs="Arial"/>
              <w:noProof/>
              <w:kern w:val="28"/>
              <w:lang w:eastAsia="en-GB"/>
            </w:rPr>
            <w:t>[1]</w:t>
          </w:r>
          <w:r>
            <w:rPr>
              <w:rFonts w:ascii="Arial" w:hAnsi="Arial" w:cs="Arial"/>
              <w:kern w:val="28"/>
              <w:lang w:eastAsia="en-GB"/>
            </w:rPr>
            <w:fldChar w:fldCharType="end"/>
          </w:r>
        </w:sdtContent>
      </w:sdt>
      <w:r w:rsidR="00425B98">
        <w:rPr>
          <w:rFonts w:ascii="Arial" w:hAnsi="Arial" w:cs="Arial"/>
          <w:kern w:val="28"/>
          <w:lang w:eastAsia="en-GB"/>
        </w:rPr>
        <w:t>, i.e.</w:t>
      </w:r>
      <w:r>
        <w:rPr>
          <w:rFonts w:ascii="Arial" w:hAnsi="Arial" w:cs="Arial"/>
          <w:kern w:val="28"/>
          <w:lang w:eastAsia="en-GB"/>
        </w:rPr>
        <w:t xml:space="preserve"> </w:t>
      </w:r>
      <w:r w:rsidRPr="008D6DCF">
        <w:rPr>
          <w:rFonts w:ascii="Arial" w:hAnsi="Arial" w:cs="Arial"/>
          <w:kern w:val="28"/>
          <w:lang w:eastAsia="en-GB"/>
        </w:rPr>
        <w:t>those pipelines which transport defined dangerous fluids</w:t>
      </w:r>
      <w:r w:rsidR="009D74EC">
        <w:rPr>
          <w:rStyle w:val="FootnoteReference"/>
          <w:rFonts w:ascii="Arial" w:hAnsi="Arial" w:cs="Arial"/>
          <w:kern w:val="28"/>
          <w:lang w:eastAsia="en-GB"/>
        </w:rPr>
        <w:footnoteReference w:id="5"/>
      </w:r>
      <w:r w:rsidRPr="008D6DCF">
        <w:rPr>
          <w:rFonts w:ascii="Arial" w:hAnsi="Arial" w:cs="Arial"/>
          <w:kern w:val="28"/>
          <w:lang w:eastAsia="en-GB"/>
        </w:rPr>
        <w:t xml:space="preserve">. </w:t>
      </w:r>
      <w:r w:rsidR="00425B98">
        <w:rPr>
          <w:rFonts w:ascii="Arial" w:hAnsi="Arial" w:cs="Arial"/>
          <w:kern w:val="28"/>
          <w:lang w:eastAsia="en-GB"/>
        </w:rPr>
        <w:t>These individual risk levels are used to define three zones within an overall land use planning (LUP) consultation distance (CD)</w:t>
      </w:r>
      <w:r w:rsidR="009D74EC">
        <w:rPr>
          <w:rFonts w:ascii="Arial" w:hAnsi="Arial" w:cs="Arial"/>
          <w:kern w:val="28"/>
          <w:lang w:eastAsia="en-GB"/>
        </w:rPr>
        <w:t xml:space="preserve"> and the guidance defines 4 sensitivity levels for developments and the zones that these developments should not be placed in. </w:t>
      </w:r>
    </w:p>
    <w:p w14:paraId="4027CB09" w14:textId="77777777" w:rsidR="00D51D47" w:rsidRDefault="00425B98" w:rsidP="00D51D47">
      <w:pPr>
        <w:keepNext/>
        <w:widowControl w:val="0"/>
        <w:suppressAutoHyphens w:val="0"/>
        <w:overflowPunct w:val="0"/>
        <w:autoSpaceDE w:val="0"/>
        <w:autoSpaceDN w:val="0"/>
        <w:adjustRightInd w:val="0"/>
        <w:spacing w:before="240" w:after="240" w:line="264" w:lineRule="auto"/>
        <w:ind w:left="850"/>
        <w:jc w:val="center"/>
      </w:pPr>
      <w:r>
        <w:rPr>
          <w:noProof/>
          <w:lang w:val="en-US" w:eastAsia="zh-CN"/>
        </w:rPr>
        <w:lastRenderedPageBreak/>
        <w:drawing>
          <wp:inline distT="0" distB="0" distL="0" distR="0" wp14:anchorId="392341C2" wp14:editId="1BD48964">
            <wp:extent cx="3990627" cy="22606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b="3155"/>
                    <a:stretch/>
                  </pic:blipFill>
                  <pic:spPr bwMode="auto">
                    <a:xfrm>
                      <a:off x="0" y="0"/>
                      <a:ext cx="3990627" cy="2260600"/>
                    </a:xfrm>
                    <a:prstGeom prst="rect">
                      <a:avLst/>
                    </a:prstGeom>
                    <a:ln>
                      <a:noFill/>
                    </a:ln>
                    <a:extLst>
                      <a:ext uri="{53640926-AAD7-44D8-BBD7-CCE9431645EC}">
                        <a14:shadowObscured xmlns:a14="http://schemas.microsoft.com/office/drawing/2010/main"/>
                      </a:ext>
                    </a:extLst>
                  </pic:spPr>
                </pic:pic>
              </a:graphicData>
            </a:graphic>
          </wp:inline>
        </w:drawing>
      </w:r>
    </w:p>
    <w:p w14:paraId="26C0EE30" w14:textId="4C13AF8D" w:rsidR="00425B98" w:rsidRPr="008D6DCF" w:rsidRDefault="00D51D47" w:rsidP="00D51D47">
      <w:pPr>
        <w:pStyle w:val="Caption"/>
        <w:rPr>
          <w:rFonts w:ascii="Arial" w:hAnsi="Arial" w:cs="Arial"/>
          <w:kern w:val="28"/>
          <w:lang w:eastAsia="en-GB"/>
        </w:rPr>
      </w:pPr>
      <w:r>
        <w:t xml:space="preserve">Figure </w:t>
      </w:r>
      <w:r w:rsidR="00C51F88">
        <w:rPr>
          <w:noProof/>
        </w:rPr>
        <w:fldChar w:fldCharType="begin"/>
      </w:r>
      <w:r w:rsidR="00C51F88">
        <w:rPr>
          <w:noProof/>
        </w:rPr>
        <w:instrText xml:space="preserve"> STYLEREF 1 \s </w:instrText>
      </w:r>
      <w:r w:rsidR="00C51F88">
        <w:rPr>
          <w:noProof/>
        </w:rPr>
        <w:fldChar w:fldCharType="separate"/>
      </w:r>
      <w:r w:rsidR="009E63B9">
        <w:rPr>
          <w:noProof/>
        </w:rPr>
        <w:t>4</w:t>
      </w:r>
      <w:r w:rsidR="00C51F88">
        <w:rPr>
          <w:noProof/>
        </w:rPr>
        <w:fldChar w:fldCharType="end"/>
      </w:r>
      <w:r w:rsidR="009E63B9">
        <w:t>.</w:t>
      </w:r>
      <w:r w:rsidR="00C51F88">
        <w:rPr>
          <w:noProof/>
        </w:rPr>
        <w:fldChar w:fldCharType="begin"/>
      </w:r>
      <w:r w:rsidR="00C51F88">
        <w:rPr>
          <w:noProof/>
        </w:rPr>
        <w:instrText xml:space="preserve"> SEQ Figure \* ARABIC \s 1 </w:instrText>
      </w:r>
      <w:r w:rsidR="00C51F88">
        <w:rPr>
          <w:noProof/>
        </w:rPr>
        <w:fldChar w:fldCharType="separate"/>
      </w:r>
      <w:r w:rsidR="009E63B9">
        <w:rPr>
          <w:noProof/>
        </w:rPr>
        <w:t>2</w:t>
      </w:r>
      <w:r w:rsidR="00C51F88">
        <w:rPr>
          <w:noProof/>
        </w:rPr>
        <w:fldChar w:fldCharType="end"/>
      </w:r>
      <w:r>
        <w:t>: Land Use Planning Zones for MAH Pipelines</w:t>
      </w:r>
    </w:p>
    <w:tbl>
      <w:tblPr>
        <w:tblStyle w:val="TableGrid"/>
        <w:tblW w:w="6155" w:type="dxa"/>
        <w:jc w:val="left"/>
        <w:tblInd w:w="1838" w:type="dxa"/>
        <w:tblLook w:val="06A0" w:firstRow="1" w:lastRow="0" w:firstColumn="1" w:lastColumn="0" w:noHBand="1" w:noVBand="1"/>
      </w:tblPr>
      <w:tblGrid>
        <w:gridCol w:w="745"/>
        <w:gridCol w:w="2056"/>
        <w:gridCol w:w="3354"/>
      </w:tblGrid>
      <w:tr w:rsidR="00E11DC0" w:rsidRPr="00454AD2" w14:paraId="6082343B" w14:textId="77777777" w:rsidTr="00425B98">
        <w:trPr>
          <w:cnfStyle w:val="100000000000" w:firstRow="1" w:lastRow="0" w:firstColumn="0" w:lastColumn="0" w:oddVBand="0" w:evenVBand="0" w:oddHBand="0" w:evenHBand="0" w:firstRowFirstColumn="0" w:firstRowLastColumn="0" w:lastRowFirstColumn="0" w:lastRowLastColumn="0"/>
          <w:trHeight w:val="745"/>
          <w:jc w:val="left"/>
        </w:trPr>
        <w:tc>
          <w:tcPr>
            <w:cnfStyle w:val="001000000000" w:firstRow="0" w:lastRow="0" w:firstColumn="1" w:lastColumn="0" w:oddVBand="0" w:evenVBand="0" w:oddHBand="0" w:evenHBand="0" w:firstRowFirstColumn="0" w:firstRowLastColumn="0" w:lastRowFirstColumn="0" w:lastRowLastColumn="0"/>
            <w:tcW w:w="745" w:type="dxa"/>
            <w:shd w:val="clear" w:color="auto" w:fill="CAC8C8" w:themeFill="accent2"/>
          </w:tcPr>
          <w:p w14:paraId="2B957C7D" w14:textId="7025147C" w:rsidR="00E11DC0" w:rsidRDefault="00425B98" w:rsidP="00425B98">
            <w:pPr>
              <w:spacing w:before="0" w:after="0"/>
              <w:jc w:val="center"/>
            </w:pPr>
            <w:r>
              <w:t>Zone</w:t>
            </w:r>
          </w:p>
        </w:tc>
        <w:tc>
          <w:tcPr>
            <w:tcW w:w="2056" w:type="dxa"/>
            <w:shd w:val="clear" w:color="auto" w:fill="CAC8C8" w:themeFill="accent2"/>
          </w:tcPr>
          <w:p w14:paraId="3C6E6CF5" w14:textId="18A5CC26" w:rsidR="00E11DC0" w:rsidRPr="00631044" w:rsidRDefault="00E11DC0" w:rsidP="00425B98">
            <w:pPr>
              <w:spacing w:before="0" w:after="0"/>
              <w:jc w:val="center"/>
              <w:cnfStyle w:val="100000000000" w:firstRow="1" w:lastRow="0" w:firstColumn="0" w:lastColumn="0" w:oddVBand="0" w:evenVBand="0" w:oddHBand="0" w:evenHBand="0" w:firstRowFirstColumn="0" w:firstRowLastColumn="0" w:lastRowFirstColumn="0" w:lastRowLastColumn="0"/>
            </w:pPr>
            <w:r>
              <w:t>Individual Risk Level</w:t>
            </w:r>
          </w:p>
        </w:tc>
        <w:tc>
          <w:tcPr>
            <w:tcW w:w="3354" w:type="dxa"/>
            <w:shd w:val="clear" w:color="auto" w:fill="CAC8C8" w:themeFill="accent2"/>
          </w:tcPr>
          <w:p w14:paraId="7356B59D" w14:textId="78CDB784" w:rsidR="00E11DC0" w:rsidRPr="00454AD2" w:rsidRDefault="00E11DC0" w:rsidP="00425B98">
            <w:pPr>
              <w:spacing w:before="0" w:after="0"/>
              <w:jc w:val="center"/>
              <w:cnfStyle w:val="100000000000" w:firstRow="1" w:lastRow="0" w:firstColumn="0" w:lastColumn="0" w:oddVBand="0" w:evenVBand="0" w:oddHBand="0" w:evenHBand="0" w:firstRowFirstColumn="0" w:firstRowLastColumn="0" w:lastRowFirstColumn="0" w:lastRowLastColumn="0"/>
            </w:pPr>
            <w:r>
              <w:t>Land Use Planning Restrictions</w:t>
            </w:r>
          </w:p>
        </w:tc>
      </w:tr>
      <w:tr w:rsidR="00E11DC0" w:rsidRPr="00631044" w14:paraId="3EE89D1C" w14:textId="77777777" w:rsidTr="00425B98">
        <w:trPr>
          <w:trHeight w:val="20"/>
          <w:jc w:val="left"/>
        </w:trPr>
        <w:tc>
          <w:tcPr>
            <w:cnfStyle w:val="001000000000" w:firstRow="0" w:lastRow="0" w:firstColumn="1" w:lastColumn="0" w:oddVBand="0" w:evenVBand="0" w:oddHBand="0" w:evenHBand="0" w:firstRowFirstColumn="0" w:firstRowLastColumn="0" w:lastRowFirstColumn="0" w:lastRowLastColumn="0"/>
            <w:tcW w:w="745" w:type="dxa"/>
          </w:tcPr>
          <w:p w14:paraId="39C6BD67" w14:textId="4488A738" w:rsidR="00E11DC0" w:rsidRPr="002A068A" w:rsidRDefault="00425B98" w:rsidP="002A068A">
            <w:pPr>
              <w:spacing w:before="0" w:after="0"/>
              <w:jc w:val="center"/>
            </w:pPr>
            <w:r>
              <w:t>Inner</w:t>
            </w:r>
          </w:p>
        </w:tc>
        <w:tc>
          <w:tcPr>
            <w:tcW w:w="2056" w:type="dxa"/>
          </w:tcPr>
          <w:p w14:paraId="4A26F3B8" w14:textId="20D5811B" w:rsidR="00E11DC0" w:rsidRPr="002A068A" w:rsidRDefault="00E11DC0" w:rsidP="002A068A">
            <w:pPr>
              <w:spacing w:before="0" w:after="0"/>
              <w:jc w:val="center"/>
              <w:cnfStyle w:val="000000000000" w:firstRow="0" w:lastRow="0" w:firstColumn="0" w:lastColumn="0" w:oddVBand="0" w:evenVBand="0" w:oddHBand="0" w:evenHBand="0" w:firstRowFirstColumn="0" w:firstRowLastColumn="0" w:lastRowFirstColumn="0" w:lastRowLastColumn="0"/>
            </w:pPr>
            <w:r w:rsidRPr="002A068A">
              <w:t>&gt;</w:t>
            </w:r>
            <w:r>
              <w:t xml:space="preserve"> </w:t>
            </w:r>
            <w:r w:rsidRPr="002A068A">
              <w:t>10 cpm</w:t>
            </w:r>
          </w:p>
        </w:tc>
        <w:tc>
          <w:tcPr>
            <w:tcW w:w="3354" w:type="dxa"/>
          </w:tcPr>
          <w:p w14:paraId="5360AD63" w14:textId="375CC3BF" w:rsidR="00E11DC0" w:rsidRPr="00E11DC0" w:rsidRDefault="00E11DC0" w:rsidP="00425B98">
            <w:pPr>
              <w:spacing w:before="0" w:after="0"/>
              <w:jc w:val="center"/>
              <w:cnfStyle w:val="000000000000" w:firstRow="0" w:lastRow="0" w:firstColumn="0" w:lastColumn="0" w:oddVBand="0" w:evenVBand="0" w:oddHBand="0" w:evenHBand="0" w:firstRowFirstColumn="0" w:firstRowLastColumn="0" w:lastRowFirstColumn="0" w:lastRowLastColumn="0"/>
              <w:rPr>
                <w:szCs w:val="18"/>
              </w:rPr>
            </w:pPr>
            <w:r w:rsidRPr="00E11DC0">
              <w:rPr>
                <w:rFonts w:cstheme="minorHAnsi"/>
                <w:szCs w:val="18"/>
              </w:rPr>
              <w:t>Industrial development only, no residential development</w:t>
            </w:r>
          </w:p>
        </w:tc>
      </w:tr>
      <w:tr w:rsidR="00E11DC0" w:rsidRPr="00631044" w14:paraId="232BBE93" w14:textId="77777777" w:rsidTr="00425B98">
        <w:trPr>
          <w:jc w:val="left"/>
        </w:trPr>
        <w:tc>
          <w:tcPr>
            <w:cnfStyle w:val="001000000000" w:firstRow="0" w:lastRow="0" w:firstColumn="1" w:lastColumn="0" w:oddVBand="0" w:evenVBand="0" w:oddHBand="0" w:evenHBand="0" w:firstRowFirstColumn="0" w:firstRowLastColumn="0" w:lastRowFirstColumn="0" w:lastRowLastColumn="0"/>
            <w:tcW w:w="745" w:type="dxa"/>
          </w:tcPr>
          <w:p w14:paraId="4130FADD" w14:textId="131DF91B" w:rsidR="00E11DC0" w:rsidRDefault="00425B98" w:rsidP="00425B98">
            <w:pPr>
              <w:spacing w:before="0" w:after="0"/>
              <w:jc w:val="center"/>
            </w:pPr>
            <w:r>
              <w:t>Middle</w:t>
            </w:r>
          </w:p>
        </w:tc>
        <w:tc>
          <w:tcPr>
            <w:tcW w:w="2056" w:type="dxa"/>
          </w:tcPr>
          <w:p w14:paraId="7CE01575" w14:textId="185CF508" w:rsidR="00E11DC0" w:rsidRPr="00D24585" w:rsidRDefault="00E11DC0" w:rsidP="00425B98">
            <w:pPr>
              <w:spacing w:before="0" w:after="0"/>
              <w:jc w:val="center"/>
              <w:cnfStyle w:val="000000000000" w:firstRow="0" w:lastRow="0" w:firstColumn="0" w:lastColumn="0" w:oddVBand="0" w:evenVBand="0" w:oddHBand="0" w:evenHBand="0" w:firstRowFirstColumn="0" w:firstRowLastColumn="0" w:lastRowFirstColumn="0" w:lastRowLastColumn="0"/>
            </w:pPr>
            <w:r>
              <w:t>&lt; 10 cpm and &gt; 1 cpm</w:t>
            </w:r>
          </w:p>
        </w:tc>
        <w:tc>
          <w:tcPr>
            <w:tcW w:w="3354" w:type="dxa"/>
          </w:tcPr>
          <w:p w14:paraId="3BA424FC" w14:textId="7F346312" w:rsidR="00E11DC0" w:rsidRPr="00631044" w:rsidRDefault="00E11DC0" w:rsidP="002A068A">
            <w:pPr>
              <w:spacing w:before="0" w:after="0"/>
              <w:jc w:val="center"/>
              <w:cnfStyle w:val="000000000000" w:firstRow="0" w:lastRow="0" w:firstColumn="0" w:lastColumn="0" w:oddVBand="0" w:evenVBand="0" w:oddHBand="0" w:evenHBand="0" w:firstRowFirstColumn="0" w:firstRowLastColumn="0" w:lastRowFirstColumn="0" w:lastRowLastColumn="0"/>
            </w:pPr>
            <w:r>
              <w:t>Limited residential population only, no large population</w:t>
            </w:r>
          </w:p>
        </w:tc>
      </w:tr>
      <w:tr w:rsidR="00E11DC0" w:rsidRPr="00631044" w14:paraId="57255FB5" w14:textId="77777777" w:rsidTr="00425B98">
        <w:trPr>
          <w:jc w:val="left"/>
        </w:trPr>
        <w:tc>
          <w:tcPr>
            <w:cnfStyle w:val="001000000000" w:firstRow="0" w:lastRow="0" w:firstColumn="1" w:lastColumn="0" w:oddVBand="0" w:evenVBand="0" w:oddHBand="0" w:evenHBand="0" w:firstRowFirstColumn="0" w:firstRowLastColumn="0" w:lastRowFirstColumn="0" w:lastRowLastColumn="0"/>
            <w:tcW w:w="745" w:type="dxa"/>
          </w:tcPr>
          <w:p w14:paraId="2BAF1E65" w14:textId="14C74642" w:rsidR="00E11DC0" w:rsidRDefault="00425B98" w:rsidP="00425B98">
            <w:pPr>
              <w:spacing w:before="0" w:after="0"/>
              <w:jc w:val="center"/>
            </w:pPr>
            <w:r>
              <w:t>Outer</w:t>
            </w:r>
          </w:p>
        </w:tc>
        <w:tc>
          <w:tcPr>
            <w:tcW w:w="2056" w:type="dxa"/>
          </w:tcPr>
          <w:p w14:paraId="325BF923" w14:textId="0F14CAA7" w:rsidR="00E11DC0" w:rsidRPr="00D24585" w:rsidRDefault="00E11DC0" w:rsidP="00425B98">
            <w:pPr>
              <w:spacing w:before="0" w:after="0"/>
              <w:jc w:val="center"/>
              <w:cnfStyle w:val="000000000000" w:firstRow="0" w:lastRow="0" w:firstColumn="0" w:lastColumn="0" w:oddVBand="0" w:evenVBand="0" w:oddHBand="0" w:evenHBand="0" w:firstRowFirstColumn="0" w:firstRowLastColumn="0" w:lastRowFirstColumn="0" w:lastRowLastColumn="0"/>
            </w:pPr>
            <w:r>
              <w:t>&lt; 1 cpm and &gt; 0.3 cpm</w:t>
            </w:r>
          </w:p>
        </w:tc>
        <w:tc>
          <w:tcPr>
            <w:tcW w:w="3354" w:type="dxa"/>
          </w:tcPr>
          <w:p w14:paraId="0D7185C4" w14:textId="30D52614" w:rsidR="00E11DC0" w:rsidRDefault="00E11DC0" w:rsidP="002A068A">
            <w:pPr>
              <w:spacing w:before="0" w:after="0"/>
              <w:jc w:val="center"/>
              <w:cnfStyle w:val="000000000000" w:firstRow="0" w:lastRow="0" w:firstColumn="0" w:lastColumn="0" w:oddVBand="0" w:evenVBand="0" w:oddHBand="0" w:evenHBand="0" w:firstRowFirstColumn="0" w:firstRowLastColumn="0" w:lastRowFirstColumn="0" w:lastRowLastColumn="0"/>
            </w:pPr>
            <w:r>
              <w:t>Larger residential development, smaller sensitive developments</w:t>
            </w:r>
          </w:p>
        </w:tc>
      </w:tr>
      <w:tr w:rsidR="00E11DC0" w:rsidRPr="00BF5332" w14:paraId="45AD2E38" w14:textId="77777777" w:rsidTr="00425B98">
        <w:trPr>
          <w:jc w:val="left"/>
        </w:trPr>
        <w:tc>
          <w:tcPr>
            <w:cnfStyle w:val="001000000000" w:firstRow="0" w:lastRow="0" w:firstColumn="1" w:lastColumn="0" w:oddVBand="0" w:evenVBand="0" w:oddHBand="0" w:evenHBand="0" w:firstRowFirstColumn="0" w:firstRowLastColumn="0" w:lastRowFirstColumn="0" w:lastRowLastColumn="0"/>
            <w:tcW w:w="745" w:type="dxa"/>
          </w:tcPr>
          <w:p w14:paraId="0EF45FA6" w14:textId="77777777" w:rsidR="00E11DC0" w:rsidRDefault="00E11DC0" w:rsidP="00425B98">
            <w:pPr>
              <w:spacing w:before="0" w:after="0"/>
              <w:jc w:val="center"/>
            </w:pPr>
          </w:p>
        </w:tc>
        <w:tc>
          <w:tcPr>
            <w:tcW w:w="2056" w:type="dxa"/>
          </w:tcPr>
          <w:p w14:paraId="603ADDE0" w14:textId="782DC53B" w:rsidR="00E11DC0" w:rsidRPr="00BF5332" w:rsidRDefault="00E11DC0" w:rsidP="00425B98">
            <w:pPr>
              <w:spacing w:before="0" w:after="0"/>
              <w:jc w:val="center"/>
              <w:cnfStyle w:val="000000000000" w:firstRow="0" w:lastRow="0" w:firstColumn="0" w:lastColumn="0" w:oddVBand="0" w:evenVBand="0" w:oddHBand="0" w:evenHBand="0" w:firstRowFirstColumn="0" w:firstRowLastColumn="0" w:lastRowFirstColumn="0" w:lastRowLastColumn="0"/>
            </w:pPr>
            <w:r>
              <w:t>&lt; 0.3 cpm</w:t>
            </w:r>
          </w:p>
        </w:tc>
        <w:tc>
          <w:tcPr>
            <w:tcW w:w="3354" w:type="dxa"/>
          </w:tcPr>
          <w:p w14:paraId="4D5EB75C" w14:textId="68B19B21" w:rsidR="00E11DC0" w:rsidRPr="00BF5332" w:rsidRDefault="00E11DC0" w:rsidP="00E11DC0">
            <w:pPr>
              <w:spacing w:before="0" w:after="0"/>
              <w:jc w:val="center"/>
              <w:cnfStyle w:val="000000000000" w:firstRow="0" w:lastRow="0" w:firstColumn="0" w:lastColumn="0" w:oddVBand="0" w:evenVBand="0" w:oddHBand="0" w:evenHBand="0" w:firstRowFirstColumn="0" w:firstRowLastColumn="0" w:lastRowFirstColumn="0" w:lastRowLastColumn="0"/>
            </w:pPr>
            <w:r>
              <w:t>No restrictions</w:t>
            </w:r>
          </w:p>
        </w:tc>
      </w:tr>
    </w:tbl>
    <w:p w14:paraId="4B4B2EB0" w14:textId="1049B012" w:rsidR="00864020" w:rsidRDefault="00E11DC0" w:rsidP="00E11DC0">
      <w:pPr>
        <w:pStyle w:val="Caption"/>
      </w:pPr>
      <w:r>
        <w:t xml:space="preserve">Table </w:t>
      </w:r>
      <w:r w:rsidR="00C51F88">
        <w:rPr>
          <w:noProof/>
        </w:rPr>
        <w:fldChar w:fldCharType="begin"/>
      </w:r>
      <w:r w:rsidR="00C51F88">
        <w:rPr>
          <w:noProof/>
        </w:rPr>
        <w:instrText xml:space="preserve"> STYLEREF 1 \s </w:instrText>
      </w:r>
      <w:r w:rsidR="00C51F88">
        <w:rPr>
          <w:noProof/>
        </w:rPr>
        <w:fldChar w:fldCharType="separate"/>
      </w:r>
      <w:r w:rsidR="006E62A3">
        <w:rPr>
          <w:noProof/>
        </w:rPr>
        <w:t>4</w:t>
      </w:r>
      <w:r w:rsidR="00C51F88">
        <w:rPr>
          <w:noProof/>
        </w:rPr>
        <w:fldChar w:fldCharType="end"/>
      </w:r>
      <w:r w:rsidR="006E62A3">
        <w:t>.</w:t>
      </w:r>
      <w:r w:rsidR="00C51F88">
        <w:rPr>
          <w:noProof/>
        </w:rPr>
        <w:fldChar w:fldCharType="begin"/>
      </w:r>
      <w:r w:rsidR="00C51F88">
        <w:rPr>
          <w:noProof/>
        </w:rPr>
        <w:instrText xml:space="preserve"> SEQ Table \* ARABIC \s 1 </w:instrText>
      </w:r>
      <w:r w:rsidR="00C51F88">
        <w:rPr>
          <w:noProof/>
        </w:rPr>
        <w:fldChar w:fldCharType="separate"/>
      </w:r>
      <w:r w:rsidR="006E62A3">
        <w:rPr>
          <w:noProof/>
        </w:rPr>
        <w:t>1</w:t>
      </w:r>
      <w:r w:rsidR="00C51F88">
        <w:rPr>
          <w:noProof/>
        </w:rPr>
        <w:fldChar w:fldCharType="end"/>
      </w:r>
      <w:r>
        <w:t>: Summary of HSE Land Use Planning Advice</w:t>
      </w:r>
    </w:p>
    <w:p w14:paraId="4EBA9F8D" w14:textId="0356695A" w:rsidR="009D74EC" w:rsidRPr="00411D09" w:rsidRDefault="009D74EC" w:rsidP="009D74EC">
      <w:pPr>
        <w:widowControl w:val="0"/>
        <w:suppressAutoHyphens w:val="0"/>
        <w:overflowPunct w:val="0"/>
        <w:autoSpaceDE w:val="0"/>
        <w:autoSpaceDN w:val="0"/>
        <w:adjustRightInd w:val="0"/>
        <w:spacing w:before="240" w:after="240" w:line="264" w:lineRule="auto"/>
        <w:ind w:left="850"/>
        <w:rPr>
          <w:rFonts w:ascii="Arial" w:hAnsi="Arial" w:cs="Arial"/>
          <w:kern w:val="28"/>
          <w:lang w:eastAsia="en-GB"/>
        </w:rPr>
      </w:pPr>
      <w:r w:rsidRPr="00411D09">
        <w:rPr>
          <w:rFonts w:ascii="Arial" w:hAnsi="Arial" w:cs="Arial"/>
          <w:kern w:val="28"/>
          <w:lang w:eastAsia="en-GB"/>
        </w:rPr>
        <w:t xml:space="preserve">Existing Major Accident Hazard Pipelines (MAHPs), such as high pressure natural gas and dense-phase ethylene, do not show risk levels above </w:t>
      </w:r>
      <w:r>
        <w:rPr>
          <w:rFonts w:ascii="Arial" w:hAnsi="Arial" w:cs="Arial"/>
          <w:kern w:val="28"/>
          <w:lang w:eastAsia="en-GB"/>
        </w:rPr>
        <w:t xml:space="preserve">10 cpm or 1 x </w:t>
      </w:r>
      <w:r w:rsidRPr="00411D09">
        <w:rPr>
          <w:rFonts w:ascii="Arial" w:hAnsi="Arial" w:cs="Arial"/>
          <w:kern w:val="28"/>
          <w:lang w:eastAsia="en-GB"/>
        </w:rPr>
        <w:t>10</w:t>
      </w:r>
      <w:r w:rsidRPr="00411D09">
        <w:rPr>
          <w:rFonts w:ascii="Arial" w:hAnsi="Arial" w:cs="Arial"/>
          <w:kern w:val="28"/>
          <w:vertAlign w:val="superscript"/>
          <w:lang w:eastAsia="en-GB"/>
        </w:rPr>
        <w:t>-5</w:t>
      </w:r>
      <w:r w:rsidRPr="00411D09">
        <w:rPr>
          <w:rFonts w:ascii="Arial" w:hAnsi="Arial" w:cs="Arial"/>
          <w:kern w:val="28"/>
          <w:lang w:eastAsia="en-GB"/>
        </w:rPr>
        <w:t xml:space="preserve"> per year, and therefore do not have inner zones set by quantified risk assessment (QRA). In the past, HSE have set inner zones for pipelines by consequence (e.g. fireball radius) or by separation distance specified by the pipeline Code </w:t>
      </w:r>
      <w:r>
        <w:rPr>
          <w:rFonts w:ascii="Arial" w:hAnsi="Arial" w:cs="Arial"/>
          <w:kern w:val="28"/>
          <w:lang w:eastAsia="en-GB"/>
        </w:rPr>
        <w:t>(e.g. Building</w:t>
      </w:r>
      <w:r w:rsidRPr="00411D09">
        <w:rPr>
          <w:rFonts w:ascii="Arial" w:hAnsi="Arial" w:cs="Arial"/>
          <w:kern w:val="28"/>
          <w:lang w:eastAsia="en-GB"/>
        </w:rPr>
        <w:t xml:space="preserve"> Proximity Distance in IGE</w:t>
      </w:r>
      <w:r>
        <w:rPr>
          <w:rFonts w:ascii="Arial" w:hAnsi="Arial" w:cs="Arial"/>
          <w:kern w:val="28"/>
          <w:lang w:eastAsia="en-GB"/>
        </w:rPr>
        <w:t>M</w:t>
      </w:r>
      <w:r w:rsidRPr="00411D09">
        <w:rPr>
          <w:rFonts w:ascii="Arial" w:hAnsi="Arial" w:cs="Arial"/>
          <w:kern w:val="28"/>
          <w:lang w:eastAsia="en-GB"/>
        </w:rPr>
        <w:t>/TD/1</w:t>
      </w:r>
      <w:sdt>
        <w:sdtPr>
          <w:rPr>
            <w:rFonts w:ascii="Arial" w:hAnsi="Arial" w:cs="Arial"/>
            <w:kern w:val="28"/>
            <w:lang w:eastAsia="en-GB"/>
          </w:rPr>
          <w:id w:val="1979101603"/>
          <w:citation/>
        </w:sdtPr>
        <w:sdtEndPr/>
        <w:sdtContent>
          <w:r>
            <w:rPr>
              <w:rFonts w:ascii="Arial" w:hAnsi="Arial" w:cs="Arial"/>
              <w:kern w:val="28"/>
              <w:lang w:eastAsia="en-GB"/>
            </w:rPr>
            <w:fldChar w:fldCharType="begin"/>
          </w:r>
          <w:r>
            <w:rPr>
              <w:rFonts w:ascii="Arial" w:hAnsi="Arial" w:cs="Arial"/>
              <w:kern w:val="28"/>
              <w:lang w:eastAsia="en-GB"/>
            </w:rPr>
            <w:instrText xml:space="preserve"> CITATION TD1_Ed5 \l 2057 </w:instrText>
          </w:r>
          <w:r>
            <w:rPr>
              <w:rFonts w:ascii="Arial" w:hAnsi="Arial" w:cs="Arial"/>
              <w:kern w:val="28"/>
              <w:lang w:eastAsia="en-GB"/>
            </w:rPr>
            <w:fldChar w:fldCharType="separate"/>
          </w:r>
          <w:r w:rsidR="00142E77">
            <w:rPr>
              <w:rFonts w:ascii="Arial" w:hAnsi="Arial" w:cs="Arial"/>
              <w:noProof/>
              <w:kern w:val="28"/>
              <w:lang w:eastAsia="en-GB"/>
            </w:rPr>
            <w:t xml:space="preserve"> </w:t>
          </w:r>
          <w:r w:rsidR="00142E77" w:rsidRPr="00142E77">
            <w:rPr>
              <w:rFonts w:ascii="Arial" w:hAnsi="Arial" w:cs="Arial"/>
              <w:noProof/>
              <w:kern w:val="28"/>
              <w:lang w:eastAsia="en-GB"/>
            </w:rPr>
            <w:t>[7]</w:t>
          </w:r>
          <w:r>
            <w:rPr>
              <w:rFonts w:ascii="Arial" w:hAnsi="Arial" w:cs="Arial"/>
              <w:kern w:val="28"/>
              <w:lang w:eastAsia="en-GB"/>
            </w:rPr>
            <w:fldChar w:fldCharType="end"/>
          </w:r>
        </w:sdtContent>
      </w:sdt>
      <w:r w:rsidRPr="00411D09">
        <w:rPr>
          <w:rFonts w:ascii="Arial" w:hAnsi="Arial" w:cs="Arial"/>
          <w:kern w:val="28"/>
          <w:lang w:eastAsia="en-GB"/>
        </w:rPr>
        <w:t>)</w:t>
      </w:r>
      <w:r>
        <w:rPr>
          <w:rFonts w:ascii="Arial" w:hAnsi="Arial" w:cs="Arial"/>
          <w:kern w:val="28"/>
          <w:lang w:eastAsia="en-GB"/>
        </w:rPr>
        <w:t>.</w:t>
      </w:r>
    </w:p>
    <w:p w14:paraId="12451F4A" w14:textId="44C57F22" w:rsidR="009D74EC" w:rsidRDefault="009D74EC" w:rsidP="009D74EC">
      <w:pPr>
        <w:widowControl w:val="0"/>
        <w:suppressAutoHyphens w:val="0"/>
        <w:overflowPunct w:val="0"/>
        <w:autoSpaceDE w:val="0"/>
        <w:autoSpaceDN w:val="0"/>
        <w:adjustRightInd w:val="0"/>
        <w:spacing w:before="240" w:after="240" w:line="264" w:lineRule="auto"/>
        <w:ind w:left="850"/>
        <w:rPr>
          <w:rFonts w:ascii="Arial" w:hAnsi="Arial" w:cs="Arial"/>
          <w:kern w:val="28"/>
          <w:lang w:eastAsia="en-GB"/>
        </w:rPr>
      </w:pPr>
      <w:r w:rsidRPr="00411D09">
        <w:rPr>
          <w:rFonts w:ascii="Arial" w:hAnsi="Arial" w:cs="Arial"/>
          <w:kern w:val="28"/>
          <w:lang w:eastAsia="en-GB"/>
        </w:rPr>
        <w:t xml:space="preserve">Unlike gas pipelines, the release rate from a typical ruptured liquid pipeline is not related to pressure, but to </w:t>
      </w:r>
      <w:r>
        <w:rPr>
          <w:rFonts w:ascii="Arial" w:hAnsi="Arial" w:cs="Arial"/>
          <w:kern w:val="28"/>
          <w:lang w:eastAsia="en-GB"/>
        </w:rPr>
        <w:t xml:space="preserve">the </w:t>
      </w:r>
      <w:r w:rsidRPr="00411D09">
        <w:rPr>
          <w:rFonts w:ascii="Arial" w:hAnsi="Arial" w:cs="Arial"/>
          <w:kern w:val="28"/>
          <w:lang w:eastAsia="en-GB"/>
        </w:rPr>
        <w:t xml:space="preserve">pumped flowrate through the pipeline. Therefore, the characteristic consequence-based hazard zone for a gasoline pipeline could be considered as the equilibrium pool fire radius, even though such a pool would take minutes to form.  </w:t>
      </w:r>
    </w:p>
    <w:p w14:paraId="00CE11DC" w14:textId="5176FAFE" w:rsidR="009D74EC" w:rsidRDefault="009D74EC" w:rsidP="009D74EC">
      <w:pPr>
        <w:widowControl w:val="0"/>
        <w:suppressAutoHyphens w:val="0"/>
        <w:overflowPunct w:val="0"/>
        <w:autoSpaceDE w:val="0"/>
        <w:autoSpaceDN w:val="0"/>
        <w:adjustRightInd w:val="0"/>
        <w:spacing w:before="240" w:after="240" w:line="264" w:lineRule="auto"/>
        <w:ind w:left="850"/>
        <w:rPr>
          <w:rFonts w:ascii="Arial" w:hAnsi="Arial" w:cs="Arial"/>
          <w:kern w:val="28"/>
          <w:lang w:eastAsia="en-GB"/>
        </w:rPr>
      </w:pPr>
      <w:r>
        <w:rPr>
          <w:rFonts w:ascii="Arial" w:hAnsi="Arial" w:cs="Arial"/>
          <w:kern w:val="28"/>
          <w:lang w:eastAsia="en-GB"/>
        </w:rPr>
        <w:t xml:space="preserve">The equilibrium pool fire is therefore used to define the proposed inner zone for gasoline pipelines assuming no ground soak-in. Results are shown in </w:t>
      </w:r>
      <w:r>
        <w:rPr>
          <w:rFonts w:ascii="Arial" w:hAnsi="Arial" w:cs="Arial"/>
          <w:kern w:val="28"/>
          <w:lang w:eastAsia="en-GB"/>
        </w:rPr>
        <w:fldChar w:fldCharType="begin"/>
      </w:r>
      <w:r>
        <w:rPr>
          <w:rFonts w:ascii="Arial" w:hAnsi="Arial" w:cs="Arial"/>
          <w:kern w:val="28"/>
          <w:lang w:eastAsia="en-GB"/>
        </w:rPr>
        <w:instrText xml:space="preserve"> REF _Ref521508173 \h </w:instrText>
      </w:r>
      <w:r>
        <w:rPr>
          <w:rFonts w:ascii="Arial" w:hAnsi="Arial" w:cs="Arial"/>
          <w:kern w:val="28"/>
          <w:lang w:eastAsia="en-GB"/>
        </w:rPr>
      </w:r>
      <w:r>
        <w:rPr>
          <w:rFonts w:ascii="Arial" w:hAnsi="Arial" w:cs="Arial"/>
          <w:kern w:val="28"/>
          <w:lang w:eastAsia="en-GB"/>
        </w:rPr>
        <w:fldChar w:fldCharType="separate"/>
      </w:r>
      <w:r>
        <w:t xml:space="preserve">Figure </w:t>
      </w:r>
      <w:r>
        <w:rPr>
          <w:noProof/>
        </w:rPr>
        <w:t>4</w:t>
      </w:r>
      <w:r>
        <w:t>.</w:t>
      </w:r>
      <w:r>
        <w:rPr>
          <w:noProof/>
        </w:rPr>
        <w:t>3</w:t>
      </w:r>
      <w:r>
        <w:rPr>
          <w:rFonts w:ascii="Arial" w:hAnsi="Arial" w:cs="Arial"/>
          <w:kern w:val="28"/>
          <w:lang w:eastAsia="en-GB"/>
        </w:rPr>
        <w:fldChar w:fldCharType="end"/>
      </w:r>
      <w:r>
        <w:rPr>
          <w:rFonts w:ascii="Arial" w:hAnsi="Arial" w:cs="Arial"/>
          <w:kern w:val="28"/>
          <w:lang w:eastAsia="en-GB"/>
        </w:rPr>
        <w:t xml:space="preserve"> below.</w:t>
      </w:r>
    </w:p>
    <w:p w14:paraId="3808569A" w14:textId="77777777" w:rsidR="009D74EC" w:rsidRDefault="009D74EC" w:rsidP="009D74EC">
      <w:pPr>
        <w:pStyle w:val="BodyText"/>
        <w:keepNext/>
        <w:jc w:val="center"/>
      </w:pPr>
      <w:r>
        <w:rPr>
          <w:noProof/>
          <w:lang w:val="en-US" w:eastAsia="zh-CN"/>
        </w:rPr>
        <w:lastRenderedPageBreak/>
        <w:drawing>
          <wp:inline distT="0" distB="0" distL="0" distR="0" wp14:anchorId="4C63A719" wp14:editId="260E36A9">
            <wp:extent cx="4010307" cy="1825633"/>
            <wp:effectExtent l="0" t="0" r="952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007613" cy="1824407"/>
                    </a:xfrm>
                    <a:prstGeom prst="rect">
                      <a:avLst/>
                    </a:prstGeom>
                  </pic:spPr>
                </pic:pic>
              </a:graphicData>
            </a:graphic>
          </wp:inline>
        </w:drawing>
      </w:r>
    </w:p>
    <w:p w14:paraId="2F872D13" w14:textId="143FE5EE" w:rsidR="009D74EC" w:rsidRDefault="009D74EC" w:rsidP="009D74EC">
      <w:pPr>
        <w:pStyle w:val="Caption"/>
      </w:pPr>
      <w:bookmarkStart w:id="20" w:name="_Ref521508173"/>
      <w:r>
        <w:t xml:space="preserve">Figure </w:t>
      </w:r>
      <w:r w:rsidR="00C51F88">
        <w:rPr>
          <w:noProof/>
        </w:rPr>
        <w:fldChar w:fldCharType="begin"/>
      </w:r>
      <w:r w:rsidR="00C51F88">
        <w:rPr>
          <w:noProof/>
        </w:rPr>
        <w:instrText xml:space="preserve"> STYLEREF 1 \s </w:instrText>
      </w:r>
      <w:r w:rsidR="00C51F88">
        <w:rPr>
          <w:noProof/>
        </w:rPr>
        <w:fldChar w:fldCharType="separate"/>
      </w:r>
      <w:r w:rsidR="009E63B9">
        <w:rPr>
          <w:noProof/>
        </w:rPr>
        <w:t>4</w:t>
      </w:r>
      <w:r w:rsidR="00C51F88">
        <w:rPr>
          <w:noProof/>
        </w:rPr>
        <w:fldChar w:fldCharType="end"/>
      </w:r>
      <w:r w:rsidR="009E63B9">
        <w:t>.</w:t>
      </w:r>
      <w:r w:rsidR="00C51F88">
        <w:rPr>
          <w:noProof/>
        </w:rPr>
        <w:fldChar w:fldCharType="begin"/>
      </w:r>
      <w:r w:rsidR="00C51F88">
        <w:rPr>
          <w:noProof/>
        </w:rPr>
        <w:instrText xml:space="preserve"> SEQ Figure \* ARABIC \s 1 </w:instrText>
      </w:r>
      <w:r w:rsidR="00C51F88">
        <w:rPr>
          <w:noProof/>
        </w:rPr>
        <w:fldChar w:fldCharType="separate"/>
      </w:r>
      <w:r w:rsidR="009E63B9">
        <w:rPr>
          <w:noProof/>
        </w:rPr>
        <w:t>3</w:t>
      </w:r>
      <w:r w:rsidR="00C51F88">
        <w:rPr>
          <w:noProof/>
        </w:rPr>
        <w:fldChar w:fldCharType="end"/>
      </w:r>
      <w:bookmarkEnd w:id="20"/>
      <w:r>
        <w:t>: Proposed Inner Zones for Gasoline Pipelines</w:t>
      </w:r>
    </w:p>
    <w:p w14:paraId="2D5BAA53" w14:textId="21976F01" w:rsidR="009D74EC" w:rsidRDefault="009D74EC" w:rsidP="009D74EC">
      <w:pPr>
        <w:pStyle w:val="BodyText"/>
      </w:pPr>
      <w:r>
        <w:t>Middle and outer zones are calculated using gasoline pipeline failure rates applied to the consequence analysis for delayed ignition pool fires and spray fires. Results obtained by HSE</w:t>
      </w:r>
      <w:sdt>
        <w:sdtPr>
          <w:id w:val="199449830"/>
          <w:citation/>
        </w:sdtPr>
        <w:sdtEndPr/>
        <w:sdtContent>
          <w:r w:rsidR="00B762A2">
            <w:fldChar w:fldCharType="begin"/>
          </w:r>
          <w:r w:rsidR="00990D54">
            <w:instrText xml:space="preserve">CITATION HSE_CD_228 \l 2057 </w:instrText>
          </w:r>
          <w:r w:rsidR="00B762A2">
            <w:fldChar w:fldCharType="separate"/>
          </w:r>
          <w:r w:rsidR="00142E77">
            <w:rPr>
              <w:noProof/>
            </w:rPr>
            <w:t xml:space="preserve"> [18]</w:t>
          </w:r>
          <w:r w:rsidR="00B762A2">
            <w:fldChar w:fldCharType="end"/>
          </w:r>
        </w:sdtContent>
      </w:sdt>
      <w:r w:rsidR="00B762A2">
        <w:t xml:space="preserve"> </w:t>
      </w:r>
      <w:r>
        <w:t xml:space="preserve">are shown in </w:t>
      </w:r>
      <w:r w:rsidR="006E62A3">
        <w:fldChar w:fldCharType="begin"/>
      </w:r>
      <w:r w:rsidR="006E62A3">
        <w:instrText xml:space="preserve"> REF _Ref521509097 \h </w:instrText>
      </w:r>
      <w:r w:rsidR="006E62A3">
        <w:fldChar w:fldCharType="separate"/>
      </w:r>
      <w:r w:rsidR="006E62A3">
        <w:t xml:space="preserve">Table </w:t>
      </w:r>
      <w:r w:rsidR="006E62A3">
        <w:rPr>
          <w:noProof/>
        </w:rPr>
        <w:t>4</w:t>
      </w:r>
      <w:r w:rsidR="006E62A3">
        <w:t>.</w:t>
      </w:r>
      <w:r w:rsidR="006E62A3">
        <w:rPr>
          <w:noProof/>
        </w:rPr>
        <w:t>2</w:t>
      </w:r>
      <w:r w:rsidR="006E62A3">
        <w:fldChar w:fldCharType="end"/>
      </w:r>
      <w:r w:rsidR="006E62A3">
        <w:t>.</w:t>
      </w:r>
    </w:p>
    <w:p w14:paraId="7467DDED" w14:textId="77777777" w:rsidR="006E62A3" w:rsidRDefault="00B762A2" w:rsidP="006E62A3">
      <w:pPr>
        <w:pStyle w:val="BodyText"/>
        <w:keepNext/>
        <w:jc w:val="center"/>
      </w:pPr>
      <w:r>
        <w:rPr>
          <w:noProof/>
          <w:lang w:val="en-US" w:eastAsia="zh-CN"/>
        </w:rPr>
        <w:drawing>
          <wp:inline distT="0" distB="0" distL="0" distR="0" wp14:anchorId="2A2C0A01" wp14:editId="7ED343A8">
            <wp:extent cx="3841115" cy="1859280"/>
            <wp:effectExtent l="0" t="0" r="698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41115" cy="1859280"/>
                    </a:xfrm>
                    <a:prstGeom prst="rect">
                      <a:avLst/>
                    </a:prstGeom>
                    <a:noFill/>
                  </pic:spPr>
                </pic:pic>
              </a:graphicData>
            </a:graphic>
          </wp:inline>
        </w:drawing>
      </w:r>
    </w:p>
    <w:p w14:paraId="5349EEA0" w14:textId="784A3321" w:rsidR="009D74EC" w:rsidRDefault="006E62A3" w:rsidP="006E62A3">
      <w:pPr>
        <w:pStyle w:val="Caption"/>
      </w:pPr>
      <w:bookmarkStart w:id="21" w:name="_Ref521509097"/>
      <w:r>
        <w:t xml:space="preserve">Table </w:t>
      </w:r>
      <w:r w:rsidR="00C51F88">
        <w:rPr>
          <w:noProof/>
        </w:rPr>
        <w:fldChar w:fldCharType="begin"/>
      </w:r>
      <w:r w:rsidR="00C51F88">
        <w:rPr>
          <w:noProof/>
        </w:rPr>
        <w:instrText xml:space="preserve"> STYLEREF 1 \s </w:instrText>
      </w:r>
      <w:r w:rsidR="00C51F88">
        <w:rPr>
          <w:noProof/>
        </w:rPr>
        <w:fldChar w:fldCharType="separate"/>
      </w:r>
      <w:r>
        <w:rPr>
          <w:noProof/>
        </w:rPr>
        <w:t>4</w:t>
      </w:r>
      <w:r w:rsidR="00C51F88">
        <w:rPr>
          <w:noProof/>
        </w:rPr>
        <w:fldChar w:fldCharType="end"/>
      </w:r>
      <w:r>
        <w:t>.</w:t>
      </w:r>
      <w:r w:rsidR="00C51F88">
        <w:rPr>
          <w:noProof/>
        </w:rPr>
        <w:fldChar w:fldCharType="begin"/>
      </w:r>
      <w:r w:rsidR="00C51F88">
        <w:rPr>
          <w:noProof/>
        </w:rPr>
        <w:instrText xml:space="preserve"> SEQ Table \* ARABIC \s 1 </w:instrText>
      </w:r>
      <w:r w:rsidR="00C51F88">
        <w:rPr>
          <w:noProof/>
        </w:rPr>
        <w:fldChar w:fldCharType="separate"/>
      </w:r>
      <w:r>
        <w:rPr>
          <w:noProof/>
        </w:rPr>
        <w:t>2</w:t>
      </w:r>
      <w:r w:rsidR="00C51F88">
        <w:rPr>
          <w:noProof/>
        </w:rPr>
        <w:fldChar w:fldCharType="end"/>
      </w:r>
      <w:bookmarkEnd w:id="21"/>
      <w:r>
        <w:t>: HSE Calculated LUP Zones for Gasoline Pipelines</w:t>
      </w:r>
    </w:p>
    <w:p w14:paraId="3088A5FD" w14:textId="7A378087" w:rsidR="006E62A3" w:rsidRDefault="006E62A3" w:rsidP="006E62A3">
      <w:pPr>
        <w:pStyle w:val="BodyText"/>
      </w:pPr>
      <w:r w:rsidRPr="006E62A3">
        <w:t>By comparison, the methodology described in this report gives the zones</w:t>
      </w:r>
      <w:r>
        <w:t xml:space="preserve"> shown in </w:t>
      </w:r>
      <w:r>
        <w:fldChar w:fldCharType="begin"/>
      </w:r>
      <w:r>
        <w:instrText xml:space="preserve"> REF _Ref521509207 \h </w:instrText>
      </w:r>
      <w:r>
        <w:fldChar w:fldCharType="separate"/>
      </w:r>
      <w:r>
        <w:t xml:space="preserve">Table </w:t>
      </w:r>
      <w:r>
        <w:rPr>
          <w:noProof/>
        </w:rPr>
        <w:t>4</w:t>
      </w:r>
      <w:r>
        <w:t>.</w:t>
      </w:r>
      <w:r>
        <w:rPr>
          <w:noProof/>
        </w:rPr>
        <w:t>3</w:t>
      </w:r>
      <w:r>
        <w:fldChar w:fldCharType="end"/>
      </w:r>
      <w:r>
        <w:t>.</w:t>
      </w:r>
    </w:p>
    <w:p w14:paraId="7AAFB750" w14:textId="77777777" w:rsidR="006E62A3" w:rsidRDefault="006E62A3" w:rsidP="006E62A3">
      <w:pPr>
        <w:pStyle w:val="BodyText"/>
        <w:keepNext/>
        <w:jc w:val="center"/>
      </w:pPr>
      <w:r>
        <w:rPr>
          <w:noProof/>
          <w:lang w:val="en-US" w:eastAsia="zh-CN"/>
        </w:rPr>
        <w:drawing>
          <wp:inline distT="0" distB="0" distL="0" distR="0" wp14:anchorId="3B19228D" wp14:editId="4E4F42B5">
            <wp:extent cx="5162550" cy="2247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162550" cy="2247900"/>
                    </a:xfrm>
                    <a:prstGeom prst="rect">
                      <a:avLst/>
                    </a:prstGeom>
                  </pic:spPr>
                </pic:pic>
              </a:graphicData>
            </a:graphic>
          </wp:inline>
        </w:drawing>
      </w:r>
    </w:p>
    <w:p w14:paraId="606AEECB" w14:textId="63A06589" w:rsidR="006E62A3" w:rsidRPr="006E62A3" w:rsidRDefault="006E62A3" w:rsidP="006E62A3">
      <w:pPr>
        <w:pStyle w:val="Caption"/>
      </w:pPr>
      <w:bookmarkStart w:id="22" w:name="_Ref521509207"/>
      <w:r>
        <w:t xml:space="preserve">Table </w:t>
      </w:r>
      <w:r w:rsidR="00C51F88">
        <w:rPr>
          <w:noProof/>
        </w:rPr>
        <w:fldChar w:fldCharType="begin"/>
      </w:r>
      <w:r w:rsidR="00C51F88">
        <w:rPr>
          <w:noProof/>
        </w:rPr>
        <w:instrText xml:space="preserve"> STYLEREF 1 \s </w:instrText>
      </w:r>
      <w:r w:rsidR="00C51F88">
        <w:rPr>
          <w:noProof/>
        </w:rPr>
        <w:fldChar w:fldCharType="separate"/>
      </w:r>
      <w:r>
        <w:rPr>
          <w:noProof/>
        </w:rPr>
        <w:t>4</w:t>
      </w:r>
      <w:r w:rsidR="00C51F88">
        <w:rPr>
          <w:noProof/>
        </w:rPr>
        <w:fldChar w:fldCharType="end"/>
      </w:r>
      <w:r>
        <w:t>.</w:t>
      </w:r>
      <w:r w:rsidR="00C51F88">
        <w:rPr>
          <w:noProof/>
        </w:rPr>
        <w:fldChar w:fldCharType="begin"/>
      </w:r>
      <w:r w:rsidR="00C51F88">
        <w:rPr>
          <w:noProof/>
        </w:rPr>
        <w:instrText xml:space="preserve"> SEQ Table \* ARABIC \s 1 </w:instrText>
      </w:r>
      <w:r w:rsidR="00C51F88">
        <w:rPr>
          <w:noProof/>
        </w:rPr>
        <w:fldChar w:fldCharType="separate"/>
      </w:r>
      <w:r>
        <w:rPr>
          <w:noProof/>
        </w:rPr>
        <w:t>3</w:t>
      </w:r>
      <w:r w:rsidR="00C51F88">
        <w:rPr>
          <w:noProof/>
        </w:rPr>
        <w:fldChar w:fldCharType="end"/>
      </w:r>
      <w:bookmarkEnd w:id="22"/>
      <w:r>
        <w:t>: LUP Zones for Gasoline Pipelines using UKOPA Methodology</w:t>
      </w:r>
    </w:p>
    <w:p w14:paraId="12C7DDDA" w14:textId="3A85EFFA" w:rsidR="006E62A3" w:rsidRDefault="006E62A3" w:rsidP="008E4FFC">
      <w:pPr>
        <w:pStyle w:val="Heading1"/>
      </w:pPr>
      <w:bookmarkStart w:id="23" w:name="_Toc531017334"/>
      <w:r>
        <w:lastRenderedPageBreak/>
        <w:t>Application of Societal Risk</w:t>
      </w:r>
      <w:bookmarkEnd w:id="23"/>
    </w:p>
    <w:p w14:paraId="58CCC1FF" w14:textId="77777777" w:rsidR="009E63B9" w:rsidRDefault="006E62A3" w:rsidP="006E62A3">
      <w:pPr>
        <w:pStyle w:val="BodyText"/>
      </w:pPr>
      <w:r>
        <w:t xml:space="preserve">Societal risk is calculated for a specified length of pipeline by superimposing each hazard scenario in turn on the pipeline and adding the number of people within the fatal hazard distance. The location of the hazard scenario is moved incrementally along the length of the pipeline using the failure rate for that increment to obtain the frequency of the number of people affected. </w:t>
      </w:r>
    </w:p>
    <w:p w14:paraId="0C168729" w14:textId="7258EEC4" w:rsidR="009E63B9" w:rsidRDefault="009E63B9" w:rsidP="006E62A3">
      <w:pPr>
        <w:pStyle w:val="BodyText"/>
      </w:pPr>
      <w:r>
        <w:t>For each release point along the pipeline, there are therefore several events each having a different frequency and each with a different hazard distance. Within each hazard distance (assumed to be circular for pool fires, ellipses for spray fires) any population present are assumed to become casualties.</w:t>
      </w:r>
    </w:p>
    <w:p w14:paraId="582FB881" w14:textId="7F877EC0" w:rsidR="006E62A3" w:rsidRDefault="006E62A3" w:rsidP="006E62A3">
      <w:pPr>
        <w:pStyle w:val="BodyText"/>
      </w:pPr>
      <w:r>
        <w:t xml:space="preserve">The total list of frequency and number of fatalities for each increment along the pipeline is then collated and ranked so that the list of cumulative frequency F of N or more fatalities can be obtained. This can then be plotted as the </w:t>
      </w:r>
      <w:proofErr w:type="gramStart"/>
      <w:r>
        <w:t>site specific</w:t>
      </w:r>
      <w:proofErr w:type="gramEnd"/>
      <w:r>
        <w:t xml:space="preserve"> FN curve on a log-log scale.</w:t>
      </w:r>
    </w:p>
    <w:p w14:paraId="39C61623" w14:textId="58468C9C" w:rsidR="006E62A3" w:rsidRDefault="006E62A3" w:rsidP="006E62A3">
      <w:pPr>
        <w:pStyle w:val="BodyText"/>
      </w:pPr>
      <w:r>
        <w:t>The advantage of applying societal risk is that it takes into account both the number of people affected by pipeline failure as well as their location relative to the pipeline route.</w:t>
      </w:r>
    </w:p>
    <w:p w14:paraId="258D2E44" w14:textId="6EB38F7A" w:rsidR="009E63B9" w:rsidRDefault="009E63B9" w:rsidP="009E63B9">
      <w:pPr>
        <w:pStyle w:val="Heading2"/>
      </w:pPr>
      <w:bookmarkStart w:id="24" w:name="_Toc531017335"/>
      <w:r>
        <w:t>PD 8010-3 FN Criterion Line</w:t>
      </w:r>
      <w:bookmarkEnd w:id="24"/>
    </w:p>
    <w:p w14:paraId="799431A1" w14:textId="282CE6F3" w:rsidR="009E63B9" w:rsidRDefault="009E63B9" w:rsidP="009E63B9">
      <w:pPr>
        <w:pStyle w:val="BodyText"/>
      </w:pPr>
      <w:r>
        <w:t xml:space="preserve">The societal risk criterion line published in PD 8010-3, shown in </w:t>
      </w:r>
      <w:r>
        <w:fldChar w:fldCharType="begin"/>
      </w:r>
      <w:r>
        <w:instrText xml:space="preserve"> REF _Ref521509967 \h </w:instrText>
      </w:r>
      <w:r>
        <w:fldChar w:fldCharType="separate"/>
      </w:r>
      <w:r>
        <w:t xml:space="preserve">Figure </w:t>
      </w:r>
      <w:r>
        <w:rPr>
          <w:noProof/>
        </w:rPr>
        <w:t>5</w:t>
      </w:r>
      <w:r>
        <w:t>.</w:t>
      </w:r>
      <w:r>
        <w:rPr>
          <w:noProof/>
        </w:rPr>
        <w:t>1</w:t>
      </w:r>
      <w:r>
        <w:fldChar w:fldCharType="end"/>
      </w:r>
      <w:r>
        <w:t>, provide guidance on an appropriate societal risk tolerability limit in relation to pipelines containing flammable products other than natural gas in the UK. The risk criterion line is for a 1 km length of pipeline</w:t>
      </w:r>
      <w:r>
        <w:rPr>
          <w:rStyle w:val="FootnoteReference"/>
        </w:rPr>
        <w:footnoteReference w:id="6"/>
      </w:r>
      <w:r>
        <w:t>.</w:t>
      </w:r>
    </w:p>
    <w:p w14:paraId="14CBD68B" w14:textId="77777777" w:rsidR="009E63B9" w:rsidRDefault="009E63B9" w:rsidP="009E63B9">
      <w:pPr>
        <w:pStyle w:val="BodyText"/>
        <w:keepNext/>
        <w:jc w:val="center"/>
      </w:pPr>
      <w:r>
        <w:rPr>
          <w:noProof/>
          <w:lang w:val="en-US" w:eastAsia="zh-CN"/>
        </w:rPr>
        <w:drawing>
          <wp:inline distT="0" distB="0" distL="0" distR="0" wp14:anchorId="099507CB" wp14:editId="1F4E500C">
            <wp:extent cx="3846830" cy="2621280"/>
            <wp:effectExtent l="0" t="0" r="127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46830" cy="2621280"/>
                    </a:xfrm>
                    <a:prstGeom prst="rect">
                      <a:avLst/>
                    </a:prstGeom>
                    <a:noFill/>
                  </pic:spPr>
                </pic:pic>
              </a:graphicData>
            </a:graphic>
          </wp:inline>
        </w:drawing>
      </w:r>
    </w:p>
    <w:p w14:paraId="53814ECD" w14:textId="5104E199" w:rsidR="009E63B9" w:rsidRDefault="009E63B9" w:rsidP="009E63B9">
      <w:pPr>
        <w:pStyle w:val="Caption"/>
      </w:pPr>
      <w:bookmarkStart w:id="25" w:name="_Ref521509967"/>
      <w:r>
        <w:t xml:space="preserve">Figure </w:t>
      </w:r>
      <w:r w:rsidR="00C51F88">
        <w:rPr>
          <w:noProof/>
        </w:rPr>
        <w:fldChar w:fldCharType="begin"/>
      </w:r>
      <w:r w:rsidR="00C51F88">
        <w:rPr>
          <w:noProof/>
        </w:rPr>
        <w:instrText xml:space="preserve"> STYLEREF 1 \s </w:instrText>
      </w:r>
      <w:r w:rsidR="00C51F88">
        <w:rPr>
          <w:noProof/>
        </w:rPr>
        <w:fldChar w:fldCharType="separate"/>
      </w:r>
      <w:r>
        <w:rPr>
          <w:noProof/>
        </w:rPr>
        <w:t>5</w:t>
      </w:r>
      <w:r w:rsidR="00C51F88">
        <w:rPr>
          <w:noProof/>
        </w:rPr>
        <w:fldChar w:fldCharType="end"/>
      </w:r>
      <w:r>
        <w:t>.</w:t>
      </w:r>
      <w:r w:rsidR="00C51F88">
        <w:rPr>
          <w:noProof/>
        </w:rPr>
        <w:fldChar w:fldCharType="begin"/>
      </w:r>
      <w:r w:rsidR="00C51F88">
        <w:rPr>
          <w:noProof/>
        </w:rPr>
        <w:instrText xml:space="preserve"> SEQ Figure \* ARABIC \s 1 </w:instrText>
      </w:r>
      <w:r w:rsidR="00C51F88">
        <w:rPr>
          <w:noProof/>
        </w:rPr>
        <w:fldChar w:fldCharType="separate"/>
      </w:r>
      <w:r>
        <w:rPr>
          <w:noProof/>
        </w:rPr>
        <w:t>1</w:t>
      </w:r>
      <w:r w:rsidR="00C51F88">
        <w:rPr>
          <w:noProof/>
        </w:rPr>
        <w:fldChar w:fldCharType="end"/>
      </w:r>
      <w:bookmarkEnd w:id="25"/>
      <w:r>
        <w:t>: PD 8010-3 FN Criterion Line</w:t>
      </w:r>
    </w:p>
    <w:p w14:paraId="505EB7FD" w14:textId="77777777" w:rsidR="00990D54" w:rsidRPr="00990D54" w:rsidRDefault="00990D54" w:rsidP="00990D54">
      <w:pPr>
        <w:pStyle w:val="BodyText"/>
      </w:pPr>
    </w:p>
    <w:bookmarkStart w:id="26" w:name="_Toc531017336" w:displacedByCustomXml="next"/>
    <w:sdt>
      <w:sdtPr>
        <w:rPr>
          <w:rFonts w:asciiTheme="minorHAnsi" w:hAnsiTheme="minorHAnsi"/>
          <w:b w:val="0"/>
          <w:caps w:val="0"/>
          <w:noProof w:val="0"/>
          <w:color w:val="auto"/>
          <w:kern w:val="0"/>
          <w:sz w:val="20"/>
        </w:rPr>
        <w:id w:val="-389815976"/>
        <w:docPartObj>
          <w:docPartGallery w:val="Bibliographies"/>
          <w:docPartUnique/>
        </w:docPartObj>
      </w:sdtPr>
      <w:sdtEndPr/>
      <w:sdtContent>
        <w:p w14:paraId="3AA8441B" w14:textId="7688AD02" w:rsidR="00E863E9" w:rsidRDefault="00E863E9">
          <w:pPr>
            <w:pStyle w:val="Heading1"/>
          </w:pPr>
          <w:r>
            <w:t>References</w:t>
          </w:r>
          <w:bookmarkEnd w:id="26"/>
        </w:p>
        <w:sdt>
          <w:sdtPr>
            <w:id w:val="-573587230"/>
            <w:bibliography/>
          </w:sdtPr>
          <w:sdtEndPr/>
          <w:sdtContent>
            <w:p w14:paraId="4E7BB331" w14:textId="77777777" w:rsidR="00142E77" w:rsidRDefault="00E863E9" w:rsidP="0000086A">
              <w:pPr>
                <w:rPr>
                  <w:rFonts w:ascii="Times New Roman" w:hAnsi="Times New Roman"/>
                  <w:noProof/>
                  <w:lang w:eastAsia="en-GB"/>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8664"/>
              </w:tblGrid>
              <w:tr w:rsidR="00142E77" w14:paraId="13D5BEBB" w14:textId="77777777">
                <w:trPr>
                  <w:divId w:val="1376344423"/>
                  <w:tblCellSpacing w:w="15" w:type="dxa"/>
                </w:trPr>
                <w:tc>
                  <w:tcPr>
                    <w:tcW w:w="50" w:type="pct"/>
                    <w:hideMark/>
                  </w:tcPr>
                  <w:p w14:paraId="727EAE6E" w14:textId="763E48CC" w:rsidR="00142E77" w:rsidRDefault="00142E77">
                    <w:pPr>
                      <w:pStyle w:val="Bibliography"/>
                      <w:rPr>
                        <w:noProof/>
                        <w:sz w:val="24"/>
                        <w:szCs w:val="24"/>
                      </w:rPr>
                    </w:pPr>
                    <w:r>
                      <w:rPr>
                        <w:noProof/>
                      </w:rPr>
                      <w:t xml:space="preserve">[1] </w:t>
                    </w:r>
                  </w:p>
                </w:tc>
                <w:tc>
                  <w:tcPr>
                    <w:tcW w:w="0" w:type="auto"/>
                    <w:hideMark/>
                  </w:tcPr>
                  <w:p w14:paraId="00F6B6F6" w14:textId="77777777" w:rsidR="00142E77" w:rsidRDefault="00142E77">
                    <w:pPr>
                      <w:pStyle w:val="Bibliography"/>
                      <w:rPr>
                        <w:noProof/>
                      </w:rPr>
                    </w:pPr>
                    <w:r>
                      <w:rPr>
                        <w:noProof/>
                      </w:rPr>
                      <w:t xml:space="preserve">SI 1996 No. 825, </w:t>
                    </w:r>
                    <w:r>
                      <w:rPr>
                        <w:i/>
                        <w:iCs/>
                        <w:noProof/>
                      </w:rPr>
                      <w:t xml:space="preserve">The Pipelines Safety Regulations 1996, as amended, </w:t>
                    </w:r>
                    <w:r>
                      <w:rPr>
                        <w:noProof/>
                      </w:rPr>
                      <w:t xml:space="preserve">HMSO. </w:t>
                    </w:r>
                  </w:p>
                </w:tc>
              </w:tr>
              <w:tr w:rsidR="00142E77" w14:paraId="22E60CF5" w14:textId="77777777">
                <w:trPr>
                  <w:divId w:val="1376344423"/>
                  <w:tblCellSpacing w:w="15" w:type="dxa"/>
                </w:trPr>
                <w:tc>
                  <w:tcPr>
                    <w:tcW w:w="50" w:type="pct"/>
                    <w:hideMark/>
                  </w:tcPr>
                  <w:p w14:paraId="0A02CABA" w14:textId="77777777" w:rsidR="00142E77" w:rsidRDefault="00142E77">
                    <w:pPr>
                      <w:pStyle w:val="Bibliography"/>
                      <w:rPr>
                        <w:noProof/>
                      </w:rPr>
                    </w:pPr>
                    <w:r>
                      <w:rPr>
                        <w:noProof/>
                      </w:rPr>
                      <w:t xml:space="preserve">[2] </w:t>
                    </w:r>
                  </w:p>
                </w:tc>
                <w:tc>
                  <w:tcPr>
                    <w:tcW w:w="0" w:type="auto"/>
                    <w:hideMark/>
                  </w:tcPr>
                  <w:p w14:paraId="282808CB" w14:textId="77777777" w:rsidR="00142E77" w:rsidRDefault="00142E77">
                    <w:pPr>
                      <w:pStyle w:val="Bibliography"/>
                      <w:rPr>
                        <w:noProof/>
                      </w:rPr>
                    </w:pPr>
                    <w:r>
                      <w:rPr>
                        <w:noProof/>
                      </w:rPr>
                      <w:t>Contract Research Report 206/1999, “Risks from gasoline pipelines in the United Kingdom,” Prepared by Arthur D Little Limited for the Health and Safety Executive, HMSO, 1999.</w:t>
                    </w:r>
                  </w:p>
                </w:tc>
              </w:tr>
              <w:tr w:rsidR="00142E77" w14:paraId="1698DF44" w14:textId="77777777">
                <w:trPr>
                  <w:divId w:val="1376344423"/>
                  <w:tblCellSpacing w:w="15" w:type="dxa"/>
                </w:trPr>
                <w:tc>
                  <w:tcPr>
                    <w:tcW w:w="50" w:type="pct"/>
                    <w:hideMark/>
                  </w:tcPr>
                  <w:p w14:paraId="6E8BCD7C" w14:textId="77777777" w:rsidR="00142E77" w:rsidRDefault="00142E77">
                    <w:pPr>
                      <w:pStyle w:val="Bibliography"/>
                      <w:rPr>
                        <w:noProof/>
                      </w:rPr>
                    </w:pPr>
                    <w:r>
                      <w:rPr>
                        <w:noProof/>
                      </w:rPr>
                      <w:t xml:space="preserve">[3] </w:t>
                    </w:r>
                  </w:p>
                </w:tc>
                <w:tc>
                  <w:tcPr>
                    <w:tcW w:w="0" w:type="auto"/>
                    <w:hideMark/>
                  </w:tcPr>
                  <w:p w14:paraId="0456F244" w14:textId="77777777" w:rsidR="00142E77" w:rsidRDefault="00142E77">
                    <w:pPr>
                      <w:pStyle w:val="Bibliography"/>
                      <w:rPr>
                        <w:noProof/>
                      </w:rPr>
                    </w:pPr>
                    <w:r>
                      <w:rPr>
                        <w:noProof/>
                      </w:rPr>
                      <w:t>Contract Research Report 210/1999, “Assessing the risk from gasoline pipelines in the United Kingdom based on a review of historical expereience,” Prepared by WS Atkins Safety &amp; Reliability for the Health and Safety Executive, HMSO, 1999.</w:t>
                    </w:r>
                  </w:p>
                </w:tc>
              </w:tr>
              <w:tr w:rsidR="00142E77" w14:paraId="301EA0BC" w14:textId="77777777">
                <w:trPr>
                  <w:divId w:val="1376344423"/>
                  <w:tblCellSpacing w:w="15" w:type="dxa"/>
                </w:trPr>
                <w:tc>
                  <w:tcPr>
                    <w:tcW w:w="50" w:type="pct"/>
                    <w:hideMark/>
                  </w:tcPr>
                  <w:p w14:paraId="01B9EEE7" w14:textId="77777777" w:rsidR="00142E77" w:rsidRDefault="00142E77">
                    <w:pPr>
                      <w:pStyle w:val="Bibliography"/>
                      <w:rPr>
                        <w:noProof/>
                      </w:rPr>
                    </w:pPr>
                    <w:r>
                      <w:rPr>
                        <w:noProof/>
                      </w:rPr>
                      <w:t xml:space="preserve">[4] </w:t>
                    </w:r>
                  </w:p>
                </w:tc>
                <w:tc>
                  <w:tcPr>
                    <w:tcW w:w="0" w:type="auto"/>
                    <w:hideMark/>
                  </w:tcPr>
                  <w:p w14:paraId="550EB410" w14:textId="77777777" w:rsidR="00142E77" w:rsidRDefault="00142E77">
                    <w:pPr>
                      <w:pStyle w:val="Bibliography"/>
                      <w:rPr>
                        <w:noProof/>
                      </w:rPr>
                    </w:pPr>
                    <w:r>
                      <w:rPr>
                        <w:noProof/>
                      </w:rPr>
                      <w:t>Buncefield Major Incident Investigation Board, “The Buncefield Incident 11 December 2005, The final report of the Major Incident Investigation Board, Volume 1,” 2008.</w:t>
                    </w:r>
                  </w:p>
                </w:tc>
              </w:tr>
              <w:tr w:rsidR="00142E77" w14:paraId="2B16AA64" w14:textId="77777777">
                <w:trPr>
                  <w:divId w:val="1376344423"/>
                  <w:tblCellSpacing w:w="15" w:type="dxa"/>
                </w:trPr>
                <w:tc>
                  <w:tcPr>
                    <w:tcW w:w="50" w:type="pct"/>
                    <w:hideMark/>
                  </w:tcPr>
                  <w:p w14:paraId="22090B63" w14:textId="77777777" w:rsidR="00142E77" w:rsidRDefault="00142E77">
                    <w:pPr>
                      <w:pStyle w:val="Bibliography"/>
                      <w:rPr>
                        <w:noProof/>
                      </w:rPr>
                    </w:pPr>
                    <w:r>
                      <w:rPr>
                        <w:noProof/>
                      </w:rPr>
                      <w:t xml:space="preserve">[5] </w:t>
                    </w:r>
                  </w:p>
                </w:tc>
                <w:tc>
                  <w:tcPr>
                    <w:tcW w:w="0" w:type="auto"/>
                    <w:hideMark/>
                  </w:tcPr>
                  <w:p w14:paraId="5006AC8E" w14:textId="77777777" w:rsidR="00142E77" w:rsidRDefault="00142E77">
                    <w:pPr>
                      <w:pStyle w:val="Bibliography"/>
                      <w:rPr>
                        <w:noProof/>
                      </w:rPr>
                    </w:pPr>
                    <w:r>
                      <w:rPr>
                        <w:noProof/>
                      </w:rPr>
                      <w:t xml:space="preserve">IGEM/TD/2 Edition 2, </w:t>
                    </w:r>
                    <w:r>
                      <w:rPr>
                        <w:i/>
                        <w:iCs/>
                        <w:noProof/>
                      </w:rPr>
                      <w:t xml:space="preserve">Assessing the risks from high pressure natural gas pipelines, </w:t>
                    </w:r>
                    <w:r>
                      <w:rPr>
                        <w:noProof/>
                      </w:rPr>
                      <w:t xml:space="preserve">Institution of Gas Engineers &amp; Managers, 2013. </w:t>
                    </w:r>
                  </w:p>
                </w:tc>
              </w:tr>
              <w:tr w:rsidR="00142E77" w14:paraId="7004A9CE" w14:textId="77777777">
                <w:trPr>
                  <w:divId w:val="1376344423"/>
                  <w:tblCellSpacing w:w="15" w:type="dxa"/>
                </w:trPr>
                <w:tc>
                  <w:tcPr>
                    <w:tcW w:w="50" w:type="pct"/>
                    <w:hideMark/>
                  </w:tcPr>
                  <w:p w14:paraId="1F9379E6" w14:textId="77777777" w:rsidR="00142E77" w:rsidRDefault="00142E77">
                    <w:pPr>
                      <w:pStyle w:val="Bibliography"/>
                      <w:rPr>
                        <w:noProof/>
                      </w:rPr>
                    </w:pPr>
                    <w:r>
                      <w:rPr>
                        <w:noProof/>
                      </w:rPr>
                      <w:t xml:space="preserve">[6] </w:t>
                    </w:r>
                  </w:p>
                </w:tc>
                <w:tc>
                  <w:tcPr>
                    <w:tcW w:w="0" w:type="auto"/>
                    <w:hideMark/>
                  </w:tcPr>
                  <w:p w14:paraId="77B82F8A" w14:textId="77777777" w:rsidR="00142E77" w:rsidRDefault="00142E77">
                    <w:pPr>
                      <w:pStyle w:val="Bibliography"/>
                      <w:rPr>
                        <w:noProof/>
                      </w:rPr>
                    </w:pPr>
                    <w:r>
                      <w:rPr>
                        <w:noProof/>
                      </w:rPr>
                      <w:t xml:space="preserve">PD 8010-3:2009+A1:2013, </w:t>
                    </w:r>
                    <w:r>
                      <w:rPr>
                        <w:i/>
                        <w:iCs/>
                        <w:noProof/>
                      </w:rPr>
                      <w:t xml:space="preserve">Pipeline systems. Part 3: Steel pipelines on land and subsea pipelines - Guide to the application of pipeline risk assessement to proposed developments in the vicinity of major accident hazard pipelines containing flammables - Supplement to PD 8010-1:2004, </w:t>
                    </w:r>
                    <w:r>
                      <w:rPr>
                        <w:noProof/>
                      </w:rPr>
                      <w:t xml:space="preserve">British Standards Institution, July 2013. </w:t>
                    </w:r>
                  </w:p>
                </w:tc>
              </w:tr>
              <w:tr w:rsidR="00142E77" w14:paraId="01E11C74" w14:textId="77777777">
                <w:trPr>
                  <w:divId w:val="1376344423"/>
                  <w:tblCellSpacing w:w="15" w:type="dxa"/>
                </w:trPr>
                <w:tc>
                  <w:tcPr>
                    <w:tcW w:w="50" w:type="pct"/>
                    <w:hideMark/>
                  </w:tcPr>
                  <w:p w14:paraId="7DF33A98" w14:textId="77777777" w:rsidR="00142E77" w:rsidRDefault="00142E77">
                    <w:pPr>
                      <w:pStyle w:val="Bibliography"/>
                      <w:rPr>
                        <w:noProof/>
                      </w:rPr>
                    </w:pPr>
                    <w:r>
                      <w:rPr>
                        <w:noProof/>
                      </w:rPr>
                      <w:t xml:space="preserve">[7] </w:t>
                    </w:r>
                  </w:p>
                </w:tc>
                <w:tc>
                  <w:tcPr>
                    <w:tcW w:w="0" w:type="auto"/>
                    <w:hideMark/>
                  </w:tcPr>
                  <w:p w14:paraId="771BD5AC" w14:textId="77777777" w:rsidR="00142E77" w:rsidRDefault="00142E77">
                    <w:pPr>
                      <w:pStyle w:val="Bibliography"/>
                      <w:rPr>
                        <w:noProof/>
                      </w:rPr>
                    </w:pPr>
                    <w:r>
                      <w:rPr>
                        <w:noProof/>
                      </w:rPr>
                      <w:t xml:space="preserve">IGEM/TD/1 Edition 5 with amendments, </w:t>
                    </w:r>
                    <w:r>
                      <w:rPr>
                        <w:i/>
                        <w:iCs/>
                        <w:noProof/>
                      </w:rPr>
                      <w:t xml:space="preserve">Steel pipelines and associated installations for high pressure gas transmission, </w:t>
                    </w:r>
                    <w:r>
                      <w:rPr>
                        <w:noProof/>
                      </w:rPr>
                      <w:t xml:space="preserve">Communication 1789, Institution of Gas Engineers &amp; Managers, July 2016. </w:t>
                    </w:r>
                  </w:p>
                </w:tc>
              </w:tr>
              <w:tr w:rsidR="00142E77" w14:paraId="3C340484" w14:textId="77777777">
                <w:trPr>
                  <w:divId w:val="1376344423"/>
                  <w:tblCellSpacing w:w="15" w:type="dxa"/>
                </w:trPr>
                <w:tc>
                  <w:tcPr>
                    <w:tcW w:w="50" w:type="pct"/>
                    <w:hideMark/>
                  </w:tcPr>
                  <w:p w14:paraId="340D3016" w14:textId="77777777" w:rsidR="00142E77" w:rsidRDefault="00142E77">
                    <w:pPr>
                      <w:pStyle w:val="Bibliography"/>
                      <w:rPr>
                        <w:noProof/>
                      </w:rPr>
                    </w:pPr>
                    <w:r>
                      <w:rPr>
                        <w:noProof/>
                      </w:rPr>
                      <w:t xml:space="preserve">[8] </w:t>
                    </w:r>
                  </w:p>
                </w:tc>
                <w:tc>
                  <w:tcPr>
                    <w:tcW w:w="0" w:type="auto"/>
                    <w:hideMark/>
                  </w:tcPr>
                  <w:p w14:paraId="78FA7A55" w14:textId="77777777" w:rsidR="00142E77" w:rsidRDefault="00142E77">
                    <w:pPr>
                      <w:pStyle w:val="Bibliography"/>
                      <w:rPr>
                        <w:noProof/>
                      </w:rPr>
                    </w:pPr>
                    <w:r>
                      <w:rPr>
                        <w:noProof/>
                      </w:rPr>
                      <w:t>Health and Safety Executive, “HSE’S LAND USE PLANNING METHODOLOGY,” [Online]. Available: http://www.hse.gov.uk/landuseplanning/methodology.pdf. [Accessed 15 12 2017].</w:t>
                    </w:r>
                  </w:p>
                </w:tc>
              </w:tr>
              <w:tr w:rsidR="00142E77" w14:paraId="24CD9634" w14:textId="77777777">
                <w:trPr>
                  <w:divId w:val="1376344423"/>
                  <w:tblCellSpacing w:w="15" w:type="dxa"/>
                </w:trPr>
                <w:tc>
                  <w:tcPr>
                    <w:tcW w:w="50" w:type="pct"/>
                    <w:hideMark/>
                  </w:tcPr>
                  <w:p w14:paraId="329E1CB0" w14:textId="77777777" w:rsidR="00142E77" w:rsidRDefault="00142E77">
                    <w:pPr>
                      <w:pStyle w:val="Bibliography"/>
                      <w:rPr>
                        <w:noProof/>
                      </w:rPr>
                    </w:pPr>
                    <w:r>
                      <w:rPr>
                        <w:noProof/>
                      </w:rPr>
                      <w:t xml:space="preserve">[9] </w:t>
                    </w:r>
                  </w:p>
                </w:tc>
                <w:tc>
                  <w:tcPr>
                    <w:tcW w:w="0" w:type="auto"/>
                    <w:hideMark/>
                  </w:tcPr>
                  <w:p w14:paraId="76BF5284" w14:textId="77777777" w:rsidR="00142E77" w:rsidRDefault="00142E77">
                    <w:pPr>
                      <w:pStyle w:val="Bibliography"/>
                      <w:rPr>
                        <w:noProof/>
                      </w:rPr>
                    </w:pPr>
                    <w:r>
                      <w:rPr>
                        <w:noProof/>
                      </w:rPr>
                      <w:t xml:space="preserve">PD 8010-1:2015, </w:t>
                    </w:r>
                    <w:r>
                      <w:rPr>
                        <w:i/>
                        <w:iCs/>
                        <w:noProof/>
                      </w:rPr>
                      <w:t xml:space="preserve">Pipeline systems - Part 1: Steel Pipelines on land - Code of practice, </w:t>
                    </w:r>
                    <w:r>
                      <w:rPr>
                        <w:noProof/>
                      </w:rPr>
                      <w:t xml:space="preserve">British Standards Institution, March 2015. </w:t>
                    </w:r>
                  </w:p>
                </w:tc>
              </w:tr>
              <w:tr w:rsidR="00142E77" w14:paraId="1FB7AB39" w14:textId="77777777">
                <w:trPr>
                  <w:divId w:val="1376344423"/>
                  <w:tblCellSpacing w:w="15" w:type="dxa"/>
                </w:trPr>
                <w:tc>
                  <w:tcPr>
                    <w:tcW w:w="50" w:type="pct"/>
                    <w:hideMark/>
                  </w:tcPr>
                  <w:p w14:paraId="7E08134A" w14:textId="77777777" w:rsidR="00142E77" w:rsidRDefault="00142E77">
                    <w:pPr>
                      <w:pStyle w:val="Bibliography"/>
                      <w:rPr>
                        <w:noProof/>
                      </w:rPr>
                    </w:pPr>
                    <w:r>
                      <w:rPr>
                        <w:noProof/>
                      </w:rPr>
                      <w:t xml:space="preserve">[10] </w:t>
                    </w:r>
                  </w:p>
                </w:tc>
                <w:tc>
                  <w:tcPr>
                    <w:tcW w:w="0" w:type="auto"/>
                    <w:hideMark/>
                  </w:tcPr>
                  <w:p w14:paraId="16D90C40" w14:textId="77777777" w:rsidR="00142E77" w:rsidRDefault="00142E77">
                    <w:pPr>
                      <w:pStyle w:val="Bibliography"/>
                      <w:rPr>
                        <w:noProof/>
                      </w:rPr>
                    </w:pPr>
                    <w:r>
                      <w:rPr>
                        <w:noProof/>
                      </w:rPr>
                      <w:t>CONCAWE, “Performance of European cross-country oil pipelines. Statistical summary of reported spillages in 2010 and since 1971,” Brussels, report no. 8/11, December 2011.</w:t>
                    </w:r>
                  </w:p>
                </w:tc>
              </w:tr>
              <w:tr w:rsidR="00142E77" w14:paraId="58359966" w14:textId="77777777">
                <w:trPr>
                  <w:divId w:val="1376344423"/>
                  <w:tblCellSpacing w:w="15" w:type="dxa"/>
                </w:trPr>
                <w:tc>
                  <w:tcPr>
                    <w:tcW w:w="50" w:type="pct"/>
                    <w:hideMark/>
                  </w:tcPr>
                  <w:p w14:paraId="6430777B" w14:textId="77777777" w:rsidR="00142E77" w:rsidRDefault="00142E77">
                    <w:pPr>
                      <w:pStyle w:val="Bibliography"/>
                      <w:rPr>
                        <w:noProof/>
                      </w:rPr>
                    </w:pPr>
                    <w:r>
                      <w:rPr>
                        <w:noProof/>
                      </w:rPr>
                      <w:t xml:space="preserve">[11] </w:t>
                    </w:r>
                  </w:p>
                </w:tc>
                <w:tc>
                  <w:tcPr>
                    <w:tcW w:w="0" w:type="auto"/>
                    <w:hideMark/>
                  </w:tcPr>
                  <w:p w14:paraId="3264985B" w14:textId="77777777" w:rsidR="00142E77" w:rsidRDefault="00142E77">
                    <w:pPr>
                      <w:pStyle w:val="Bibliography"/>
                      <w:rPr>
                        <w:noProof/>
                      </w:rPr>
                    </w:pPr>
                    <w:r>
                      <w:rPr>
                        <w:noProof/>
                      </w:rPr>
                      <w:t>J. V. Haswell and R. A. McConnell, “UKOPA Pipeline Product Loss Incidents and Faults Report (1962 - 2014),” Ambergate, UKOPA/15/003, Issue 1.1, December 2015.</w:t>
                    </w:r>
                  </w:p>
                </w:tc>
              </w:tr>
              <w:tr w:rsidR="00142E77" w14:paraId="2BB879AE" w14:textId="77777777">
                <w:trPr>
                  <w:divId w:val="1376344423"/>
                  <w:tblCellSpacing w:w="15" w:type="dxa"/>
                </w:trPr>
                <w:tc>
                  <w:tcPr>
                    <w:tcW w:w="50" w:type="pct"/>
                    <w:hideMark/>
                  </w:tcPr>
                  <w:p w14:paraId="1B4ABCB1" w14:textId="77777777" w:rsidR="00142E77" w:rsidRDefault="00142E77">
                    <w:pPr>
                      <w:pStyle w:val="Bibliography"/>
                      <w:rPr>
                        <w:noProof/>
                      </w:rPr>
                    </w:pPr>
                    <w:r>
                      <w:rPr>
                        <w:noProof/>
                      </w:rPr>
                      <w:t xml:space="preserve">[12] </w:t>
                    </w:r>
                  </w:p>
                </w:tc>
                <w:tc>
                  <w:tcPr>
                    <w:tcW w:w="0" w:type="auto"/>
                    <w:hideMark/>
                  </w:tcPr>
                  <w:p w14:paraId="1D359597" w14:textId="77777777" w:rsidR="00142E77" w:rsidRDefault="00142E77">
                    <w:pPr>
                      <w:pStyle w:val="Bibliography"/>
                      <w:rPr>
                        <w:noProof/>
                      </w:rPr>
                    </w:pPr>
                    <w:r>
                      <w:rPr>
                        <w:noProof/>
                      </w:rPr>
                      <w:t>Research Report RR1035, “Update of pipeline failure rates for land use planning assessments,” Prepared by the Health and Safety Laboratory for the Health and Safety Executive 2015, HSE Books, 2015.</w:t>
                    </w:r>
                  </w:p>
                </w:tc>
              </w:tr>
              <w:tr w:rsidR="00142E77" w14:paraId="3CCB1A05" w14:textId="77777777">
                <w:trPr>
                  <w:divId w:val="1376344423"/>
                  <w:tblCellSpacing w:w="15" w:type="dxa"/>
                </w:trPr>
                <w:tc>
                  <w:tcPr>
                    <w:tcW w:w="50" w:type="pct"/>
                    <w:hideMark/>
                  </w:tcPr>
                  <w:p w14:paraId="5F20C80C" w14:textId="77777777" w:rsidR="00142E77" w:rsidRDefault="00142E77">
                    <w:pPr>
                      <w:pStyle w:val="Bibliography"/>
                      <w:rPr>
                        <w:noProof/>
                      </w:rPr>
                    </w:pPr>
                    <w:r>
                      <w:rPr>
                        <w:noProof/>
                      </w:rPr>
                      <w:t xml:space="preserve">[13] </w:t>
                    </w:r>
                  </w:p>
                </w:tc>
                <w:tc>
                  <w:tcPr>
                    <w:tcW w:w="0" w:type="auto"/>
                    <w:hideMark/>
                  </w:tcPr>
                  <w:p w14:paraId="07A76B46" w14:textId="77777777" w:rsidR="00142E77" w:rsidRDefault="00142E77">
                    <w:pPr>
                      <w:pStyle w:val="Bibliography"/>
                      <w:rPr>
                        <w:noProof/>
                      </w:rPr>
                    </w:pPr>
                    <w:r>
                      <w:rPr>
                        <w:noProof/>
                      </w:rPr>
                      <w:t>Committee for the Prevention of Disasters, “Methods for the calculation of Physical Effects. Due to the releases of hazardous materials (liquids and gases),” CPR 14E, The Hague, Third edition, 2005.</w:t>
                    </w:r>
                  </w:p>
                </w:tc>
              </w:tr>
              <w:tr w:rsidR="00142E77" w14:paraId="64081681" w14:textId="77777777">
                <w:trPr>
                  <w:divId w:val="1376344423"/>
                  <w:tblCellSpacing w:w="15" w:type="dxa"/>
                </w:trPr>
                <w:tc>
                  <w:tcPr>
                    <w:tcW w:w="50" w:type="pct"/>
                    <w:hideMark/>
                  </w:tcPr>
                  <w:p w14:paraId="56B2177E" w14:textId="77777777" w:rsidR="00142E77" w:rsidRDefault="00142E77">
                    <w:pPr>
                      <w:pStyle w:val="Bibliography"/>
                      <w:rPr>
                        <w:noProof/>
                      </w:rPr>
                    </w:pPr>
                    <w:r>
                      <w:rPr>
                        <w:noProof/>
                      </w:rPr>
                      <w:t xml:space="preserve">[14] </w:t>
                    </w:r>
                  </w:p>
                </w:tc>
                <w:tc>
                  <w:tcPr>
                    <w:tcW w:w="0" w:type="auto"/>
                    <w:hideMark/>
                  </w:tcPr>
                  <w:p w14:paraId="093C2946" w14:textId="77777777" w:rsidR="00142E77" w:rsidRDefault="00142E77">
                    <w:pPr>
                      <w:pStyle w:val="Bibliography"/>
                      <w:rPr>
                        <w:noProof/>
                      </w:rPr>
                    </w:pPr>
                    <w:r>
                      <w:rPr>
                        <w:noProof/>
                      </w:rPr>
                      <w:t>P. J. Rew and W. G. Hulbert, “Development of Pool Fire Thermal Radiation Model,” HMSO, HSE Contract Research Report No. 96/1996, 1996.</w:t>
                    </w:r>
                  </w:p>
                </w:tc>
              </w:tr>
              <w:tr w:rsidR="00142E77" w14:paraId="240D6AC1" w14:textId="77777777">
                <w:trPr>
                  <w:divId w:val="1376344423"/>
                  <w:tblCellSpacing w:w="15" w:type="dxa"/>
                </w:trPr>
                <w:tc>
                  <w:tcPr>
                    <w:tcW w:w="50" w:type="pct"/>
                    <w:hideMark/>
                  </w:tcPr>
                  <w:p w14:paraId="255435EC" w14:textId="77777777" w:rsidR="00142E77" w:rsidRDefault="00142E77">
                    <w:pPr>
                      <w:pStyle w:val="Bibliography"/>
                      <w:rPr>
                        <w:noProof/>
                      </w:rPr>
                    </w:pPr>
                    <w:r>
                      <w:rPr>
                        <w:noProof/>
                      </w:rPr>
                      <w:t xml:space="preserve">[15] </w:t>
                    </w:r>
                  </w:p>
                </w:tc>
                <w:tc>
                  <w:tcPr>
                    <w:tcW w:w="0" w:type="auto"/>
                    <w:hideMark/>
                  </w:tcPr>
                  <w:p w14:paraId="2AA55728" w14:textId="77777777" w:rsidR="00142E77" w:rsidRDefault="00142E77">
                    <w:pPr>
                      <w:pStyle w:val="Bibliography"/>
                      <w:rPr>
                        <w:noProof/>
                      </w:rPr>
                    </w:pPr>
                    <w:r>
                      <w:rPr>
                        <w:noProof/>
                      </w:rPr>
                      <w:t xml:space="preserve">Mannan, S. eds., Lees' Loss Prevention in the Process Industries, Oxford, UK: Elsevier Butterworth-Heinemann, 3rd Edition, 2005. </w:t>
                    </w:r>
                  </w:p>
                </w:tc>
              </w:tr>
              <w:tr w:rsidR="00142E77" w14:paraId="1C97AD24" w14:textId="77777777">
                <w:trPr>
                  <w:divId w:val="1376344423"/>
                  <w:tblCellSpacing w:w="15" w:type="dxa"/>
                </w:trPr>
                <w:tc>
                  <w:tcPr>
                    <w:tcW w:w="50" w:type="pct"/>
                    <w:hideMark/>
                  </w:tcPr>
                  <w:p w14:paraId="31C5440F" w14:textId="77777777" w:rsidR="00142E77" w:rsidRDefault="00142E77">
                    <w:pPr>
                      <w:pStyle w:val="Bibliography"/>
                      <w:rPr>
                        <w:noProof/>
                      </w:rPr>
                    </w:pPr>
                    <w:r>
                      <w:rPr>
                        <w:noProof/>
                      </w:rPr>
                      <w:t xml:space="preserve">[16] </w:t>
                    </w:r>
                  </w:p>
                </w:tc>
                <w:tc>
                  <w:tcPr>
                    <w:tcW w:w="0" w:type="auto"/>
                    <w:hideMark/>
                  </w:tcPr>
                  <w:p w14:paraId="77D0B409" w14:textId="77777777" w:rsidR="00142E77" w:rsidRDefault="00142E77">
                    <w:pPr>
                      <w:pStyle w:val="Bibliography"/>
                      <w:rPr>
                        <w:noProof/>
                      </w:rPr>
                    </w:pPr>
                    <w:r>
                      <w:rPr>
                        <w:noProof/>
                      </w:rPr>
                      <w:t xml:space="preserve">M. Bilo and P. R. Kinsman, “Thermal Radiation Criteria Used in Pipeline Risk Assessment,” </w:t>
                    </w:r>
                    <w:r>
                      <w:rPr>
                        <w:i/>
                        <w:iCs/>
                        <w:noProof/>
                      </w:rPr>
                      <w:t xml:space="preserve">Pipes &amp; Pipelines International, </w:t>
                    </w:r>
                    <w:r>
                      <w:rPr>
                        <w:noProof/>
                      </w:rPr>
                      <w:t xml:space="preserve">vol. 42, no. 5 (November-December), pp. 17-25, 1997. </w:t>
                    </w:r>
                  </w:p>
                </w:tc>
              </w:tr>
              <w:tr w:rsidR="00142E77" w14:paraId="672F94A7" w14:textId="77777777">
                <w:trPr>
                  <w:divId w:val="1376344423"/>
                  <w:tblCellSpacing w:w="15" w:type="dxa"/>
                </w:trPr>
                <w:tc>
                  <w:tcPr>
                    <w:tcW w:w="50" w:type="pct"/>
                    <w:hideMark/>
                  </w:tcPr>
                  <w:p w14:paraId="01D9F8E7" w14:textId="77777777" w:rsidR="00142E77" w:rsidRDefault="00142E77">
                    <w:pPr>
                      <w:pStyle w:val="Bibliography"/>
                      <w:rPr>
                        <w:noProof/>
                      </w:rPr>
                    </w:pPr>
                    <w:r>
                      <w:rPr>
                        <w:noProof/>
                      </w:rPr>
                      <w:t xml:space="preserve">[17] </w:t>
                    </w:r>
                  </w:p>
                </w:tc>
                <w:tc>
                  <w:tcPr>
                    <w:tcW w:w="0" w:type="auto"/>
                    <w:hideMark/>
                  </w:tcPr>
                  <w:p w14:paraId="222E5996" w14:textId="77777777" w:rsidR="00142E77" w:rsidRDefault="00142E77">
                    <w:pPr>
                      <w:pStyle w:val="Bibliography"/>
                      <w:rPr>
                        <w:noProof/>
                      </w:rPr>
                    </w:pPr>
                    <w:r>
                      <w:rPr>
                        <w:noProof/>
                      </w:rPr>
                      <w:t>Anon, “Reducing risks, protecting people. HSE's decision-making process,” HMSO, London, 2001.</w:t>
                    </w:r>
                  </w:p>
                </w:tc>
              </w:tr>
              <w:tr w:rsidR="00142E77" w14:paraId="539F76BB" w14:textId="77777777">
                <w:trPr>
                  <w:divId w:val="1376344423"/>
                  <w:tblCellSpacing w:w="15" w:type="dxa"/>
                </w:trPr>
                <w:tc>
                  <w:tcPr>
                    <w:tcW w:w="50" w:type="pct"/>
                    <w:hideMark/>
                  </w:tcPr>
                  <w:p w14:paraId="2766AE40" w14:textId="77777777" w:rsidR="00142E77" w:rsidRDefault="00142E77">
                    <w:pPr>
                      <w:pStyle w:val="Bibliography"/>
                      <w:rPr>
                        <w:noProof/>
                      </w:rPr>
                    </w:pPr>
                    <w:r>
                      <w:rPr>
                        <w:noProof/>
                      </w:rPr>
                      <w:t xml:space="preserve">[18] </w:t>
                    </w:r>
                  </w:p>
                </w:tc>
                <w:tc>
                  <w:tcPr>
                    <w:tcW w:w="0" w:type="auto"/>
                    <w:hideMark/>
                  </w:tcPr>
                  <w:p w14:paraId="29379016" w14:textId="77777777" w:rsidR="00142E77" w:rsidRDefault="00142E77">
                    <w:pPr>
                      <w:pStyle w:val="Bibliography"/>
                      <w:rPr>
                        <w:noProof/>
                      </w:rPr>
                    </w:pPr>
                    <w:r>
                      <w:rPr>
                        <w:noProof/>
                      </w:rPr>
                      <w:t xml:space="preserve">Health and Safety Executive, “Analysis of responses to the consultation on proposed amendments to the Pipelines Safety Regulations 1996 and the Health And Safety (Fees) Regulations 7 </w:t>
                    </w:r>
                    <w:r>
                      <w:rPr>
                        <w:noProof/>
                      </w:rPr>
                      <w:lastRenderedPageBreak/>
                      <w:t>December to 1 March 2010,” [Online]. Available: http://www.hse.gov.uk/consult/condocs/cd228-analysis.pdf. [Accessed 8 August 2018].</w:t>
                    </w:r>
                  </w:p>
                </w:tc>
              </w:tr>
            </w:tbl>
            <w:p w14:paraId="279ABC80" w14:textId="77777777" w:rsidR="00142E77" w:rsidRDefault="00142E77">
              <w:pPr>
                <w:divId w:val="1376344423"/>
                <w:rPr>
                  <w:noProof/>
                </w:rPr>
              </w:pPr>
            </w:p>
            <w:p w14:paraId="6C47F87C" w14:textId="4954F63C" w:rsidR="00E863E9" w:rsidRPr="00E863E9" w:rsidRDefault="00E863E9" w:rsidP="0000086A">
              <w:r>
                <w:rPr>
                  <w:b/>
                  <w:bCs/>
                  <w:noProof/>
                </w:rPr>
                <w:fldChar w:fldCharType="end"/>
              </w:r>
            </w:p>
          </w:sdtContent>
        </w:sdt>
      </w:sdtContent>
    </w:sdt>
    <w:sectPr w:rsidR="00E863E9" w:rsidRPr="00E863E9" w:rsidSect="007D70C0">
      <w:footerReference w:type="default" r:id="rId28"/>
      <w:endnotePr>
        <w:numFmt w:val="decimal"/>
      </w:endnotePr>
      <w:pgSz w:w="11909" w:h="16834" w:code="9"/>
      <w:pgMar w:top="1952" w:right="1418" w:bottom="709" w:left="1418" w:header="706" w:footer="706" w:gutter="0"/>
      <w:pgNumType w:start="1"/>
      <w:cols w:space="720"/>
      <w:formProt w:val="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486A4" w14:textId="77777777" w:rsidR="00115168" w:rsidRDefault="00115168" w:rsidP="007D7FDC"/>
  </w:endnote>
  <w:endnote w:type="continuationSeparator" w:id="0">
    <w:p w14:paraId="257557A4" w14:textId="77777777" w:rsidR="00115168" w:rsidRDefault="00115168"/>
  </w:endnote>
  <w:endnote w:type="continuationNotice" w:id="1">
    <w:p w14:paraId="77823696" w14:textId="77777777" w:rsidR="00115168" w:rsidRDefault="00115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Bold">
    <w:altName w:val="Arial"/>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Math">
    <w:panose1 w:val="02040503050406030204"/>
    <w:charset w:val="00"/>
    <w:family w:val="auto"/>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DCB4F" w14:textId="77777777" w:rsidR="0062328D" w:rsidRDefault="006232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74D7E26" w14:textId="77777777" w:rsidR="0062328D" w:rsidRDefault="0062328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2AAE7" w14:textId="77777777" w:rsidR="0062328D" w:rsidRPr="006E4D29" w:rsidRDefault="0062328D" w:rsidP="006E4D29">
    <w:pPr>
      <w:pStyle w:val="Footer"/>
      <w:pBdr>
        <w:top w:val="none" w:sz="0" w:space="0" w:color="auto"/>
      </w:pBdr>
      <w:spacing w:before="120"/>
      <w:jc w:val="center"/>
      <w:rPr>
        <w:sz w:val="20"/>
      </w:rPr>
    </w:pPr>
    <w:r>
      <w:rPr>
        <w:noProof/>
        <w:lang w:val="en-US" w:eastAsia="zh-CN"/>
      </w:rPr>
      <mc:AlternateContent>
        <mc:Choice Requires="wps">
          <w:drawing>
            <wp:anchor distT="0" distB="0" distL="114300" distR="114300" simplePos="0" relativeHeight="251660288" behindDoc="0" locked="0" layoutInCell="1" allowOverlap="1" wp14:anchorId="6C20754C" wp14:editId="3440D707">
              <wp:simplePos x="0" y="0"/>
              <wp:positionH relativeFrom="column">
                <wp:posOffset>-466725</wp:posOffset>
              </wp:positionH>
              <wp:positionV relativeFrom="paragraph">
                <wp:posOffset>224790</wp:posOffset>
              </wp:positionV>
              <wp:extent cx="7568565" cy="61341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7568565" cy="613410"/>
                      </a:xfrm>
                      <a:prstGeom prst="rect">
                        <a:avLst/>
                      </a:prstGeom>
                      <a:solidFill>
                        <a:schemeClr val="accent3">
                          <a:lumMod val="60000"/>
                          <a:lumOff val="4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698C3F" w14:textId="77777777" w:rsidR="0062328D" w:rsidRDefault="0062328D" w:rsidP="006E4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20754C" id="_x0000_t202" coordsize="21600,21600" o:spt="202" path="m,l,21600r21600,l21600,xe">
              <v:stroke joinstyle="miter"/>
              <v:path gradientshapeok="t" o:connecttype="rect"/>
            </v:shapetype>
            <v:shape id="Text Box 5" o:spid="_x0000_s1027" type="#_x0000_t202" style="position:absolute;left:0;text-align:left;margin-left:-36.75pt;margin-top:17.7pt;width:595.95pt;height:48.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" fillcolor="#bebfc1 [1942]" stroked="f">
              <v:textbox>
                <w:txbxContent>
                  <w:p w14:paraId="33698C3F" w14:textId="77777777" w:rsidR="0062328D" w:rsidRDefault="0062328D" w:rsidP="006E4D29"/>
                </w:txbxContent>
              </v:textbox>
              <w10:wrap type="square"/>
            </v:shape>
          </w:pict>
        </mc:Fallback>
      </mc:AlternateContent>
    </w:r>
    <w:r w:rsidRPr="00D93473">
      <w:rPr>
        <w:sz w:val="20"/>
      </w:rPr>
      <w:t>Technical Briefing Notes (TBNs) are for internal use for UKOPA members only</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2D4A3" w14:textId="0E9C8198" w:rsidR="0062328D" w:rsidRPr="008F1518" w:rsidRDefault="0062328D" w:rsidP="000A1A32">
    <w:pPr>
      <w:pStyle w:val="Footer"/>
    </w:pPr>
    <w:r>
      <w:tab/>
    </w:r>
    <w:r>
      <w:tab/>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61EB2" w14:textId="0B0A3EC0" w:rsidR="0062328D" w:rsidRPr="00F44755" w:rsidRDefault="0062328D" w:rsidP="008F1518">
    <w:pPr>
      <w:pStyle w:val="Footer"/>
      <w:rPr>
        <w:color w:val="00243A"/>
      </w:rPr>
    </w:pPr>
    <w:r w:rsidRPr="00F44755">
      <w:rPr>
        <w:color w:val="00243A"/>
      </w:rPr>
      <w:t>Contents</w:t>
    </w:r>
    <w:r w:rsidRPr="00F44755">
      <w:rPr>
        <w:color w:val="00243A"/>
      </w:rPr>
      <w:tab/>
    </w:r>
    <w:r w:rsidRPr="00F44755">
      <w:rPr>
        <w:color w:val="00243A"/>
      </w:rPr>
      <w:tab/>
    </w:r>
    <w:sdt>
      <w:sdtPr>
        <w:rPr>
          <w:color w:val="00243A"/>
        </w:rPr>
        <w:alias w:val="Comments"/>
        <w:tag w:val=""/>
        <w:id w:val="-1942058588"/>
        <w:dataBinding w:prefixMappings="xmlns:ns0='http://purl.org/dc/elements/1.1/' xmlns:ns1='http://schemas.openxmlformats.org/package/2006/metadata/core-properties' " w:xpath="/ns1:coreProperties[1]/ns0:description[1]" w:storeItemID="{6C3C8BC8-F283-45AE-878A-BAB7291924A1}"/>
        <w:text w:multiLine="1"/>
      </w:sdtPr>
      <w:sdtEndPr/>
      <w:sdtContent>
        <w:r w:rsidR="000A1A32">
          <w:rPr>
            <w:color w:val="00243A"/>
            <w:lang w:val="en-US"/>
          </w:rPr>
          <w:t>UKOPA/TBN/006 Edition 1</w:t>
        </w:r>
      </w:sdtContent>
    </w:sdt>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C2782" w14:textId="1B9460C6" w:rsidR="0062328D" w:rsidRDefault="0062328D" w:rsidP="008F1518">
    <w:pPr>
      <w:pStyle w:val="Footer"/>
    </w:pPr>
    <w:r>
      <w:rPr>
        <w:noProof/>
      </w:rPr>
      <w:fldChar w:fldCharType="begin"/>
    </w:r>
    <w:r>
      <w:rPr>
        <w:noProof/>
      </w:rPr>
      <w:instrText xml:space="preserve"> STYLEREF "Heading 1" \* MERGEFORMAT </w:instrText>
    </w:r>
    <w:r>
      <w:rPr>
        <w:noProof/>
      </w:rPr>
      <w:fldChar w:fldCharType="separate"/>
    </w:r>
    <w:r w:rsidR="000A1A32">
      <w:rPr>
        <w:noProof/>
      </w:rPr>
      <w:t>Introduction</w:t>
    </w:r>
    <w:r>
      <w:rPr>
        <w:noProof/>
      </w:rPr>
      <w:fldChar w:fldCharType="end"/>
    </w:r>
    <w:bookmarkStart w:id="27" w:name="Contents"/>
    <w:r>
      <w:tab/>
    </w:r>
    <w:r>
      <w:rPr>
        <w:rStyle w:val="PageNumber"/>
        <w:snapToGrid w:val="0"/>
      </w:rPr>
      <w:t xml:space="preserve">Page </w:t>
    </w:r>
    <w:r>
      <w:rPr>
        <w:rStyle w:val="PageNumber"/>
      </w:rPr>
      <w:fldChar w:fldCharType="begin"/>
    </w:r>
    <w:r>
      <w:rPr>
        <w:rStyle w:val="PageNumber"/>
      </w:rPr>
      <w:instrText xml:space="preserve"> PAGE </w:instrText>
    </w:r>
    <w:r>
      <w:rPr>
        <w:rStyle w:val="PageNumber"/>
      </w:rPr>
      <w:fldChar w:fldCharType="separate"/>
    </w:r>
    <w:r w:rsidR="000A1A32">
      <w:rPr>
        <w:rStyle w:val="PageNumber"/>
        <w:noProof/>
      </w:rPr>
      <w:t>1</w:t>
    </w:r>
    <w:r>
      <w:rPr>
        <w:rStyle w:val="PageNumber"/>
      </w:rPr>
      <w:fldChar w:fldCharType="end"/>
    </w:r>
    <w:r>
      <w:rPr>
        <w:rStyle w:val="PageNumber"/>
        <w:snapToGrid w:val="0"/>
      </w:rPr>
      <w:t xml:space="preserve"> of </w:t>
    </w:r>
    <w:r>
      <w:rPr>
        <w:rStyle w:val="PageNumber"/>
        <w:noProof/>
        <w:snapToGrid w:val="0"/>
      </w:rPr>
      <w:fldChar w:fldCharType="begin"/>
    </w:r>
    <w:r>
      <w:rPr>
        <w:rStyle w:val="PageNumber"/>
        <w:noProof/>
        <w:snapToGrid w:val="0"/>
      </w:rPr>
      <w:instrText xml:space="preserve"> SECTIONPAGES   \* MERGEFORMAT </w:instrText>
    </w:r>
    <w:r>
      <w:rPr>
        <w:rStyle w:val="PageNumber"/>
        <w:noProof/>
        <w:snapToGrid w:val="0"/>
      </w:rPr>
      <w:fldChar w:fldCharType="separate"/>
    </w:r>
    <w:r w:rsidR="000A1A32">
      <w:rPr>
        <w:rStyle w:val="PageNumber"/>
        <w:noProof/>
        <w:snapToGrid w:val="0"/>
      </w:rPr>
      <w:t>18</w:t>
    </w:r>
    <w:r>
      <w:rPr>
        <w:rStyle w:val="PageNumber"/>
        <w:noProof/>
        <w:snapToGrid w:val="0"/>
      </w:rPr>
      <w:fldChar w:fldCharType="end"/>
    </w:r>
    <w:r>
      <w:tab/>
    </w:r>
    <w:sdt>
      <w:sdtPr>
        <w:alias w:val="Comments"/>
        <w:tag w:val=""/>
        <w:id w:val="-1993472121"/>
        <w:dataBinding w:prefixMappings="xmlns:ns0='http://purl.org/dc/elements/1.1/' xmlns:ns1='http://schemas.openxmlformats.org/package/2006/metadata/core-properties' " w:xpath="/ns1:coreProperties[1]/ns0:description[1]" w:storeItemID="{6C3C8BC8-F283-45AE-878A-BAB7291924A1}"/>
        <w:text w:multiLine="1"/>
      </w:sdtPr>
      <w:sdtEndPr/>
      <w:sdtContent>
        <w:r w:rsidR="000A1A32">
          <w:rPr>
            <w:lang w:val="en-US"/>
          </w:rPr>
          <w:t>UKOPA/TBN/006 Edition 1</w:t>
        </w:r>
      </w:sdtContent>
    </w:sdt>
    <w:bookmarkEnd w:id="27"/>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7742E" w14:textId="77777777" w:rsidR="00115168" w:rsidRDefault="00115168" w:rsidP="005855C5">
      <w:pPr>
        <w:ind w:left="851"/>
      </w:pPr>
      <w:r>
        <w:separator/>
      </w:r>
    </w:p>
  </w:footnote>
  <w:footnote w:type="continuationSeparator" w:id="0">
    <w:p w14:paraId="320928E3" w14:textId="77777777" w:rsidR="00115168" w:rsidRDefault="00115168">
      <w:r>
        <w:continuationSeparator/>
      </w:r>
    </w:p>
  </w:footnote>
  <w:footnote w:id="1">
    <w:p w14:paraId="16D09CB3" w14:textId="7F1B4647" w:rsidR="0062328D" w:rsidRDefault="0062328D">
      <w:pPr>
        <w:pStyle w:val="FootnoteText"/>
      </w:pPr>
      <w:r w:rsidRPr="00350EF4">
        <w:rPr>
          <w:rStyle w:val="FootnoteReference"/>
          <w:szCs w:val="16"/>
        </w:rPr>
        <w:footnoteRef/>
      </w:r>
      <w:r>
        <w:t xml:space="preserve"> </w:t>
      </w:r>
      <w:r w:rsidRPr="00350EF4">
        <w:rPr>
          <w:szCs w:val="16"/>
        </w:rPr>
        <w:t>Explanation about HSC/HSE relationship</w:t>
      </w:r>
    </w:p>
  </w:footnote>
  <w:footnote w:id="2">
    <w:p w14:paraId="4CEA7DD5" w14:textId="29649B9E" w:rsidR="0062328D" w:rsidRDefault="0062328D">
      <w:pPr>
        <w:pStyle w:val="FootnoteText"/>
      </w:pPr>
      <w:r>
        <w:rPr>
          <w:rStyle w:val="FootnoteReference"/>
        </w:rPr>
        <w:footnoteRef/>
      </w:r>
      <w:r>
        <w:t xml:space="preserve"> Six items of data are required to allow the external interference failure frequency to be predicted: pipeline diameter; wall thickness; maximum allowable operating pressure (MAOP); steel grade; depth of cover and location class.</w:t>
      </w:r>
    </w:p>
  </w:footnote>
  <w:footnote w:id="3">
    <w:p w14:paraId="7DEE3575" w14:textId="3B0B6E9E" w:rsidR="0062328D" w:rsidRDefault="0062328D">
      <w:pPr>
        <w:pStyle w:val="FootnoteText"/>
      </w:pPr>
      <w:r>
        <w:rPr>
          <w:rStyle w:val="FootnoteReference"/>
        </w:rPr>
        <w:footnoteRef/>
      </w:r>
      <w:r>
        <w:t xml:space="preserve"> This is unrealistic because the response to thermal radiation varies from person to person. Some will survive within the specified LD50 boundary and some fatalities will occur outside this boundary. However, the range over which this occurs for thermal radiation is relatively small, compared to toxic gas exposure, so it is a reasonable assumption to apply to short term thermal radiation effects.</w:t>
      </w:r>
    </w:p>
  </w:footnote>
  <w:footnote w:id="4">
    <w:p w14:paraId="27128A90" w14:textId="42EF2A07" w:rsidR="0062328D" w:rsidRDefault="0062328D">
      <w:pPr>
        <w:pStyle w:val="FootnoteText"/>
      </w:pPr>
      <w:r>
        <w:rPr>
          <w:rStyle w:val="FootnoteReference"/>
        </w:rPr>
        <w:footnoteRef/>
      </w:r>
      <w:r>
        <w:t xml:space="preserve"> The circumstances that led to the vapour cloud explosion at Buncefield in December 2005 are unlikely to occur from a pipeline release.</w:t>
      </w:r>
    </w:p>
  </w:footnote>
  <w:footnote w:id="5">
    <w:p w14:paraId="52517D3F" w14:textId="7840B8A1" w:rsidR="0062328D" w:rsidRDefault="0062328D">
      <w:pPr>
        <w:pStyle w:val="FootnoteText"/>
      </w:pPr>
      <w:r>
        <w:rPr>
          <w:rStyle w:val="FootnoteReference"/>
        </w:rPr>
        <w:footnoteRef/>
      </w:r>
      <w:r>
        <w:t xml:space="preserve"> Gasoline is not currently defined as a dangerous fluid.</w:t>
      </w:r>
    </w:p>
  </w:footnote>
  <w:footnote w:id="6">
    <w:p w14:paraId="6F450A44" w14:textId="7C9B0E88" w:rsidR="0062328D" w:rsidRDefault="0062328D">
      <w:pPr>
        <w:pStyle w:val="FootnoteText"/>
      </w:pPr>
      <w:r>
        <w:rPr>
          <w:rStyle w:val="FootnoteReference"/>
        </w:rPr>
        <w:footnoteRef/>
      </w:r>
      <w:r>
        <w:t xml:space="preserve"> Please note that the equivalent FN criterion for natural gas pipelines, as published in IGEM/TD/1 and IGEM/TD/2 is for a 1.6 km length of pipeline.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24EFF" w14:textId="77777777" w:rsidR="0062328D" w:rsidRDefault="0062328D" w:rsidP="008D636A">
    <w:pPr>
      <w:pStyle w:val="Header"/>
      <w:pBdr>
        <w:top w:val="none" w:sz="0" w:space="0" w:color="auto"/>
        <w:bottom w:val="none" w:sz="0" w:space="0" w:color="auto"/>
      </w:pBdr>
      <w:spacing w:after="0"/>
      <w:jc w:val="left"/>
    </w:pPr>
    <w:r>
      <w:rPr>
        <w:noProof/>
        <w:lang w:val="en-US" w:eastAsia="zh-CN"/>
      </w:rPr>
      <mc:AlternateContent>
        <mc:Choice Requires="wps">
          <w:drawing>
            <wp:anchor distT="0" distB="0" distL="114300" distR="114300" simplePos="0" relativeHeight="251658240" behindDoc="0" locked="0" layoutInCell="1" allowOverlap="1" wp14:anchorId="14989F23" wp14:editId="3E1DC3E1">
              <wp:simplePos x="0" y="0"/>
              <wp:positionH relativeFrom="column">
                <wp:posOffset>-457200</wp:posOffset>
              </wp:positionH>
              <wp:positionV relativeFrom="paragraph">
                <wp:posOffset>780415</wp:posOffset>
              </wp:positionV>
              <wp:extent cx="7568565" cy="1252220"/>
              <wp:effectExtent l="0" t="0" r="0" b="5080"/>
              <wp:wrapSquare wrapText="bothSides"/>
              <wp:docPr id="3" name="Text Box 3"/>
              <wp:cNvGraphicFramePr/>
              <a:graphic xmlns:a="http://schemas.openxmlformats.org/drawingml/2006/main">
                <a:graphicData uri="http://schemas.microsoft.com/office/word/2010/wordprocessingShape">
                  <wps:wsp>
                    <wps:cNvSpPr txBox="1"/>
                    <wps:spPr>
                      <a:xfrm>
                        <a:off x="0" y="0"/>
                        <a:ext cx="7568565" cy="1252220"/>
                      </a:xfrm>
                      <a:prstGeom prst="rect">
                        <a:avLst/>
                      </a:prstGeom>
                      <a:solidFill>
                        <a:schemeClr val="accent3">
                          <a:lumMod val="60000"/>
                          <a:lumOff val="4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FE5C6E" w14:textId="77777777" w:rsidR="0062328D" w:rsidRDefault="0062328D" w:rsidP="006E4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989F23" id="_x0000_t202" coordsize="21600,21600" o:spt="202" path="m,l,21600r21600,l21600,xe">
              <v:stroke joinstyle="miter"/>
              <v:path gradientshapeok="t" o:connecttype="rect"/>
            </v:shapetype>
            <v:shape id="Text Box 3" o:spid="_x0000_s1026" type="#_x0000_t202" style="position:absolute;margin-left:-36pt;margin-top:61.45pt;width:595.95pt;height:98.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" fillcolor="#bebfc1 [1942]" stroked="f">
              <v:textbox>
                <w:txbxContent>
                  <w:p w14:paraId="4CFE5C6E" w14:textId="77777777" w:rsidR="0062328D" w:rsidRDefault="0062328D" w:rsidP="006E4D29"/>
                </w:txbxContent>
              </v:textbox>
              <w10:wrap type="square"/>
            </v:shape>
          </w:pict>
        </mc:Fallback>
      </mc:AlternateContent>
    </w:r>
    <w:r>
      <w:rPr>
        <w:noProof/>
        <w:lang w:val="en-US" w:eastAsia="zh-CN"/>
      </w:rPr>
      <w:drawing>
        <wp:inline distT="0" distB="0" distL="0" distR="0" wp14:anchorId="16F05121" wp14:editId="1C650FEB">
          <wp:extent cx="6647815" cy="72326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OPA long word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7815" cy="723265"/>
                  </a:xfrm>
                  <a:prstGeom prst="rect">
                    <a:avLst/>
                  </a:prstGeom>
                </pic:spPr>
              </pic:pic>
            </a:graphicData>
          </a:graphic>
        </wp:inline>
      </w:drawing>
    </w:r>
  </w:p>
  <w:p w14:paraId="4ABD3F4A" w14:textId="77777777" w:rsidR="0062328D" w:rsidRDefault="0062328D" w:rsidP="008D636A">
    <w:pPr>
      <w:pStyle w:val="Header"/>
      <w:pBdr>
        <w:top w:val="none" w:sz="0" w:space="0" w:color="auto"/>
        <w:bottom w:val="none" w:sz="0" w:space="0" w:color="auto"/>
      </w:pBdr>
      <w:spacing w:after="0"/>
      <w:jc w:val="lef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0F151" w14:textId="77777777" w:rsidR="0062328D" w:rsidRPr="00003254" w:rsidRDefault="0062328D" w:rsidP="00003254">
    <w:pPr>
      <w:pStyle w:val="Header"/>
      <w:jc w:val="lef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29AD6" w14:textId="77777777" w:rsidR="0062328D" w:rsidRPr="00F44755" w:rsidRDefault="0062328D" w:rsidP="00F63740">
    <w:pPr>
      <w:pStyle w:val="Header"/>
      <w:tabs>
        <w:tab w:val="right" w:pos="9072"/>
      </w:tabs>
      <w:spacing w:after="60"/>
      <w:jc w:val="left"/>
      <w:rPr>
        <w:color w:val="00243A"/>
      </w:rPr>
    </w:pPr>
    <w:r>
      <w:rPr>
        <w:noProof/>
        <w:lang w:val="en-US" w:eastAsia="zh-CN"/>
      </w:rPr>
      <w:drawing>
        <wp:inline distT="0" distB="0" distL="0" distR="0" wp14:anchorId="1E19FBCB" wp14:editId="65DD55CA">
          <wp:extent cx="1416894" cy="324000"/>
          <wp:effectExtent l="0" t="0" r="0" b="0"/>
          <wp:docPr id="11" name="Picture 11"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r w:rsidRPr="00BF7AD5">
      <w:rPr>
        <w:color w:val="003656" w:themeColor="accent4" w:themeTint="E6"/>
      </w:rPr>
      <w:tab/>
    </w:r>
    <w:sdt>
      <w:sdtPr>
        <w:rPr>
          <w:color w:val="00243A"/>
        </w:rPr>
        <w:alias w:val="Title"/>
        <w:tag w:val=""/>
        <w:id w:val="-1110960896"/>
        <w:placeholder>
          <w:docPart w:val="BAF768EE498B4A30B3AB4D71C5CB42DF"/>
        </w:placeholder>
        <w:dataBinding w:prefixMappings="xmlns:ns0='http://purl.org/dc/elements/1.1/' xmlns:ns1='http://schemas.openxmlformats.org/package/2006/metadata/core-properties' " w:xpath="/ns1:coreProperties[1]/ns0:title[1]" w:storeItemID="{6C3C8BC8-F283-45AE-878A-BAB7291924A1}"/>
        <w:text/>
      </w:sdtPr>
      <w:sdtEndPr/>
      <w:sdtContent>
        <w:r>
          <w:rPr>
            <w:color w:val="00243A"/>
          </w:rPr>
          <w:t>Technical Briefing Note</w:t>
        </w:r>
      </w:sdtContent>
    </w:sdt>
  </w:p>
  <w:sdt>
    <w:sdtPr>
      <w:rPr>
        <w:color w:val="00243A"/>
      </w:rPr>
      <w:alias w:val="Subject"/>
      <w:tag w:val=""/>
      <w:id w:val="-388029573"/>
      <w:placeholder>
        <w:docPart w:val="A21992A7B8BA4546BE48A57941ADA447"/>
      </w:placeholder>
      <w:dataBinding w:prefixMappings="xmlns:ns0='http://purl.org/dc/elements/1.1/' xmlns:ns1='http://schemas.openxmlformats.org/package/2006/metadata/core-properties' " w:xpath="/ns1:coreProperties[1]/ns0:subject[1]" w:storeItemID="{6C3C8BC8-F283-45AE-878A-BAB7291924A1}"/>
      <w:text/>
    </w:sdtPr>
    <w:sdtEndPr/>
    <w:sdtContent>
      <w:p w14:paraId="179764CB" w14:textId="188562AE" w:rsidR="0062328D" w:rsidRPr="00F63740" w:rsidRDefault="000A1A32" w:rsidP="00F63740">
        <w:pPr>
          <w:pStyle w:val="Header"/>
          <w:tabs>
            <w:tab w:val="right" w:pos="9072"/>
          </w:tabs>
          <w:spacing w:after="60"/>
          <w:rPr>
            <w:color w:val="00243A"/>
          </w:rPr>
        </w:pPr>
        <w:r>
          <w:rPr>
            <w:color w:val="00243A"/>
            <w:lang w:val="en-US"/>
          </w:rPr>
          <w:t>Gasoline pipelines – A risk-based methodology for calculating land use planning zones</w:t>
        </w:r>
      </w:p>
    </w:sdtContent>
  </w:sdt>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4BAD5" w14:textId="77777777" w:rsidR="0062328D" w:rsidRDefault="0062328D" w:rsidP="00406430">
    <w:pPr>
      <w:pStyle w:val="Header"/>
    </w:pPr>
  </w:p>
  <w:p w14:paraId="73F0374C" w14:textId="77777777" w:rsidR="0062328D" w:rsidRDefault="0062328D" w:rsidP="00406430">
    <w:pPr>
      <w:pStyle w:val="Header"/>
    </w:pPr>
  </w:p>
  <w:p w14:paraId="6186481B" w14:textId="77777777" w:rsidR="0062328D" w:rsidRPr="00406430" w:rsidRDefault="0062328D" w:rsidP="00406430">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D3950" w14:textId="67DB56B6" w:rsidR="0062328D" w:rsidRPr="00F44755" w:rsidRDefault="0062328D" w:rsidP="004B1D22">
    <w:pPr>
      <w:pStyle w:val="Header"/>
      <w:tabs>
        <w:tab w:val="right" w:pos="9072"/>
      </w:tabs>
      <w:spacing w:after="60"/>
      <w:jc w:val="left"/>
      <w:rPr>
        <w:color w:val="00243A"/>
      </w:rPr>
    </w:pPr>
    <w:r>
      <w:rPr>
        <w:noProof/>
        <w:lang w:val="en-US" w:eastAsia="zh-CN"/>
      </w:rPr>
      <w:drawing>
        <wp:inline distT="0" distB="0" distL="0" distR="0" wp14:anchorId="79DCDFF0" wp14:editId="2987FD3D">
          <wp:extent cx="1416894" cy="324000"/>
          <wp:effectExtent l="0" t="0" r="0" b="0"/>
          <wp:docPr id="294" name="Picture 294"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r w:rsidRPr="00BF7AD5">
      <w:rPr>
        <w:color w:val="003656" w:themeColor="accent4" w:themeTint="E6"/>
      </w:rPr>
      <w:tab/>
    </w:r>
    <w:sdt>
      <w:sdtPr>
        <w:rPr>
          <w:color w:val="00243A"/>
        </w:rPr>
        <w:alias w:val="Title"/>
        <w:tag w:val=""/>
        <w:id w:val="1491142613"/>
        <w:placeholder>
          <w:docPart w:val="043C6F2A580C41FBAC70052568F12300"/>
        </w:placeholder>
        <w:dataBinding w:prefixMappings="xmlns:ns0='http://purl.org/dc/elements/1.1/' xmlns:ns1='http://schemas.openxmlformats.org/package/2006/metadata/core-properties' " w:xpath="/ns1:coreProperties[1]/ns0:title[1]" w:storeItemID="{6C3C8BC8-F283-45AE-878A-BAB7291924A1}"/>
        <w:text/>
      </w:sdtPr>
      <w:sdtEndPr/>
      <w:sdtContent>
        <w:r>
          <w:rPr>
            <w:color w:val="00243A"/>
          </w:rPr>
          <w:t>Technical Briefing Note</w:t>
        </w:r>
      </w:sdtContent>
    </w:sdt>
  </w:p>
  <w:sdt>
    <w:sdtPr>
      <w:rPr>
        <w:color w:val="00243A"/>
      </w:rPr>
      <w:alias w:val="Subject"/>
      <w:tag w:val=""/>
      <w:id w:val="-1128311162"/>
      <w:placeholder>
        <w:docPart w:val="A8EDB86BF3B442998A46C1D89BADA714"/>
      </w:placeholder>
      <w:dataBinding w:prefixMappings="xmlns:ns0='http://purl.org/dc/elements/1.1/' xmlns:ns1='http://schemas.openxmlformats.org/package/2006/metadata/core-properties' " w:xpath="/ns1:coreProperties[1]/ns0:subject[1]" w:storeItemID="{6C3C8BC8-F283-45AE-878A-BAB7291924A1}"/>
      <w:text/>
    </w:sdtPr>
    <w:sdtEndPr/>
    <w:sdtContent>
      <w:p w14:paraId="35FCA860" w14:textId="13F6D79E" w:rsidR="0062328D" w:rsidRPr="00F44755" w:rsidRDefault="000A1A32" w:rsidP="004B1D22">
        <w:pPr>
          <w:pStyle w:val="Header"/>
          <w:tabs>
            <w:tab w:val="right" w:pos="9072"/>
          </w:tabs>
          <w:spacing w:after="60"/>
          <w:rPr>
            <w:color w:val="00243A"/>
          </w:rPr>
        </w:pPr>
        <w:r>
          <w:rPr>
            <w:color w:val="00243A"/>
            <w:lang w:val="en-US"/>
          </w:rPr>
          <w:t>Gasoline pipelines – A risk-based methodology for calculating land use planning zones</w: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AEA5D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5AE730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C3E49E4"/>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A80B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26AAD35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41E69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982EC1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0A0F0F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6587174"/>
    <w:lvl w:ilvl="0">
      <w:start w:val="1"/>
      <w:numFmt w:val="decimal"/>
      <w:pStyle w:val="ListNumber"/>
      <w:lvlText w:val="%1."/>
      <w:lvlJc w:val="left"/>
      <w:pPr>
        <w:tabs>
          <w:tab w:val="num" w:pos="360"/>
        </w:tabs>
        <w:ind w:left="360" w:hanging="360"/>
      </w:pPr>
    </w:lvl>
  </w:abstractNum>
  <w:abstractNum w:abstractNumId="9">
    <w:nsid w:val="FFFFFFFB"/>
    <w:multiLevelType w:val="multilevel"/>
    <w:tmpl w:val="6766203A"/>
    <w:lvl w:ilvl="0">
      <w:start w:val="1"/>
      <w:numFmt w:val="decimal"/>
      <w:lvlText w:val="%1."/>
      <w:lvlJc w:val="left"/>
      <w:pPr>
        <w:tabs>
          <w:tab w:val="num" w:pos="1701"/>
        </w:tabs>
        <w:ind w:left="1701" w:hanging="1701"/>
      </w:pPr>
      <w:rPr>
        <w:u w:val="none"/>
      </w:rPr>
    </w:lvl>
    <w:lvl w:ilvl="1">
      <w:start w:val="1"/>
      <w:numFmt w:val="decimal"/>
      <w:lvlText w:val="%1.%2"/>
      <w:lvlJc w:val="left"/>
      <w:pPr>
        <w:tabs>
          <w:tab w:val="num" w:pos="1701"/>
        </w:tabs>
        <w:ind w:left="1701" w:hanging="1701"/>
      </w:pPr>
      <w:rPr>
        <w:u w:val="none"/>
      </w:rPr>
    </w:lvl>
    <w:lvl w:ilvl="2">
      <w:start w:val="1"/>
      <w:numFmt w:val="decimal"/>
      <w:lvlText w:val="%1.%2.%3"/>
      <w:lvlJc w:val="left"/>
      <w:pPr>
        <w:tabs>
          <w:tab w:val="num" w:pos="1701"/>
        </w:tabs>
        <w:ind w:left="1701" w:hanging="1701"/>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u w:val="none"/>
      </w:rPr>
    </w:lvl>
    <w:lvl w:ilvl="4">
      <w:start w:val="1"/>
      <w:numFmt w:val="none"/>
      <w:lvlText w:val=""/>
      <w:lvlJc w:val="left"/>
      <w:pPr>
        <w:tabs>
          <w:tab w:val="num" w:pos="360"/>
        </w:tabs>
        <w:ind w:left="0" w:firstLine="0"/>
      </w:pPr>
      <w:rPr>
        <w:rFonts w:ascii="Arial Bold" w:hAnsi="Arial Bold" w:hint="default"/>
        <w:b/>
        <w:i w:val="0"/>
        <w:u w:val="none"/>
      </w:rPr>
    </w:lvl>
    <w:lvl w:ilvl="5">
      <w:start w:val="1"/>
      <w:numFmt w:val="decimal"/>
      <w:lvlText w:val="%1.%2.%3.%4.%5.%6"/>
      <w:lvlJc w:val="left"/>
      <w:pPr>
        <w:tabs>
          <w:tab w:val="num" w:pos="1440"/>
        </w:tabs>
        <w:ind w:left="0" w:firstLine="0"/>
      </w:pPr>
      <w:rPr>
        <w:u w:val="none"/>
      </w:r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nsid w:val="FFFFFFFE"/>
    <w:multiLevelType w:val="singleLevel"/>
    <w:tmpl w:val="9BCA43E4"/>
    <w:lvl w:ilvl="0">
      <w:numFmt w:val="decimal"/>
      <w:pStyle w:val="List-"/>
      <w:lvlText w:val="*"/>
      <w:lvlJc w:val="left"/>
    </w:lvl>
  </w:abstractNum>
  <w:abstractNum w:abstractNumId="11">
    <w:nsid w:val="010A7C87"/>
    <w:multiLevelType w:val="multilevel"/>
    <w:tmpl w:val="15A25412"/>
    <w:name w:val="List 1) a) i)"/>
    <w:lvl w:ilvl="0">
      <w:start w:val="1"/>
      <w:numFmt w:val="decimal"/>
      <w:pStyle w:val="List1"/>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555"/>
        </w:tabs>
        <w:ind w:left="3402" w:hanging="567"/>
      </w:p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Wingdings" w:hAnsi="Wingdings" w:hint="default"/>
      </w:rPr>
    </w:lvl>
    <w:lvl w:ilvl="8">
      <w:start w:val="1"/>
      <w:numFmt w:val="lowerRoman"/>
      <w:lvlText w:val="%9)."/>
      <w:lvlJc w:val="left"/>
      <w:pPr>
        <w:tabs>
          <w:tab w:val="num" w:pos="2421"/>
        </w:tabs>
        <w:ind w:left="2268" w:hanging="567"/>
      </w:pPr>
    </w:lvl>
  </w:abstractNum>
  <w:abstractNum w:abstractNumId="12">
    <w:nsid w:val="019A0CB6"/>
    <w:multiLevelType w:val="hybridMultilevel"/>
    <w:tmpl w:val="884A1A00"/>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nsid w:val="1289473B"/>
    <w:multiLevelType w:val="hybridMultilevel"/>
    <w:tmpl w:val="CDB428C8"/>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4">
    <w:nsid w:val="14CB51C3"/>
    <w:multiLevelType w:val="multilevel"/>
    <w:tmpl w:val="DC9ABB44"/>
    <w:lvl w:ilvl="0">
      <w:start w:val="1"/>
      <w:numFmt w:val="bullet"/>
      <w:pStyle w:val="ListBullet"/>
      <w:lvlText w:val=""/>
      <w:lvlJc w:val="left"/>
      <w:pPr>
        <w:tabs>
          <w:tab w:val="num" w:pos="2268"/>
        </w:tabs>
        <w:ind w:left="2268" w:hanging="567"/>
      </w:pPr>
      <w:rPr>
        <w:rFonts w:ascii="Wingdings" w:hAnsi="Wingdings" w:hint="default"/>
      </w:rPr>
    </w:lvl>
    <w:lvl w:ilvl="1">
      <w:start w:val="1"/>
      <w:numFmt w:val="bullet"/>
      <w:lvlText w:val=""/>
      <w:lvlJc w:val="left"/>
      <w:pPr>
        <w:tabs>
          <w:tab w:val="num" w:pos="2835"/>
        </w:tabs>
        <w:ind w:left="2835" w:hanging="567"/>
      </w:pPr>
      <w:rPr>
        <w:rFonts w:ascii="Wingdings" w:hAnsi="Wingdings" w:hint="default"/>
      </w:rPr>
    </w:lvl>
    <w:lvl w:ilvl="2">
      <w:start w:val="1"/>
      <w:numFmt w:val="bullet"/>
      <w:lvlText w:val=""/>
      <w:lvlJc w:val="left"/>
      <w:pPr>
        <w:tabs>
          <w:tab w:val="num" w:pos="2835"/>
        </w:tabs>
        <w:ind w:left="2835" w:hanging="567"/>
      </w:pPr>
      <w:rPr>
        <w:rFonts w:ascii="Wingdings" w:hAnsi="Wingdings"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3969"/>
        </w:tabs>
        <w:ind w:left="3969" w:hanging="567"/>
      </w:pPr>
      <w:rPr>
        <w:rFonts w:ascii="Symbol" w:hAnsi="Symbol" w:hint="default"/>
      </w:rPr>
    </w:lvl>
    <w:lvl w:ilvl="8">
      <w:start w:val="1"/>
      <w:numFmt w:val="bullet"/>
      <w:lvlText w:val=""/>
      <w:lvlJc w:val="left"/>
      <w:pPr>
        <w:tabs>
          <w:tab w:val="num" w:pos="4536"/>
        </w:tabs>
        <w:ind w:left="4536" w:hanging="567"/>
      </w:pPr>
      <w:rPr>
        <w:rFonts w:ascii="Symbol" w:hAnsi="Symbol" w:hint="default"/>
      </w:rPr>
    </w:lvl>
  </w:abstractNum>
  <w:abstractNum w:abstractNumId="15">
    <w:nsid w:val="1B345C93"/>
    <w:multiLevelType w:val="multilevel"/>
    <w:tmpl w:val="E084BC0E"/>
    <w:lvl w:ilvl="0">
      <w:start w:val="1"/>
      <w:numFmt w:val="bullet"/>
      <w:lvlText w:val=""/>
      <w:lvlJc w:val="left"/>
      <w:pPr>
        <w:tabs>
          <w:tab w:val="num" w:pos="567"/>
        </w:tabs>
        <w:ind w:left="567" w:hanging="567"/>
      </w:pPr>
      <w:rPr>
        <w:rFonts w:ascii="Wingdings" w:hAnsi="Wingdings" w:hint="default"/>
      </w:rPr>
    </w:lvl>
    <w:lvl w:ilvl="1">
      <w:start w:val="1"/>
      <w:numFmt w:val="bullet"/>
      <w:pStyle w:val="ListBullets"/>
      <w:lvlText w:val=""/>
      <w:lvlJc w:val="left"/>
      <w:pPr>
        <w:tabs>
          <w:tab w:val="num" w:pos="2268"/>
        </w:tabs>
        <w:ind w:left="2268" w:hanging="567"/>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25A43978"/>
    <w:multiLevelType w:val="hybridMultilevel"/>
    <w:tmpl w:val="D368B5C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nsid w:val="2EC91A07"/>
    <w:multiLevelType w:val="hybridMultilevel"/>
    <w:tmpl w:val="5216AC2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nsid w:val="2FFC101A"/>
    <w:multiLevelType w:val="hybridMultilevel"/>
    <w:tmpl w:val="CCAC88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nsid w:val="3A076DC9"/>
    <w:multiLevelType w:val="hybridMultilevel"/>
    <w:tmpl w:val="0C36E692"/>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
    <w:nsid w:val="3A0931C8"/>
    <w:multiLevelType w:val="singleLevel"/>
    <w:tmpl w:val="083E85FA"/>
    <w:lvl w:ilvl="0">
      <w:start w:val="1"/>
      <w:numFmt w:val="upperLetter"/>
      <w:pStyle w:val="Appendix"/>
      <w:lvlText w:val="Appendix %1:"/>
      <w:lvlJc w:val="left"/>
      <w:pPr>
        <w:tabs>
          <w:tab w:val="num" w:pos="1771"/>
        </w:tabs>
        <w:ind w:left="1771" w:hanging="1771"/>
      </w:pPr>
    </w:lvl>
  </w:abstractNum>
  <w:abstractNum w:abstractNumId="21">
    <w:nsid w:val="3F0A2F1A"/>
    <w:multiLevelType w:val="multilevel"/>
    <w:tmpl w:val="6BD061D6"/>
    <w:lvl w:ilvl="0">
      <w:start w:val="1"/>
      <w:numFmt w:val="decimal"/>
      <w:pStyle w:val="List10"/>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6F143D3"/>
    <w:multiLevelType w:val="singleLevel"/>
    <w:tmpl w:val="8CF4DE40"/>
    <w:lvl w:ilvl="0">
      <w:start w:val="1"/>
      <w:numFmt w:val="lowerLetter"/>
      <w:pStyle w:val="Lista"/>
      <w:lvlText w:val="%1)"/>
      <w:legacy w:legacy="1" w:legacySpace="0" w:legacyIndent="720"/>
      <w:lvlJc w:val="left"/>
      <w:pPr>
        <w:ind w:left="2491" w:hanging="720"/>
      </w:pPr>
    </w:lvl>
  </w:abstractNum>
  <w:abstractNum w:abstractNumId="23">
    <w:nsid w:val="4CDC5D50"/>
    <w:multiLevelType w:val="hybridMultilevel"/>
    <w:tmpl w:val="0C9E6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43C37F2"/>
    <w:multiLevelType w:val="singleLevel"/>
    <w:tmpl w:val="CA048ABA"/>
    <w:lvl w:ilvl="0">
      <w:start w:val="1"/>
      <w:numFmt w:val="lowerLetter"/>
      <w:pStyle w:val="ListLetter"/>
      <w:lvlText w:val="%1)"/>
      <w:lvlJc w:val="left"/>
      <w:pPr>
        <w:tabs>
          <w:tab w:val="num" w:pos="567"/>
        </w:tabs>
        <w:ind w:left="567" w:hanging="567"/>
      </w:pPr>
    </w:lvl>
  </w:abstractNum>
  <w:abstractNum w:abstractNumId="25">
    <w:nsid w:val="5FD94E44"/>
    <w:multiLevelType w:val="hybridMultilevel"/>
    <w:tmpl w:val="80245268"/>
    <w:lvl w:ilvl="0" w:tplc="08090017">
      <w:start w:val="1"/>
      <w:numFmt w:val="lowerLetter"/>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26">
    <w:nsid w:val="64626245"/>
    <w:multiLevelType w:val="multilevel"/>
    <w:tmpl w:val="68A4FA1E"/>
    <w:lvl w:ilvl="0">
      <w:start w:val="1"/>
      <w:numFmt w:val="decimal"/>
      <w:pStyle w:val="Heading1"/>
      <w:lvlText w:val="%1."/>
      <w:lvlJc w:val="left"/>
      <w:pPr>
        <w:tabs>
          <w:tab w:val="num" w:pos="1701"/>
        </w:tabs>
        <w:ind w:left="1701" w:hanging="1701"/>
      </w:pPr>
      <w:rPr>
        <w:u w:val="none"/>
      </w:rPr>
    </w:lvl>
    <w:lvl w:ilvl="1">
      <w:start w:val="1"/>
      <w:numFmt w:val="decimal"/>
      <w:pStyle w:val="Heading2"/>
      <w:lvlText w:val="%1.%2"/>
      <w:lvlJc w:val="left"/>
      <w:pPr>
        <w:tabs>
          <w:tab w:val="num" w:pos="1701"/>
        </w:tabs>
        <w:ind w:left="1701" w:hanging="1701"/>
      </w:pPr>
      <w:rPr>
        <w:u w:val="none"/>
      </w:rPr>
    </w:lvl>
    <w:lvl w:ilvl="2">
      <w:start w:val="1"/>
      <w:numFmt w:val="decimal"/>
      <w:pStyle w:val="Heading3"/>
      <w:lvlText w:val="%1.%2.%3"/>
      <w:lvlJc w:val="left"/>
      <w:pPr>
        <w:tabs>
          <w:tab w:val="num" w:pos="1701"/>
        </w:tabs>
        <w:ind w:left="1701" w:hanging="1701"/>
      </w:pPr>
      <w:rPr>
        <w:u w:val="none"/>
      </w:rPr>
    </w:lvl>
    <w:lvl w:ilvl="3">
      <w:start w:val="1"/>
      <w:numFmt w:val="decimal"/>
      <w:pStyle w:val="Heading4"/>
      <w:lvlText w:val="%1.%2.%3.%4"/>
      <w:lvlJc w:val="left"/>
      <w:pPr>
        <w:tabs>
          <w:tab w:val="num" w:pos="1701"/>
        </w:tabs>
        <w:ind w:left="1701" w:hanging="1701"/>
      </w:pPr>
      <w:rPr>
        <w:u w:val="none"/>
      </w:rPr>
    </w:lvl>
    <w:lvl w:ilvl="4">
      <w:start w:val="1"/>
      <w:numFmt w:val="none"/>
      <w:pStyle w:val="Heading5"/>
      <w:lvlText w:val=""/>
      <w:lvlJc w:val="left"/>
      <w:pPr>
        <w:tabs>
          <w:tab w:val="num" w:pos="360"/>
        </w:tabs>
        <w:ind w:left="0" w:firstLine="0"/>
      </w:pPr>
      <w:rPr>
        <w:rFonts w:ascii="Arial Bold" w:hAnsi="Arial Bold" w:hint="default"/>
        <w:b/>
        <w:i w:val="0"/>
        <w:u w:val="none"/>
      </w:rPr>
    </w:lvl>
    <w:lvl w:ilvl="5">
      <w:start w:val="1"/>
      <w:numFmt w:val="decimal"/>
      <w:pStyle w:val="Heading6"/>
      <w:lvlText w:val="%1.%2.%3.%4.%5.%6"/>
      <w:lvlJc w:val="left"/>
      <w:pPr>
        <w:tabs>
          <w:tab w:val="num" w:pos="1440"/>
        </w:tabs>
        <w:ind w:left="0" w:firstLine="0"/>
      </w:pPr>
      <w:rPr>
        <w:u w:val="none"/>
      </w:r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27">
    <w:nsid w:val="68513133"/>
    <w:multiLevelType w:val="hybridMultilevel"/>
    <w:tmpl w:val="CECE6F04"/>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2737406"/>
    <w:multiLevelType w:val="hybridMultilevel"/>
    <w:tmpl w:val="CD747C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20"/>
  </w:num>
  <w:num w:numId="2">
    <w:abstractNumId w:val="6"/>
  </w:num>
  <w:num w:numId="3">
    <w:abstractNumId w:val="5"/>
  </w:num>
  <w:num w:numId="4">
    <w:abstractNumId w:val="4"/>
  </w:num>
  <w:num w:numId="5">
    <w:abstractNumId w:val="8"/>
  </w:num>
  <w:num w:numId="6">
    <w:abstractNumId w:val="22"/>
  </w:num>
  <w:num w:numId="7">
    <w:abstractNumId w:val="24"/>
  </w:num>
  <w:num w:numId="8">
    <w:abstractNumId w:val="14"/>
  </w:num>
  <w:num w:numId="9">
    <w:abstractNumId w:val="9"/>
  </w:num>
  <w:num w:numId="10">
    <w:abstractNumId w:val="15"/>
  </w:num>
  <w:num w:numId="11">
    <w:abstractNumId w:val="11"/>
  </w:num>
  <w:num w:numId="12">
    <w:abstractNumId w:val="10"/>
  </w:num>
  <w:num w:numId="13">
    <w:abstractNumId w:val="21"/>
  </w:num>
  <w:num w:numId="14">
    <w:abstractNumId w:val="7"/>
  </w:num>
  <w:num w:numId="15">
    <w:abstractNumId w:val="3"/>
  </w:num>
  <w:num w:numId="16">
    <w:abstractNumId w:val="2"/>
  </w:num>
  <w:num w:numId="17">
    <w:abstractNumId w:val="1"/>
  </w:num>
  <w:num w:numId="18">
    <w:abstractNumId w:val="0"/>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26"/>
  </w:num>
  <w:num w:numId="28">
    <w:abstractNumId w:val="26"/>
  </w:num>
  <w:num w:numId="29">
    <w:abstractNumId w:val="26"/>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23"/>
  </w:num>
  <w:num w:numId="37">
    <w:abstractNumId w:val="12"/>
  </w:num>
  <w:num w:numId="38">
    <w:abstractNumId w:val="18"/>
  </w:num>
  <w:num w:numId="39">
    <w:abstractNumId w:val="28"/>
  </w:num>
  <w:num w:numId="40">
    <w:abstractNumId w:val="16"/>
  </w:num>
  <w:num w:numId="41">
    <w:abstractNumId w:val="13"/>
  </w:num>
  <w:num w:numId="42">
    <w:abstractNumId w:val="25"/>
  </w:num>
  <w:num w:numId="43">
    <w:abstractNumId w:val="17"/>
  </w:num>
  <w:num w:numId="44">
    <w:abstractNumId w:val="19"/>
  </w:num>
  <w:num w:numId="45">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displayBackgroundShape/>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
  <w:drawingGridVerticalSpacing w:val="29"/>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94F"/>
    <w:rsid w:val="0000086A"/>
    <w:rsid w:val="00003254"/>
    <w:rsid w:val="00005A28"/>
    <w:rsid w:val="00006911"/>
    <w:rsid w:val="00012F42"/>
    <w:rsid w:val="00013BC1"/>
    <w:rsid w:val="000378F0"/>
    <w:rsid w:val="00042D13"/>
    <w:rsid w:val="00045052"/>
    <w:rsid w:val="00056389"/>
    <w:rsid w:val="000623F9"/>
    <w:rsid w:val="0006544B"/>
    <w:rsid w:val="000706FA"/>
    <w:rsid w:val="0007338D"/>
    <w:rsid w:val="00080475"/>
    <w:rsid w:val="00080B92"/>
    <w:rsid w:val="00083A92"/>
    <w:rsid w:val="0008619B"/>
    <w:rsid w:val="000901B6"/>
    <w:rsid w:val="00090732"/>
    <w:rsid w:val="000939C5"/>
    <w:rsid w:val="00095172"/>
    <w:rsid w:val="000A1A32"/>
    <w:rsid w:val="000A2272"/>
    <w:rsid w:val="000A3827"/>
    <w:rsid w:val="000A786D"/>
    <w:rsid w:val="000C789E"/>
    <w:rsid w:val="000D37A4"/>
    <w:rsid w:val="000D5A97"/>
    <w:rsid w:val="000D7706"/>
    <w:rsid w:val="000D7982"/>
    <w:rsid w:val="000E1D9B"/>
    <w:rsid w:val="000E7207"/>
    <w:rsid w:val="000F177D"/>
    <w:rsid w:val="000F6DB6"/>
    <w:rsid w:val="00101463"/>
    <w:rsid w:val="0011093D"/>
    <w:rsid w:val="0011195D"/>
    <w:rsid w:val="001135E9"/>
    <w:rsid w:val="00115168"/>
    <w:rsid w:val="001154CA"/>
    <w:rsid w:val="00115EB4"/>
    <w:rsid w:val="001167E6"/>
    <w:rsid w:val="00125213"/>
    <w:rsid w:val="00134F1E"/>
    <w:rsid w:val="00135352"/>
    <w:rsid w:val="00142E77"/>
    <w:rsid w:val="0016010F"/>
    <w:rsid w:val="0016400F"/>
    <w:rsid w:val="00165B44"/>
    <w:rsid w:val="00171716"/>
    <w:rsid w:val="00171B5C"/>
    <w:rsid w:val="00172C9D"/>
    <w:rsid w:val="00175244"/>
    <w:rsid w:val="00184727"/>
    <w:rsid w:val="001931EC"/>
    <w:rsid w:val="001965BC"/>
    <w:rsid w:val="0019743F"/>
    <w:rsid w:val="001A1EE3"/>
    <w:rsid w:val="001A79B1"/>
    <w:rsid w:val="001A7CCD"/>
    <w:rsid w:val="001B2C54"/>
    <w:rsid w:val="001B516A"/>
    <w:rsid w:val="001C51D2"/>
    <w:rsid w:val="001C5BE5"/>
    <w:rsid w:val="001C7D64"/>
    <w:rsid w:val="001C7D94"/>
    <w:rsid w:val="001D2D21"/>
    <w:rsid w:val="001E4D56"/>
    <w:rsid w:val="001F1053"/>
    <w:rsid w:val="001F2169"/>
    <w:rsid w:val="001F5367"/>
    <w:rsid w:val="00200B84"/>
    <w:rsid w:val="00201C7E"/>
    <w:rsid w:val="00203400"/>
    <w:rsid w:val="00210E0B"/>
    <w:rsid w:val="00211BF8"/>
    <w:rsid w:val="002226B7"/>
    <w:rsid w:val="0022538E"/>
    <w:rsid w:val="002346E5"/>
    <w:rsid w:val="00236F3B"/>
    <w:rsid w:val="0024038F"/>
    <w:rsid w:val="002507ED"/>
    <w:rsid w:val="00251D27"/>
    <w:rsid w:val="0025302B"/>
    <w:rsid w:val="00254767"/>
    <w:rsid w:val="00254B4E"/>
    <w:rsid w:val="00257378"/>
    <w:rsid w:val="00260144"/>
    <w:rsid w:val="00265116"/>
    <w:rsid w:val="002714DD"/>
    <w:rsid w:val="00273442"/>
    <w:rsid w:val="002823CB"/>
    <w:rsid w:val="00284E91"/>
    <w:rsid w:val="00286156"/>
    <w:rsid w:val="00287085"/>
    <w:rsid w:val="00287657"/>
    <w:rsid w:val="0029456F"/>
    <w:rsid w:val="00295EE5"/>
    <w:rsid w:val="002A061D"/>
    <w:rsid w:val="002A068A"/>
    <w:rsid w:val="002A2C96"/>
    <w:rsid w:val="002A7991"/>
    <w:rsid w:val="002B6494"/>
    <w:rsid w:val="002C2A2E"/>
    <w:rsid w:val="002C31D9"/>
    <w:rsid w:val="002C5005"/>
    <w:rsid w:val="002D4DA1"/>
    <w:rsid w:val="002D5C87"/>
    <w:rsid w:val="002E499F"/>
    <w:rsid w:val="002F1438"/>
    <w:rsid w:val="002F4C7B"/>
    <w:rsid w:val="002F63B5"/>
    <w:rsid w:val="00301585"/>
    <w:rsid w:val="00327726"/>
    <w:rsid w:val="00344DA1"/>
    <w:rsid w:val="00350EF4"/>
    <w:rsid w:val="00351101"/>
    <w:rsid w:val="00351B14"/>
    <w:rsid w:val="003620EF"/>
    <w:rsid w:val="0036378D"/>
    <w:rsid w:val="00367453"/>
    <w:rsid w:val="00367879"/>
    <w:rsid w:val="00371400"/>
    <w:rsid w:val="0037487B"/>
    <w:rsid w:val="00380AE7"/>
    <w:rsid w:val="00380F45"/>
    <w:rsid w:val="0038301B"/>
    <w:rsid w:val="00383209"/>
    <w:rsid w:val="00393F74"/>
    <w:rsid w:val="00395B86"/>
    <w:rsid w:val="00395C81"/>
    <w:rsid w:val="003B1B03"/>
    <w:rsid w:val="003B5F97"/>
    <w:rsid w:val="003C1027"/>
    <w:rsid w:val="003C1982"/>
    <w:rsid w:val="003C23AB"/>
    <w:rsid w:val="003C404F"/>
    <w:rsid w:val="003E2B32"/>
    <w:rsid w:val="003E4465"/>
    <w:rsid w:val="003E66DC"/>
    <w:rsid w:val="003E683C"/>
    <w:rsid w:val="003E779B"/>
    <w:rsid w:val="003F7240"/>
    <w:rsid w:val="00406430"/>
    <w:rsid w:val="00407073"/>
    <w:rsid w:val="00407115"/>
    <w:rsid w:val="00411F6E"/>
    <w:rsid w:val="00415524"/>
    <w:rsid w:val="004211FF"/>
    <w:rsid w:val="0042459A"/>
    <w:rsid w:val="00425B98"/>
    <w:rsid w:val="004371DA"/>
    <w:rsid w:val="00444038"/>
    <w:rsid w:val="004519E1"/>
    <w:rsid w:val="004533EF"/>
    <w:rsid w:val="00453E30"/>
    <w:rsid w:val="00454AD2"/>
    <w:rsid w:val="00456033"/>
    <w:rsid w:val="00457131"/>
    <w:rsid w:val="00463A0B"/>
    <w:rsid w:val="004732C7"/>
    <w:rsid w:val="004742B5"/>
    <w:rsid w:val="0047670C"/>
    <w:rsid w:val="004931C5"/>
    <w:rsid w:val="0049619F"/>
    <w:rsid w:val="004A60A9"/>
    <w:rsid w:val="004A64A9"/>
    <w:rsid w:val="004A6EB8"/>
    <w:rsid w:val="004B1D22"/>
    <w:rsid w:val="004B605E"/>
    <w:rsid w:val="004B6385"/>
    <w:rsid w:val="004E1D1E"/>
    <w:rsid w:val="004E7ABA"/>
    <w:rsid w:val="004F082B"/>
    <w:rsid w:val="004F2E2B"/>
    <w:rsid w:val="004F30AA"/>
    <w:rsid w:val="004F3227"/>
    <w:rsid w:val="004F66DC"/>
    <w:rsid w:val="004F72A9"/>
    <w:rsid w:val="004F7772"/>
    <w:rsid w:val="005021E2"/>
    <w:rsid w:val="0051098F"/>
    <w:rsid w:val="00527EC5"/>
    <w:rsid w:val="00530B8F"/>
    <w:rsid w:val="0053133D"/>
    <w:rsid w:val="0053157C"/>
    <w:rsid w:val="00533EE5"/>
    <w:rsid w:val="0053513B"/>
    <w:rsid w:val="005501E8"/>
    <w:rsid w:val="00551E8A"/>
    <w:rsid w:val="005554E4"/>
    <w:rsid w:val="00557ADC"/>
    <w:rsid w:val="005624A4"/>
    <w:rsid w:val="005715C4"/>
    <w:rsid w:val="00572AA3"/>
    <w:rsid w:val="0057501B"/>
    <w:rsid w:val="00580EBB"/>
    <w:rsid w:val="005855C5"/>
    <w:rsid w:val="00585919"/>
    <w:rsid w:val="00587B5E"/>
    <w:rsid w:val="00595741"/>
    <w:rsid w:val="005968BD"/>
    <w:rsid w:val="005A0526"/>
    <w:rsid w:val="005A18D7"/>
    <w:rsid w:val="005A3A4A"/>
    <w:rsid w:val="005A4BFB"/>
    <w:rsid w:val="005B20A5"/>
    <w:rsid w:val="005B237B"/>
    <w:rsid w:val="005C33B3"/>
    <w:rsid w:val="005C6581"/>
    <w:rsid w:val="005D0567"/>
    <w:rsid w:val="005D4875"/>
    <w:rsid w:val="005E4F8A"/>
    <w:rsid w:val="005E6B1D"/>
    <w:rsid w:val="00607672"/>
    <w:rsid w:val="006111B6"/>
    <w:rsid w:val="0061132F"/>
    <w:rsid w:val="00614830"/>
    <w:rsid w:val="00621AA9"/>
    <w:rsid w:val="0062328D"/>
    <w:rsid w:val="006278C2"/>
    <w:rsid w:val="00631044"/>
    <w:rsid w:val="0063378F"/>
    <w:rsid w:val="00635628"/>
    <w:rsid w:val="00635644"/>
    <w:rsid w:val="00637809"/>
    <w:rsid w:val="00644A55"/>
    <w:rsid w:val="00656B98"/>
    <w:rsid w:val="006625BD"/>
    <w:rsid w:val="006631F8"/>
    <w:rsid w:val="00670337"/>
    <w:rsid w:val="00670E91"/>
    <w:rsid w:val="00675D04"/>
    <w:rsid w:val="006801E7"/>
    <w:rsid w:val="006932DD"/>
    <w:rsid w:val="00694EBF"/>
    <w:rsid w:val="00695C0F"/>
    <w:rsid w:val="006960C6"/>
    <w:rsid w:val="00697CDD"/>
    <w:rsid w:val="006B14CE"/>
    <w:rsid w:val="006B39B0"/>
    <w:rsid w:val="006B6893"/>
    <w:rsid w:val="006D16A3"/>
    <w:rsid w:val="006D600D"/>
    <w:rsid w:val="006E3F6D"/>
    <w:rsid w:val="006E4D29"/>
    <w:rsid w:val="006E62A3"/>
    <w:rsid w:val="006E7843"/>
    <w:rsid w:val="006F4670"/>
    <w:rsid w:val="006F57F2"/>
    <w:rsid w:val="006F5ECE"/>
    <w:rsid w:val="006F646D"/>
    <w:rsid w:val="007012FE"/>
    <w:rsid w:val="00703917"/>
    <w:rsid w:val="00704507"/>
    <w:rsid w:val="00710F52"/>
    <w:rsid w:val="0072154B"/>
    <w:rsid w:val="007225E9"/>
    <w:rsid w:val="00726B86"/>
    <w:rsid w:val="00735FAB"/>
    <w:rsid w:val="007462DD"/>
    <w:rsid w:val="00747B71"/>
    <w:rsid w:val="0075077E"/>
    <w:rsid w:val="00762530"/>
    <w:rsid w:val="00765E02"/>
    <w:rsid w:val="00766BB2"/>
    <w:rsid w:val="00766BCB"/>
    <w:rsid w:val="00775BF5"/>
    <w:rsid w:val="007811FD"/>
    <w:rsid w:val="00786503"/>
    <w:rsid w:val="0079644B"/>
    <w:rsid w:val="00796ADA"/>
    <w:rsid w:val="007A09E5"/>
    <w:rsid w:val="007A7484"/>
    <w:rsid w:val="007A77AB"/>
    <w:rsid w:val="007B02F4"/>
    <w:rsid w:val="007D3B82"/>
    <w:rsid w:val="007D70C0"/>
    <w:rsid w:val="007D7FDC"/>
    <w:rsid w:val="007E2919"/>
    <w:rsid w:val="007E48BB"/>
    <w:rsid w:val="007E636F"/>
    <w:rsid w:val="007E7A2A"/>
    <w:rsid w:val="007F5B71"/>
    <w:rsid w:val="007F75B5"/>
    <w:rsid w:val="007F7805"/>
    <w:rsid w:val="00801256"/>
    <w:rsid w:val="00805A9C"/>
    <w:rsid w:val="00827ECD"/>
    <w:rsid w:val="008302FB"/>
    <w:rsid w:val="00845903"/>
    <w:rsid w:val="0085346E"/>
    <w:rsid w:val="008545C6"/>
    <w:rsid w:val="00857465"/>
    <w:rsid w:val="00864020"/>
    <w:rsid w:val="0086794B"/>
    <w:rsid w:val="00871D24"/>
    <w:rsid w:val="0087630F"/>
    <w:rsid w:val="00877F14"/>
    <w:rsid w:val="008827F4"/>
    <w:rsid w:val="008905FE"/>
    <w:rsid w:val="00890CE1"/>
    <w:rsid w:val="00890E72"/>
    <w:rsid w:val="008968A2"/>
    <w:rsid w:val="00896F41"/>
    <w:rsid w:val="008B5C01"/>
    <w:rsid w:val="008C3664"/>
    <w:rsid w:val="008C754A"/>
    <w:rsid w:val="008D0DFA"/>
    <w:rsid w:val="008D3677"/>
    <w:rsid w:val="008D3939"/>
    <w:rsid w:val="008D5976"/>
    <w:rsid w:val="008D636A"/>
    <w:rsid w:val="008E0A48"/>
    <w:rsid w:val="008E1E57"/>
    <w:rsid w:val="008E35A0"/>
    <w:rsid w:val="008E4FFC"/>
    <w:rsid w:val="008F1518"/>
    <w:rsid w:val="008F15D4"/>
    <w:rsid w:val="008F1C04"/>
    <w:rsid w:val="008F5EC0"/>
    <w:rsid w:val="008F7278"/>
    <w:rsid w:val="00906037"/>
    <w:rsid w:val="00912757"/>
    <w:rsid w:val="009142C2"/>
    <w:rsid w:val="00916BD5"/>
    <w:rsid w:val="00920FCB"/>
    <w:rsid w:val="009243BE"/>
    <w:rsid w:val="00936F3F"/>
    <w:rsid w:val="00940677"/>
    <w:rsid w:val="0095301A"/>
    <w:rsid w:val="00955064"/>
    <w:rsid w:val="009579D2"/>
    <w:rsid w:val="00962B01"/>
    <w:rsid w:val="009664B1"/>
    <w:rsid w:val="00971773"/>
    <w:rsid w:val="00985675"/>
    <w:rsid w:val="00986E97"/>
    <w:rsid w:val="009870A3"/>
    <w:rsid w:val="00990D54"/>
    <w:rsid w:val="0099409D"/>
    <w:rsid w:val="00994777"/>
    <w:rsid w:val="00997863"/>
    <w:rsid w:val="009A1362"/>
    <w:rsid w:val="009A7CE3"/>
    <w:rsid w:val="009C20C9"/>
    <w:rsid w:val="009C61FB"/>
    <w:rsid w:val="009D1228"/>
    <w:rsid w:val="009D74EC"/>
    <w:rsid w:val="009E2B6A"/>
    <w:rsid w:val="009E2C11"/>
    <w:rsid w:val="009E4B4A"/>
    <w:rsid w:val="009E63B9"/>
    <w:rsid w:val="009F03C5"/>
    <w:rsid w:val="009F334C"/>
    <w:rsid w:val="009F4D7B"/>
    <w:rsid w:val="009F5595"/>
    <w:rsid w:val="00A01544"/>
    <w:rsid w:val="00A03039"/>
    <w:rsid w:val="00A03B32"/>
    <w:rsid w:val="00A124E7"/>
    <w:rsid w:val="00A12FB9"/>
    <w:rsid w:val="00A141AC"/>
    <w:rsid w:val="00A36989"/>
    <w:rsid w:val="00A474FF"/>
    <w:rsid w:val="00A542E7"/>
    <w:rsid w:val="00A5444A"/>
    <w:rsid w:val="00A5491E"/>
    <w:rsid w:val="00A60F68"/>
    <w:rsid w:val="00A62914"/>
    <w:rsid w:val="00A62F86"/>
    <w:rsid w:val="00A70459"/>
    <w:rsid w:val="00A77603"/>
    <w:rsid w:val="00A80B8A"/>
    <w:rsid w:val="00A8178F"/>
    <w:rsid w:val="00A86549"/>
    <w:rsid w:val="00A9085C"/>
    <w:rsid w:val="00A913EC"/>
    <w:rsid w:val="00A962AE"/>
    <w:rsid w:val="00A965D5"/>
    <w:rsid w:val="00A966EC"/>
    <w:rsid w:val="00AB5309"/>
    <w:rsid w:val="00AB76FB"/>
    <w:rsid w:val="00AC5F64"/>
    <w:rsid w:val="00AD7D64"/>
    <w:rsid w:val="00AE0271"/>
    <w:rsid w:val="00AE212D"/>
    <w:rsid w:val="00AE4647"/>
    <w:rsid w:val="00AE52B7"/>
    <w:rsid w:val="00AE55B8"/>
    <w:rsid w:val="00B02BD5"/>
    <w:rsid w:val="00B04FB7"/>
    <w:rsid w:val="00B050A3"/>
    <w:rsid w:val="00B07AE6"/>
    <w:rsid w:val="00B1368B"/>
    <w:rsid w:val="00B1594B"/>
    <w:rsid w:val="00B16850"/>
    <w:rsid w:val="00B16B51"/>
    <w:rsid w:val="00B24A3F"/>
    <w:rsid w:val="00B263C3"/>
    <w:rsid w:val="00B33074"/>
    <w:rsid w:val="00B425A6"/>
    <w:rsid w:val="00B449B1"/>
    <w:rsid w:val="00B46A26"/>
    <w:rsid w:val="00B5138B"/>
    <w:rsid w:val="00B5681D"/>
    <w:rsid w:val="00B6155A"/>
    <w:rsid w:val="00B659AD"/>
    <w:rsid w:val="00B762A2"/>
    <w:rsid w:val="00B85F91"/>
    <w:rsid w:val="00B8671B"/>
    <w:rsid w:val="00B9194F"/>
    <w:rsid w:val="00B93938"/>
    <w:rsid w:val="00BA198E"/>
    <w:rsid w:val="00BB4AD1"/>
    <w:rsid w:val="00BB789E"/>
    <w:rsid w:val="00BC2EA2"/>
    <w:rsid w:val="00BC56F0"/>
    <w:rsid w:val="00BC68C3"/>
    <w:rsid w:val="00BC7C2C"/>
    <w:rsid w:val="00BD48FB"/>
    <w:rsid w:val="00BE241D"/>
    <w:rsid w:val="00BE332E"/>
    <w:rsid w:val="00BE404E"/>
    <w:rsid w:val="00BF0263"/>
    <w:rsid w:val="00BF2A51"/>
    <w:rsid w:val="00BF3A85"/>
    <w:rsid w:val="00BF7AD5"/>
    <w:rsid w:val="00C002ED"/>
    <w:rsid w:val="00C074C2"/>
    <w:rsid w:val="00C134CE"/>
    <w:rsid w:val="00C2200A"/>
    <w:rsid w:val="00C27876"/>
    <w:rsid w:val="00C346D5"/>
    <w:rsid w:val="00C34EDE"/>
    <w:rsid w:val="00C37583"/>
    <w:rsid w:val="00C37EB2"/>
    <w:rsid w:val="00C437C3"/>
    <w:rsid w:val="00C47D26"/>
    <w:rsid w:val="00C47E1E"/>
    <w:rsid w:val="00C50627"/>
    <w:rsid w:val="00C51F88"/>
    <w:rsid w:val="00C554C1"/>
    <w:rsid w:val="00C67A85"/>
    <w:rsid w:val="00C77FAD"/>
    <w:rsid w:val="00C80B32"/>
    <w:rsid w:val="00C8521A"/>
    <w:rsid w:val="00C85B1B"/>
    <w:rsid w:val="00C86B3B"/>
    <w:rsid w:val="00C86CEE"/>
    <w:rsid w:val="00C871D9"/>
    <w:rsid w:val="00C90CC5"/>
    <w:rsid w:val="00C92D8A"/>
    <w:rsid w:val="00C95193"/>
    <w:rsid w:val="00CA1463"/>
    <w:rsid w:val="00CA3CA8"/>
    <w:rsid w:val="00CB21BA"/>
    <w:rsid w:val="00CB45F2"/>
    <w:rsid w:val="00CB65CA"/>
    <w:rsid w:val="00CB7924"/>
    <w:rsid w:val="00CD27BA"/>
    <w:rsid w:val="00CD5060"/>
    <w:rsid w:val="00CD70F2"/>
    <w:rsid w:val="00CE1BFF"/>
    <w:rsid w:val="00CE6520"/>
    <w:rsid w:val="00CF1BF8"/>
    <w:rsid w:val="00CF6648"/>
    <w:rsid w:val="00D02DCD"/>
    <w:rsid w:val="00D10A7A"/>
    <w:rsid w:val="00D153CB"/>
    <w:rsid w:val="00D20C9A"/>
    <w:rsid w:val="00D24585"/>
    <w:rsid w:val="00D25AD6"/>
    <w:rsid w:val="00D2680D"/>
    <w:rsid w:val="00D27824"/>
    <w:rsid w:val="00D328B3"/>
    <w:rsid w:val="00D32D8A"/>
    <w:rsid w:val="00D3348B"/>
    <w:rsid w:val="00D34425"/>
    <w:rsid w:val="00D350B2"/>
    <w:rsid w:val="00D412B0"/>
    <w:rsid w:val="00D51D47"/>
    <w:rsid w:val="00D535C0"/>
    <w:rsid w:val="00D62119"/>
    <w:rsid w:val="00D62483"/>
    <w:rsid w:val="00D73ADF"/>
    <w:rsid w:val="00D746BC"/>
    <w:rsid w:val="00D762FC"/>
    <w:rsid w:val="00D83662"/>
    <w:rsid w:val="00D90F87"/>
    <w:rsid w:val="00D93473"/>
    <w:rsid w:val="00DA0984"/>
    <w:rsid w:val="00DA0EC4"/>
    <w:rsid w:val="00DA1F06"/>
    <w:rsid w:val="00DA2E16"/>
    <w:rsid w:val="00DA63B2"/>
    <w:rsid w:val="00DB3C2C"/>
    <w:rsid w:val="00DB6DE6"/>
    <w:rsid w:val="00DC3950"/>
    <w:rsid w:val="00DC3B1D"/>
    <w:rsid w:val="00DC794F"/>
    <w:rsid w:val="00DD0527"/>
    <w:rsid w:val="00DE162D"/>
    <w:rsid w:val="00DE3C15"/>
    <w:rsid w:val="00DF0E46"/>
    <w:rsid w:val="00DF1713"/>
    <w:rsid w:val="00DF25EE"/>
    <w:rsid w:val="00DF385D"/>
    <w:rsid w:val="00DF386C"/>
    <w:rsid w:val="00DF609C"/>
    <w:rsid w:val="00E02900"/>
    <w:rsid w:val="00E02C71"/>
    <w:rsid w:val="00E11DC0"/>
    <w:rsid w:val="00E16F06"/>
    <w:rsid w:val="00E21F63"/>
    <w:rsid w:val="00E236BE"/>
    <w:rsid w:val="00E26FCD"/>
    <w:rsid w:val="00E35D54"/>
    <w:rsid w:val="00E42823"/>
    <w:rsid w:val="00E4585D"/>
    <w:rsid w:val="00E5002F"/>
    <w:rsid w:val="00E51886"/>
    <w:rsid w:val="00E51B70"/>
    <w:rsid w:val="00E524DA"/>
    <w:rsid w:val="00E62AFA"/>
    <w:rsid w:val="00E63201"/>
    <w:rsid w:val="00E64ADC"/>
    <w:rsid w:val="00E655BD"/>
    <w:rsid w:val="00E718AF"/>
    <w:rsid w:val="00E71A75"/>
    <w:rsid w:val="00E729C0"/>
    <w:rsid w:val="00E733AD"/>
    <w:rsid w:val="00E82827"/>
    <w:rsid w:val="00E863E9"/>
    <w:rsid w:val="00E90598"/>
    <w:rsid w:val="00E91334"/>
    <w:rsid w:val="00EA01A8"/>
    <w:rsid w:val="00EA2436"/>
    <w:rsid w:val="00EA4BA6"/>
    <w:rsid w:val="00EA6867"/>
    <w:rsid w:val="00EA6C06"/>
    <w:rsid w:val="00EB20DF"/>
    <w:rsid w:val="00EB20E6"/>
    <w:rsid w:val="00EB4097"/>
    <w:rsid w:val="00EB5572"/>
    <w:rsid w:val="00ED54C5"/>
    <w:rsid w:val="00ED63E2"/>
    <w:rsid w:val="00ED644D"/>
    <w:rsid w:val="00EF1270"/>
    <w:rsid w:val="00EF1D81"/>
    <w:rsid w:val="00EF6102"/>
    <w:rsid w:val="00EF6E37"/>
    <w:rsid w:val="00F02D0F"/>
    <w:rsid w:val="00F12BCC"/>
    <w:rsid w:val="00F138A1"/>
    <w:rsid w:val="00F156BD"/>
    <w:rsid w:val="00F21DB1"/>
    <w:rsid w:val="00F237D1"/>
    <w:rsid w:val="00F239AD"/>
    <w:rsid w:val="00F23D24"/>
    <w:rsid w:val="00F273F0"/>
    <w:rsid w:val="00F3285C"/>
    <w:rsid w:val="00F34CFE"/>
    <w:rsid w:val="00F368C2"/>
    <w:rsid w:val="00F37EA0"/>
    <w:rsid w:val="00F44755"/>
    <w:rsid w:val="00F4530F"/>
    <w:rsid w:val="00F4544F"/>
    <w:rsid w:val="00F50F72"/>
    <w:rsid w:val="00F539FF"/>
    <w:rsid w:val="00F54261"/>
    <w:rsid w:val="00F626BD"/>
    <w:rsid w:val="00F63740"/>
    <w:rsid w:val="00F70727"/>
    <w:rsid w:val="00F744CE"/>
    <w:rsid w:val="00F90A73"/>
    <w:rsid w:val="00F94B78"/>
    <w:rsid w:val="00F95985"/>
    <w:rsid w:val="00F97F6F"/>
    <w:rsid w:val="00FA28B2"/>
    <w:rsid w:val="00FA683B"/>
    <w:rsid w:val="00FB07F1"/>
    <w:rsid w:val="00FB324D"/>
    <w:rsid w:val="00FB698F"/>
    <w:rsid w:val="00FD30A4"/>
    <w:rsid w:val="00FE23B6"/>
    <w:rsid w:val="00FE23D2"/>
    <w:rsid w:val="00FF2545"/>
    <w:rsid w:val="00FF29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D0A807"/>
  <w15:docId w15:val="{60AB35D6-5078-4AD1-B264-3ED9F2E2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uiPriority="2"/>
    <w:lsdException w:name="heading 6" w:uiPriority="2"/>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 w:unhideWhenUsed="1"/>
    <w:lsdException w:name="line number" w:semiHidden="1" w:uiPriority="2"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2"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uiPriority w:val="1"/>
    <w:qFormat/>
    <w:rsid w:val="00C8521A"/>
    <w:pPr>
      <w:suppressAutoHyphens/>
      <w:spacing w:before="60" w:after="60"/>
      <w:jc w:val="both"/>
    </w:pPr>
    <w:rPr>
      <w:rFonts w:asciiTheme="minorHAnsi" w:hAnsiTheme="minorHAnsi"/>
      <w:lang w:eastAsia="en-US"/>
    </w:rPr>
  </w:style>
  <w:style w:type="paragraph" w:styleId="Heading1">
    <w:name w:val="heading 1"/>
    <w:basedOn w:val="Normal"/>
    <w:next w:val="BodyText"/>
    <w:link w:val="Heading1Char"/>
    <w:qFormat/>
    <w:rsid w:val="008E4FFC"/>
    <w:pPr>
      <w:keepNext/>
      <w:keepLines/>
      <w:pageBreakBefore/>
      <w:numPr>
        <w:numId w:val="35"/>
      </w:numPr>
      <w:tabs>
        <w:tab w:val="clear" w:pos="1701"/>
        <w:tab w:val="left" w:pos="851"/>
      </w:tabs>
      <w:spacing w:after="240"/>
      <w:ind w:left="851" w:hanging="851"/>
      <w:outlineLvl w:val="0"/>
    </w:pPr>
    <w:rPr>
      <w:rFonts w:asciiTheme="majorHAnsi" w:hAnsiTheme="majorHAnsi"/>
      <w:b/>
      <w:caps/>
      <w:noProof/>
      <w:color w:val="00243A"/>
      <w:kern w:val="28"/>
      <w:sz w:val="24"/>
    </w:rPr>
  </w:style>
  <w:style w:type="paragraph" w:styleId="Heading2">
    <w:name w:val="heading 2"/>
    <w:basedOn w:val="Normal"/>
    <w:next w:val="BodyText"/>
    <w:link w:val="Heading2Char"/>
    <w:qFormat/>
    <w:rsid w:val="00F44755"/>
    <w:pPr>
      <w:keepNext/>
      <w:keepLines/>
      <w:numPr>
        <w:ilvl w:val="1"/>
        <w:numId w:val="35"/>
      </w:numPr>
      <w:tabs>
        <w:tab w:val="left" w:pos="851"/>
      </w:tabs>
      <w:spacing w:before="360" w:after="240"/>
      <w:outlineLvl w:val="1"/>
    </w:pPr>
    <w:rPr>
      <w:rFonts w:asciiTheme="majorHAnsi" w:hAnsiTheme="majorHAnsi"/>
      <w:b/>
      <w:color w:val="00243A"/>
    </w:rPr>
  </w:style>
  <w:style w:type="paragraph" w:styleId="Heading3">
    <w:name w:val="heading 3"/>
    <w:basedOn w:val="Normal"/>
    <w:next w:val="BodyText"/>
    <w:qFormat/>
    <w:rsid w:val="00DC3950"/>
    <w:pPr>
      <w:keepNext/>
      <w:keepLines/>
      <w:numPr>
        <w:ilvl w:val="2"/>
        <w:numId w:val="35"/>
      </w:numPr>
      <w:tabs>
        <w:tab w:val="left" w:pos="851"/>
      </w:tabs>
      <w:spacing w:before="360" w:after="240"/>
      <w:outlineLvl w:val="2"/>
    </w:pPr>
    <w:rPr>
      <w:rFonts w:asciiTheme="majorHAnsi" w:hAnsiTheme="majorHAnsi"/>
      <w:color w:val="003656" w:themeColor="accent4" w:themeTint="E6"/>
      <w:u w:val="single"/>
    </w:rPr>
  </w:style>
  <w:style w:type="paragraph" w:styleId="Heading4">
    <w:name w:val="heading 4"/>
    <w:basedOn w:val="Normal"/>
    <w:next w:val="BodyText"/>
    <w:qFormat/>
    <w:rsid w:val="003C404F"/>
    <w:pPr>
      <w:keepNext/>
      <w:keepLines/>
      <w:numPr>
        <w:ilvl w:val="3"/>
        <w:numId w:val="35"/>
      </w:numPr>
      <w:tabs>
        <w:tab w:val="left" w:pos="851"/>
      </w:tabs>
      <w:spacing w:before="240" w:after="240"/>
      <w:outlineLvl w:val="3"/>
    </w:pPr>
    <w:rPr>
      <w:rFonts w:asciiTheme="majorHAnsi" w:hAnsiTheme="majorHAnsi"/>
    </w:rPr>
  </w:style>
  <w:style w:type="paragraph" w:styleId="Heading5">
    <w:name w:val="heading 5"/>
    <w:basedOn w:val="Normal"/>
    <w:next w:val="NormalIndent"/>
    <w:uiPriority w:val="2"/>
    <w:rsid w:val="009F5595"/>
    <w:pPr>
      <w:numPr>
        <w:ilvl w:val="4"/>
        <w:numId w:val="35"/>
      </w:numPr>
      <w:tabs>
        <w:tab w:val="left" w:pos="2268"/>
      </w:tabs>
      <w:spacing w:before="240"/>
      <w:outlineLvl w:val="4"/>
    </w:pPr>
  </w:style>
  <w:style w:type="paragraph" w:styleId="Heading6">
    <w:name w:val="heading 6"/>
    <w:basedOn w:val="Normal"/>
    <w:next w:val="Normal"/>
    <w:uiPriority w:val="2"/>
    <w:rsid w:val="009F5595"/>
    <w:pPr>
      <w:numPr>
        <w:ilvl w:val="5"/>
        <w:numId w:val="35"/>
      </w:numPr>
      <w:spacing w:before="240"/>
      <w:outlineLvl w:val="5"/>
    </w:pPr>
    <w:rPr>
      <w:i/>
      <w:sz w:val="22"/>
    </w:rPr>
  </w:style>
  <w:style w:type="paragraph" w:styleId="Heading7">
    <w:name w:val="heading 7"/>
    <w:basedOn w:val="Normal"/>
    <w:next w:val="Normal"/>
    <w:uiPriority w:val="2"/>
    <w:rsid w:val="009F5595"/>
    <w:pPr>
      <w:numPr>
        <w:ilvl w:val="6"/>
        <w:numId w:val="35"/>
      </w:numPr>
      <w:spacing w:before="240"/>
      <w:outlineLvl w:val="6"/>
    </w:pPr>
  </w:style>
  <w:style w:type="paragraph" w:styleId="Heading8">
    <w:name w:val="heading 8"/>
    <w:aliases w:val="E. 1 Heading 8"/>
    <w:basedOn w:val="Normal"/>
    <w:next w:val="Normal"/>
    <w:uiPriority w:val="2"/>
    <w:rsid w:val="009F5595"/>
    <w:pPr>
      <w:numPr>
        <w:ilvl w:val="7"/>
        <w:numId w:val="35"/>
      </w:numPr>
      <w:spacing w:before="240"/>
      <w:outlineLvl w:val="7"/>
    </w:pPr>
    <w:rPr>
      <w:i/>
    </w:rPr>
  </w:style>
  <w:style w:type="paragraph" w:styleId="Heading9">
    <w:name w:val="heading 9"/>
    <w:basedOn w:val="Normal"/>
    <w:next w:val="Normal"/>
    <w:uiPriority w:val="2"/>
    <w:rsid w:val="009F5595"/>
    <w:pPr>
      <w:numPr>
        <w:ilvl w:val="8"/>
        <w:numId w:val="35"/>
      </w:numPr>
      <w:spacing w:before="24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70459"/>
    <w:pPr>
      <w:suppressAutoHyphens w:val="0"/>
      <w:spacing w:before="240" w:after="0" w:line="264" w:lineRule="auto"/>
      <w:ind w:left="851"/>
    </w:pPr>
  </w:style>
  <w:style w:type="paragraph" w:styleId="NormalIndent">
    <w:name w:val="Normal Indent"/>
    <w:basedOn w:val="Normal"/>
    <w:uiPriority w:val="2"/>
    <w:rsid w:val="00B6155A"/>
    <w:pPr>
      <w:ind w:left="1771"/>
    </w:pPr>
  </w:style>
  <w:style w:type="paragraph" w:styleId="TOC2">
    <w:name w:val="toc 2"/>
    <w:basedOn w:val="Normal"/>
    <w:next w:val="Normal"/>
    <w:uiPriority w:val="39"/>
    <w:rsid w:val="0053157C"/>
    <w:pPr>
      <w:tabs>
        <w:tab w:val="left" w:pos="1134"/>
        <w:tab w:val="right" w:pos="9072"/>
      </w:tabs>
      <w:ind w:left="1134" w:right="567" w:hanging="567"/>
    </w:pPr>
    <w:rPr>
      <w:noProof/>
    </w:rPr>
  </w:style>
  <w:style w:type="paragraph" w:styleId="TOC1">
    <w:name w:val="toc 1"/>
    <w:basedOn w:val="Normal"/>
    <w:next w:val="Normal"/>
    <w:uiPriority w:val="39"/>
    <w:rsid w:val="0053157C"/>
    <w:pPr>
      <w:tabs>
        <w:tab w:val="left" w:pos="567"/>
        <w:tab w:val="right" w:pos="9072"/>
      </w:tabs>
      <w:spacing w:before="240"/>
      <w:ind w:left="567" w:right="567" w:hanging="567"/>
    </w:pPr>
    <w:rPr>
      <w:b/>
      <w:noProof/>
    </w:rPr>
  </w:style>
  <w:style w:type="paragraph" w:styleId="Header">
    <w:name w:val="header"/>
    <w:basedOn w:val="Normal"/>
    <w:uiPriority w:val="2"/>
    <w:rsid w:val="00301585"/>
    <w:pPr>
      <w:keepLines/>
      <w:pBdr>
        <w:top w:val="single" w:sz="6" w:space="6" w:color="004553" w:themeColor="text2"/>
        <w:bottom w:val="single" w:sz="2" w:space="6" w:color="DBD3CC" w:themeColor="background1" w:themeShade="D9"/>
      </w:pBdr>
      <w:suppressAutoHyphens w:val="0"/>
      <w:spacing w:after="240"/>
      <w:contextualSpacing/>
      <w:jc w:val="right"/>
    </w:pPr>
    <w:rPr>
      <w:color w:val="004553" w:themeColor="text2"/>
    </w:rPr>
  </w:style>
  <w:style w:type="paragraph" w:styleId="Footer">
    <w:name w:val="footer"/>
    <w:basedOn w:val="Normal"/>
    <w:link w:val="FooterChar"/>
    <w:uiPriority w:val="99"/>
    <w:rsid w:val="0053157C"/>
    <w:pPr>
      <w:keepLines/>
      <w:pBdr>
        <w:top w:val="single" w:sz="6" w:space="6" w:color="004553" w:themeColor="text2"/>
      </w:pBdr>
      <w:tabs>
        <w:tab w:val="center" w:pos="4536"/>
        <w:tab w:val="right" w:pos="9072"/>
      </w:tabs>
      <w:suppressAutoHyphens w:val="0"/>
      <w:spacing w:before="240"/>
    </w:pPr>
    <w:rPr>
      <w:color w:val="004553" w:themeColor="text2"/>
      <w:sz w:val="16"/>
    </w:rPr>
  </w:style>
  <w:style w:type="character" w:styleId="PageNumber">
    <w:name w:val="page number"/>
    <w:basedOn w:val="DefaultParagraphFont"/>
    <w:uiPriority w:val="2"/>
    <w:rsid w:val="00B6155A"/>
  </w:style>
  <w:style w:type="paragraph" w:styleId="TOC3">
    <w:name w:val="toc 3"/>
    <w:basedOn w:val="Normal"/>
    <w:next w:val="Normal"/>
    <w:uiPriority w:val="2"/>
    <w:semiHidden/>
    <w:rsid w:val="00B6155A"/>
    <w:pPr>
      <w:tabs>
        <w:tab w:val="right" w:pos="9072"/>
      </w:tabs>
      <w:ind w:left="3402" w:hanging="1134"/>
    </w:pPr>
  </w:style>
  <w:style w:type="paragraph" w:styleId="TOC4">
    <w:name w:val="toc 4"/>
    <w:basedOn w:val="Normal"/>
    <w:next w:val="Normal"/>
    <w:uiPriority w:val="2"/>
    <w:semiHidden/>
    <w:rsid w:val="00B6155A"/>
    <w:pPr>
      <w:tabs>
        <w:tab w:val="right" w:leader="dot" w:pos="9101"/>
      </w:tabs>
      <w:ind w:left="600"/>
    </w:pPr>
  </w:style>
  <w:style w:type="paragraph" w:styleId="ListBullet">
    <w:name w:val="List Bullet"/>
    <w:basedOn w:val="Normal"/>
    <w:uiPriority w:val="2"/>
    <w:rsid w:val="00B6155A"/>
    <w:pPr>
      <w:numPr>
        <w:numId w:val="8"/>
      </w:numPr>
      <w:spacing w:before="120"/>
    </w:pPr>
    <w:rPr>
      <w:spacing w:val="-2"/>
    </w:rPr>
  </w:style>
  <w:style w:type="paragraph" w:customStyle="1" w:styleId="Appendix">
    <w:name w:val="Appendix"/>
    <w:basedOn w:val="Normal"/>
    <w:next w:val="Normal"/>
    <w:uiPriority w:val="2"/>
    <w:rsid w:val="00B6155A"/>
    <w:pPr>
      <w:numPr>
        <w:numId w:val="1"/>
      </w:numPr>
      <w:pBdr>
        <w:bottom w:val="single" w:sz="12" w:space="3" w:color="auto"/>
      </w:pBdr>
    </w:pPr>
    <w:rPr>
      <w:b/>
      <w:spacing w:val="-2"/>
      <w:sz w:val="24"/>
    </w:rPr>
  </w:style>
  <w:style w:type="paragraph" w:customStyle="1" w:styleId="NormalIndent3">
    <w:name w:val="Normal Indent3"/>
    <w:basedOn w:val="NormalIndent2"/>
    <w:uiPriority w:val="2"/>
    <w:rsid w:val="00B6155A"/>
    <w:pPr>
      <w:ind w:left="3240" w:hanging="1469"/>
    </w:pPr>
  </w:style>
  <w:style w:type="paragraph" w:customStyle="1" w:styleId="NormalIndent2">
    <w:name w:val="Normal Indent2"/>
    <w:basedOn w:val="NormalIndent"/>
    <w:uiPriority w:val="2"/>
    <w:rsid w:val="00B6155A"/>
    <w:pPr>
      <w:spacing w:after="240"/>
      <w:ind w:left="2491"/>
    </w:pPr>
  </w:style>
  <w:style w:type="paragraph" w:customStyle="1" w:styleId="Appendix2">
    <w:name w:val="Appendix2"/>
    <w:basedOn w:val="Normal"/>
    <w:next w:val="Normal"/>
    <w:uiPriority w:val="2"/>
    <w:rsid w:val="00B6155A"/>
    <w:pPr>
      <w:tabs>
        <w:tab w:val="left" w:pos="1771"/>
      </w:tabs>
    </w:pPr>
    <w:rPr>
      <w:b/>
      <w:spacing w:val="-2"/>
      <w:sz w:val="24"/>
    </w:rPr>
  </w:style>
  <w:style w:type="paragraph" w:customStyle="1" w:styleId="List10">
    <w:name w:val="List (1)"/>
    <w:basedOn w:val="Normal"/>
    <w:uiPriority w:val="2"/>
    <w:rsid w:val="00B6155A"/>
    <w:pPr>
      <w:numPr>
        <w:numId w:val="13"/>
      </w:numPr>
      <w:spacing w:before="120" w:line="264" w:lineRule="auto"/>
    </w:pPr>
    <w:rPr>
      <w:spacing w:val="-2"/>
    </w:rPr>
  </w:style>
  <w:style w:type="paragraph" w:customStyle="1" w:styleId="List-">
    <w:name w:val="List -"/>
    <w:basedOn w:val="ListBullet"/>
    <w:uiPriority w:val="2"/>
    <w:rsid w:val="00B6155A"/>
    <w:pPr>
      <w:numPr>
        <w:numId w:val="12"/>
      </w:numPr>
      <w:tabs>
        <w:tab w:val="left" w:pos="1701"/>
      </w:tabs>
      <w:spacing w:before="240"/>
      <w:ind w:left="0" w:firstLine="0"/>
    </w:pPr>
    <w:rPr>
      <w:snapToGrid w:val="0"/>
    </w:rPr>
  </w:style>
  <w:style w:type="paragraph" w:customStyle="1" w:styleId="List1">
    <w:name w:val="List 1."/>
    <w:basedOn w:val="List"/>
    <w:uiPriority w:val="2"/>
    <w:rsid w:val="00B6155A"/>
    <w:pPr>
      <w:numPr>
        <w:numId w:val="11"/>
      </w:numPr>
      <w:spacing w:before="120"/>
    </w:pPr>
  </w:style>
  <w:style w:type="paragraph" w:styleId="List">
    <w:name w:val="List"/>
    <w:basedOn w:val="Normal"/>
    <w:uiPriority w:val="2"/>
    <w:rsid w:val="00B6155A"/>
    <w:pPr>
      <w:ind w:left="360" w:hanging="360"/>
    </w:pPr>
  </w:style>
  <w:style w:type="paragraph" w:customStyle="1" w:styleId="Lista">
    <w:name w:val="List a)"/>
    <w:basedOn w:val="ListBullet"/>
    <w:uiPriority w:val="2"/>
    <w:rsid w:val="00B6155A"/>
    <w:pPr>
      <w:numPr>
        <w:numId w:val="6"/>
      </w:numPr>
      <w:tabs>
        <w:tab w:val="left" w:pos="2410"/>
      </w:tabs>
    </w:pPr>
    <w:rPr>
      <w:spacing w:val="0"/>
    </w:rPr>
  </w:style>
  <w:style w:type="paragraph" w:customStyle="1" w:styleId="Listi">
    <w:name w:val="List i)"/>
    <w:basedOn w:val="Lista"/>
    <w:uiPriority w:val="2"/>
    <w:rsid w:val="00B6155A"/>
  </w:style>
  <w:style w:type="paragraph" w:styleId="BodyTextIndent">
    <w:name w:val="Body Text Indent"/>
    <w:basedOn w:val="BodyText"/>
    <w:uiPriority w:val="2"/>
    <w:rsid w:val="00B6155A"/>
    <w:pPr>
      <w:ind w:left="2268"/>
    </w:pPr>
  </w:style>
  <w:style w:type="paragraph" w:customStyle="1" w:styleId="Underline">
    <w:name w:val="Underline"/>
    <w:basedOn w:val="Heading1"/>
    <w:next w:val="NormalIndent"/>
    <w:uiPriority w:val="2"/>
    <w:rsid w:val="00B6155A"/>
    <w:pPr>
      <w:numPr>
        <w:numId w:val="0"/>
      </w:numPr>
      <w:pBdr>
        <w:top w:val="single" w:sz="12" w:space="1" w:color="auto"/>
      </w:pBdr>
      <w:spacing w:after="120"/>
      <w:ind w:left="1771"/>
    </w:pPr>
    <w:rPr>
      <w:rFonts w:ascii="Arial" w:hAnsi="Arial"/>
      <w:b w:val="0"/>
      <w:sz w:val="20"/>
    </w:rPr>
  </w:style>
  <w:style w:type="paragraph" w:styleId="Caption">
    <w:name w:val="caption"/>
    <w:basedOn w:val="BodyText"/>
    <w:next w:val="BodyText"/>
    <w:uiPriority w:val="2"/>
    <w:qFormat/>
    <w:rsid w:val="00D328B3"/>
    <w:pPr>
      <w:keepLines/>
      <w:spacing w:before="120" w:after="360"/>
      <w:jc w:val="center"/>
    </w:pPr>
    <w:rPr>
      <w:b/>
      <w:color w:val="00243A"/>
    </w:rPr>
  </w:style>
  <w:style w:type="character" w:styleId="EndnoteReference">
    <w:name w:val="endnote reference"/>
    <w:uiPriority w:val="2"/>
    <w:semiHidden/>
    <w:rsid w:val="00B6155A"/>
    <w:rPr>
      <w:rFonts w:ascii="Arial" w:hAnsi="Arial"/>
      <w:dstrike w:val="0"/>
      <w:color w:val="auto"/>
      <w:sz w:val="20"/>
      <w:vertAlign w:val="baseline"/>
    </w:rPr>
  </w:style>
  <w:style w:type="paragraph" w:styleId="EndnoteText">
    <w:name w:val="endnote text"/>
    <w:basedOn w:val="BodyText"/>
    <w:uiPriority w:val="2"/>
    <w:semiHidden/>
    <w:rsid w:val="000F6DB6"/>
    <w:pPr>
      <w:tabs>
        <w:tab w:val="left" w:pos="1276"/>
      </w:tabs>
      <w:ind w:left="1276" w:hanging="425"/>
      <w:jc w:val="left"/>
    </w:pPr>
  </w:style>
  <w:style w:type="paragraph" w:customStyle="1" w:styleId="Footer-landscape">
    <w:name w:val="Footer- landscape"/>
    <w:basedOn w:val="Footer"/>
    <w:uiPriority w:val="2"/>
    <w:rsid w:val="00B6155A"/>
    <w:pPr>
      <w:tabs>
        <w:tab w:val="center" w:pos="7200"/>
        <w:tab w:val="right" w:pos="14400"/>
      </w:tabs>
    </w:pPr>
  </w:style>
  <w:style w:type="paragraph" w:customStyle="1" w:styleId="Header-landscape">
    <w:name w:val="Header - landscape"/>
    <w:basedOn w:val="Header"/>
    <w:uiPriority w:val="2"/>
    <w:rsid w:val="00B6155A"/>
    <w:pPr>
      <w:tabs>
        <w:tab w:val="right" w:pos="14490"/>
      </w:tabs>
    </w:pPr>
  </w:style>
  <w:style w:type="paragraph" w:customStyle="1" w:styleId="Notetotable">
    <w:name w:val="Note to table"/>
    <w:basedOn w:val="BodyText"/>
    <w:next w:val="BodyText"/>
    <w:uiPriority w:val="2"/>
    <w:rsid w:val="00B6155A"/>
    <w:pPr>
      <w:spacing w:before="120"/>
      <w:ind w:left="1571" w:hanging="720"/>
      <w:jc w:val="left"/>
    </w:pPr>
  </w:style>
  <w:style w:type="paragraph" w:styleId="DocumentMap">
    <w:name w:val="Document Map"/>
    <w:basedOn w:val="Normal"/>
    <w:uiPriority w:val="2"/>
    <w:semiHidden/>
    <w:rsid w:val="00B6155A"/>
    <w:pPr>
      <w:shd w:val="clear" w:color="auto" w:fill="000080"/>
    </w:pPr>
    <w:rPr>
      <w:rFonts w:ascii="Tahoma" w:hAnsi="Tahoma"/>
    </w:rPr>
  </w:style>
  <w:style w:type="paragraph" w:customStyle="1" w:styleId="Wheredefinevariables">
    <w:name w:val="Where: (define variables)"/>
    <w:basedOn w:val="BodyText"/>
    <w:uiPriority w:val="2"/>
    <w:rsid w:val="00B6155A"/>
    <w:pPr>
      <w:tabs>
        <w:tab w:val="left" w:pos="1080"/>
        <w:tab w:val="left" w:pos="1800"/>
        <w:tab w:val="left" w:pos="2160"/>
        <w:tab w:val="right" w:pos="8640"/>
      </w:tabs>
      <w:spacing w:before="120"/>
      <w:ind w:left="2160" w:hanging="2160"/>
      <w:jc w:val="left"/>
    </w:pPr>
  </w:style>
  <w:style w:type="paragraph" w:customStyle="1" w:styleId="TitleBoxFrame">
    <w:name w:val="TitleBoxFrame"/>
    <w:basedOn w:val="Normal"/>
    <w:uiPriority w:val="2"/>
    <w:rsid w:val="00B6155A"/>
    <w:pPr>
      <w:framePr w:w="5400" w:h="878" w:hSpace="187" w:wrap="around" w:vAnchor="text" w:hAnchor="page" w:x="1434" w:y="1287"/>
    </w:pPr>
    <w:rPr>
      <w:b/>
      <w:i/>
      <w:sz w:val="44"/>
    </w:rPr>
  </w:style>
  <w:style w:type="paragraph" w:customStyle="1" w:styleId="TitleBox">
    <w:name w:val="TitleBox"/>
    <w:basedOn w:val="Normal"/>
    <w:uiPriority w:val="2"/>
    <w:rsid w:val="00B6155A"/>
    <w:pPr>
      <w:framePr w:w="5751" w:h="4681" w:hSpace="187" w:wrap="around" w:vAnchor="text" w:hAnchor="page" w:x="1269" w:y="3328"/>
    </w:pPr>
    <w:rPr>
      <w:b/>
      <w:i/>
      <w:sz w:val="64"/>
    </w:rPr>
  </w:style>
  <w:style w:type="paragraph" w:customStyle="1" w:styleId="TitleBox0">
    <w:name w:val="Title Box"/>
    <w:basedOn w:val="Header"/>
    <w:uiPriority w:val="2"/>
    <w:rsid w:val="00B6155A"/>
    <w:pPr>
      <w:tabs>
        <w:tab w:val="left" w:pos="3211"/>
        <w:tab w:val="left" w:pos="3931"/>
        <w:tab w:val="left" w:pos="4651"/>
      </w:tabs>
    </w:pPr>
    <w:rPr>
      <w:i/>
      <w:sz w:val="64"/>
    </w:rPr>
  </w:style>
  <w:style w:type="paragraph" w:customStyle="1" w:styleId="RevisionBox">
    <w:name w:val="Revision Box"/>
    <w:basedOn w:val="Normal"/>
    <w:uiPriority w:val="2"/>
    <w:rsid w:val="00B6155A"/>
    <w:pPr>
      <w:framePr w:h="1207" w:hRule="exact" w:hSpace="187" w:wrap="around" w:vAnchor="page" w:hAnchor="page" w:x="1869" w:y="14545"/>
      <w:spacing w:before="20" w:after="20"/>
    </w:pPr>
    <w:rPr>
      <w:b/>
      <w:sz w:val="16"/>
    </w:rPr>
  </w:style>
  <w:style w:type="paragraph" w:customStyle="1" w:styleId="ListLetter">
    <w:name w:val="List Letter"/>
    <w:basedOn w:val="List"/>
    <w:uiPriority w:val="2"/>
    <w:rsid w:val="00B6155A"/>
    <w:pPr>
      <w:keepLines/>
      <w:numPr>
        <w:numId w:val="7"/>
      </w:numPr>
      <w:spacing w:before="120" w:line="264" w:lineRule="auto"/>
    </w:pPr>
  </w:style>
  <w:style w:type="paragraph" w:customStyle="1" w:styleId="Table">
    <w:name w:val="Table"/>
    <w:basedOn w:val="BodyText"/>
    <w:uiPriority w:val="2"/>
    <w:rsid w:val="00E71A75"/>
    <w:pPr>
      <w:keepLines/>
      <w:tabs>
        <w:tab w:val="left" w:pos="-720"/>
      </w:tabs>
      <w:spacing w:before="30" w:after="30"/>
      <w:ind w:left="0"/>
      <w:jc w:val="center"/>
    </w:pPr>
    <w:rPr>
      <w:sz w:val="18"/>
    </w:rPr>
  </w:style>
  <w:style w:type="paragraph" w:customStyle="1" w:styleId="ListBullets">
    <w:name w:val="List Bullets"/>
    <w:basedOn w:val="Normal"/>
    <w:uiPriority w:val="2"/>
    <w:rsid w:val="00B6155A"/>
    <w:pPr>
      <w:keepLines/>
      <w:numPr>
        <w:ilvl w:val="1"/>
        <w:numId w:val="10"/>
      </w:numPr>
      <w:tabs>
        <w:tab w:val="left" w:pos="3402"/>
      </w:tabs>
      <w:spacing w:before="120" w:line="264" w:lineRule="auto"/>
    </w:pPr>
  </w:style>
  <w:style w:type="paragraph" w:styleId="TOC5">
    <w:name w:val="toc 5"/>
    <w:basedOn w:val="Normal"/>
    <w:next w:val="Normal"/>
    <w:autoRedefine/>
    <w:uiPriority w:val="2"/>
    <w:semiHidden/>
    <w:rsid w:val="00B6155A"/>
    <w:pPr>
      <w:ind w:left="800"/>
    </w:pPr>
  </w:style>
  <w:style w:type="paragraph" w:styleId="TOC6">
    <w:name w:val="toc 6"/>
    <w:basedOn w:val="Normal"/>
    <w:next w:val="Normal"/>
    <w:autoRedefine/>
    <w:uiPriority w:val="2"/>
    <w:semiHidden/>
    <w:rsid w:val="00B6155A"/>
    <w:pPr>
      <w:ind w:left="1000"/>
    </w:pPr>
  </w:style>
  <w:style w:type="paragraph" w:styleId="TOC7">
    <w:name w:val="toc 7"/>
    <w:basedOn w:val="Normal"/>
    <w:next w:val="Normal"/>
    <w:autoRedefine/>
    <w:uiPriority w:val="2"/>
    <w:semiHidden/>
    <w:rsid w:val="00B6155A"/>
    <w:pPr>
      <w:ind w:left="1200"/>
    </w:pPr>
  </w:style>
  <w:style w:type="paragraph" w:styleId="TOC8">
    <w:name w:val="toc 8"/>
    <w:basedOn w:val="Normal"/>
    <w:next w:val="Normal"/>
    <w:autoRedefine/>
    <w:uiPriority w:val="2"/>
    <w:semiHidden/>
    <w:rsid w:val="00B6155A"/>
    <w:pPr>
      <w:ind w:left="1400"/>
    </w:pPr>
  </w:style>
  <w:style w:type="paragraph" w:styleId="TOC9">
    <w:name w:val="toc 9"/>
    <w:basedOn w:val="Normal"/>
    <w:next w:val="Normal"/>
    <w:autoRedefine/>
    <w:uiPriority w:val="2"/>
    <w:semiHidden/>
    <w:rsid w:val="00B6155A"/>
    <w:pPr>
      <w:ind w:left="1600"/>
    </w:pPr>
  </w:style>
  <w:style w:type="character" w:styleId="Hyperlink">
    <w:name w:val="Hyperlink"/>
    <w:basedOn w:val="DefaultParagraphFont"/>
    <w:uiPriority w:val="99"/>
    <w:rsid w:val="00B6155A"/>
    <w:rPr>
      <w:color w:val="0000FF"/>
      <w:u w:val="single"/>
    </w:rPr>
  </w:style>
  <w:style w:type="paragraph" w:styleId="BlockText">
    <w:name w:val="Block Text"/>
    <w:basedOn w:val="Normal"/>
    <w:uiPriority w:val="2"/>
    <w:rsid w:val="00B6155A"/>
    <w:pPr>
      <w:spacing w:after="120"/>
      <w:ind w:left="1440" w:right="1440"/>
    </w:pPr>
  </w:style>
  <w:style w:type="paragraph" w:styleId="BodyText2">
    <w:name w:val="Body Text 2"/>
    <w:basedOn w:val="Normal"/>
    <w:uiPriority w:val="2"/>
    <w:rsid w:val="00B6155A"/>
    <w:pPr>
      <w:spacing w:after="120" w:line="480" w:lineRule="auto"/>
    </w:pPr>
  </w:style>
  <w:style w:type="paragraph" w:styleId="BodyText3">
    <w:name w:val="Body Text 3"/>
    <w:basedOn w:val="Normal"/>
    <w:uiPriority w:val="2"/>
    <w:rsid w:val="00B6155A"/>
    <w:pPr>
      <w:spacing w:after="120"/>
    </w:pPr>
    <w:rPr>
      <w:sz w:val="16"/>
      <w:szCs w:val="16"/>
    </w:rPr>
  </w:style>
  <w:style w:type="paragraph" w:styleId="BodyTextFirstIndent">
    <w:name w:val="Body Text First Indent"/>
    <w:basedOn w:val="BodyText"/>
    <w:uiPriority w:val="2"/>
    <w:rsid w:val="00B6155A"/>
    <w:pPr>
      <w:tabs>
        <w:tab w:val="left" w:pos="1771"/>
      </w:tabs>
      <w:suppressAutoHyphens/>
      <w:spacing w:before="0" w:after="120" w:line="240" w:lineRule="auto"/>
      <w:ind w:left="0" w:firstLine="210"/>
    </w:pPr>
  </w:style>
  <w:style w:type="paragraph" w:styleId="BodyTextFirstIndent2">
    <w:name w:val="Body Text First Indent 2"/>
    <w:basedOn w:val="BodyTextIndent"/>
    <w:uiPriority w:val="2"/>
    <w:rsid w:val="00B6155A"/>
    <w:pPr>
      <w:tabs>
        <w:tab w:val="left" w:pos="1771"/>
      </w:tabs>
      <w:suppressAutoHyphens/>
      <w:spacing w:before="0" w:after="120" w:line="240" w:lineRule="auto"/>
      <w:ind w:left="283" w:firstLine="210"/>
    </w:pPr>
  </w:style>
  <w:style w:type="paragraph" w:styleId="BodyTextIndent2">
    <w:name w:val="Body Text Indent 2"/>
    <w:basedOn w:val="Normal"/>
    <w:uiPriority w:val="2"/>
    <w:rsid w:val="00B6155A"/>
    <w:pPr>
      <w:spacing w:after="120" w:line="480" w:lineRule="auto"/>
      <w:ind w:left="283"/>
    </w:pPr>
  </w:style>
  <w:style w:type="paragraph" w:styleId="BodyTextIndent3">
    <w:name w:val="Body Text Indent 3"/>
    <w:basedOn w:val="Normal"/>
    <w:uiPriority w:val="2"/>
    <w:rsid w:val="00B6155A"/>
    <w:pPr>
      <w:spacing w:after="120"/>
      <w:ind w:left="283"/>
    </w:pPr>
    <w:rPr>
      <w:sz w:val="16"/>
      <w:szCs w:val="16"/>
    </w:rPr>
  </w:style>
  <w:style w:type="paragraph" w:styleId="Closing">
    <w:name w:val="Closing"/>
    <w:basedOn w:val="Normal"/>
    <w:uiPriority w:val="2"/>
    <w:rsid w:val="00B6155A"/>
    <w:pPr>
      <w:ind w:left="4252"/>
    </w:pPr>
  </w:style>
  <w:style w:type="paragraph" w:styleId="CommentText">
    <w:name w:val="annotation text"/>
    <w:basedOn w:val="Normal"/>
    <w:link w:val="CommentTextChar"/>
    <w:uiPriority w:val="2"/>
    <w:semiHidden/>
    <w:rsid w:val="00B6155A"/>
  </w:style>
  <w:style w:type="paragraph" w:styleId="Date">
    <w:name w:val="Date"/>
    <w:basedOn w:val="Normal"/>
    <w:next w:val="Normal"/>
    <w:uiPriority w:val="2"/>
    <w:rsid w:val="00B6155A"/>
  </w:style>
  <w:style w:type="paragraph" w:styleId="E-mailSignature">
    <w:name w:val="E-mail Signature"/>
    <w:basedOn w:val="Normal"/>
    <w:uiPriority w:val="2"/>
    <w:rsid w:val="00B6155A"/>
  </w:style>
  <w:style w:type="paragraph" w:styleId="EnvelopeAddress">
    <w:name w:val="envelope address"/>
    <w:basedOn w:val="Normal"/>
    <w:uiPriority w:val="2"/>
    <w:rsid w:val="00B6155A"/>
    <w:pPr>
      <w:framePr w:w="7920" w:h="1980" w:hRule="exact" w:hSpace="180" w:wrap="auto" w:hAnchor="page" w:xAlign="center" w:yAlign="bottom"/>
      <w:ind w:left="2880"/>
    </w:pPr>
    <w:rPr>
      <w:rFonts w:cs="Arial"/>
      <w:sz w:val="24"/>
      <w:szCs w:val="24"/>
    </w:rPr>
  </w:style>
  <w:style w:type="paragraph" w:styleId="EnvelopeReturn">
    <w:name w:val="envelope return"/>
    <w:basedOn w:val="Normal"/>
    <w:uiPriority w:val="2"/>
    <w:rsid w:val="00B6155A"/>
    <w:rPr>
      <w:rFonts w:cs="Arial"/>
    </w:rPr>
  </w:style>
  <w:style w:type="paragraph" w:styleId="FootnoteText">
    <w:name w:val="footnote text"/>
    <w:basedOn w:val="Normal"/>
    <w:uiPriority w:val="2"/>
    <w:semiHidden/>
    <w:rsid w:val="00350EF4"/>
    <w:pPr>
      <w:ind w:left="851"/>
    </w:pPr>
    <w:rPr>
      <w:sz w:val="16"/>
    </w:rPr>
  </w:style>
  <w:style w:type="paragraph" w:styleId="HTMLAddress">
    <w:name w:val="HTML Address"/>
    <w:basedOn w:val="Normal"/>
    <w:uiPriority w:val="2"/>
    <w:rsid w:val="00B6155A"/>
    <w:rPr>
      <w:i/>
      <w:iCs/>
    </w:rPr>
  </w:style>
  <w:style w:type="paragraph" w:styleId="HTMLPreformatted">
    <w:name w:val="HTML Preformatted"/>
    <w:basedOn w:val="Normal"/>
    <w:uiPriority w:val="2"/>
    <w:rsid w:val="00B6155A"/>
    <w:rPr>
      <w:rFonts w:ascii="Courier New" w:hAnsi="Courier New" w:cs="Courier New"/>
    </w:rPr>
  </w:style>
  <w:style w:type="paragraph" w:styleId="Index1">
    <w:name w:val="index 1"/>
    <w:basedOn w:val="Normal"/>
    <w:next w:val="Normal"/>
    <w:autoRedefine/>
    <w:uiPriority w:val="2"/>
    <w:semiHidden/>
    <w:rsid w:val="00B6155A"/>
    <w:pPr>
      <w:ind w:left="200" w:hanging="200"/>
    </w:pPr>
  </w:style>
  <w:style w:type="paragraph" w:styleId="Index2">
    <w:name w:val="index 2"/>
    <w:basedOn w:val="Normal"/>
    <w:next w:val="Normal"/>
    <w:autoRedefine/>
    <w:uiPriority w:val="2"/>
    <w:semiHidden/>
    <w:rsid w:val="00B6155A"/>
    <w:pPr>
      <w:ind w:left="400" w:hanging="200"/>
    </w:pPr>
  </w:style>
  <w:style w:type="paragraph" w:styleId="Index3">
    <w:name w:val="index 3"/>
    <w:basedOn w:val="Normal"/>
    <w:next w:val="Normal"/>
    <w:autoRedefine/>
    <w:uiPriority w:val="2"/>
    <w:semiHidden/>
    <w:rsid w:val="00B6155A"/>
    <w:pPr>
      <w:ind w:left="600" w:hanging="200"/>
    </w:pPr>
  </w:style>
  <w:style w:type="paragraph" w:styleId="Index4">
    <w:name w:val="index 4"/>
    <w:basedOn w:val="Normal"/>
    <w:next w:val="Normal"/>
    <w:autoRedefine/>
    <w:uiPriority w:val="2"/>
    <w:semiHidden/>
    <w:rsid w:val="00B6155A"/>
    <w:pPr>
      <w:ind w:left="800" w:hanging="200"/>
    </w:pPr>
  </w:style>
  <w:style w:type="paragraph" w:styleId="Index5">
    <w:name w:val="index 5"/>
    <w:basedOn w:val="Normal"/>
    <w:next w:val="Normal"/>
    <w:autoRedefine/>
    <w:uiPriority w:val="2"/>
    <w:semiHidden/>
    <w:rsid w:val="00B6155A"/>
    <w:pPr>
      <w:ind w:left="1000" w:hanging="200"/>
    </w:pPr>
  </w:style>
  <w:style w:type="paragraph" w:styleId="Index6">
    <w:name w:val="index 6"/>
    <w:basedOn w:val="Normal"/>
    <w:next w:val="Normal"/>
    <w:autoRedefine/>
    <w:uiPriority w:val="2"/>
    <w:semiHidden/>
    <w:rsid w:val="00B6155A"/>
    <w:pPr>
      <w:ind w:left="1200" w:hanging="200"/>
    </w:pPr>
  </w:style>
  <w:style w:type="paragraph" w:styleId="Index7">
    <w:name w:val="index 7"/>
    <w:basedOn w:val="Normal"/>
    <w:next w:val="Normal"/>
    <w:autoRedefine/>
    <w:uiPriority w:val="2"/>
    <w:semiHidden/>
    <w:rsid w:val="00B6155A"/>
    <w:pPr>
      <w:ind w:left="1400" w:hanging="200"/>
    </w:pPr>
  </w:style>
  <w:style w:type="paragraph" w:styleId="Index8">
    <w:name w:val="index 8"/>
    <w:basedOn w:val="Normal"/>
    <w:next w:val="Normal"/>
    <w:autoRedefine/>
    <w:uiPriority w:val="2"/>
    <w:semiHidden/>
    <w:rsid w:val="00B6155A"/>
    <w:pPr>
      <w:ind w:left="1600" w:hanging="200"/>
    </w:pPr>
  </w:style>
  <w:style w:type="paragraph" w:styleId="Index9">
    <w:name w:val="index 9"/>
    <w:basedOn w:val="Normal"/>
    <w:next w:val="Normal"/>
    <w:autoRedefine/>
    <w:uiPriority w:val="2"/>
    <w:semiHidden/>
    <w:rsid w:val="00B6155A"/>
    <w:pPr>
      <w:ind w:left="1800" w:hanging="200"/>
    </w:pPr>
  </w:style>
  <w:style w:type="paragraph" w:styleId="IndexHeading">
    <w:name w:val="index heading"/>
    <w:basedOn w:val="Normal"/>
    <w:next w:val="Index1"/>
    <w:uiPriority w:val="2"/>
    <w:semiHidden/>
    <w:rsid w:val="00B6155A"/>
    <w:rPr>
      <w:rFonts w:cs="Arial"/>
      <w:b/>
      <w:bCs/>
    </w:rPr>
  </w:style>
  <w:style w:type="paragraph" w:styleId="List2">
    <w:name w:val="List 2"/>
    <w:basedOn w:val="Normal"/>
    <w:uiPriority w:val="2"/>
    <w:rsid w:val="00B6155A"/>
    <w:pPr>
      <w:ind w:left="566" w:hanging="283"/>
    </w:pPr>
  </w:style>
  <w:style w:type="paragraph" w:styleId="List3">
    <w:name w:val="List 3"/>
    <w:basedOn w:val="Normal"/>
    <w:uiPriority w:val="2"/>
    <w:rsid w:val="00B6155A"/>
    <w:pPr>
      <w:ind w:left="849" w:hanging="283"/>
    </w:pPr>
  </w:style>
  <w:style w:type="paragraph" w:styleId="List4">
    <w:name w:val="List 4"/>
    <w:basedOn w:val="Normal"/>
    <w:uiPriority w:val="2"/>
    <w:rsid w:val="00B6155A"/>
    <w:pPr>
      <w:ind w:left="1132" w:hanging="283"/>
    </w:pPr>
  </w:style>
  <w:style w:type="paragraph" w:styleId="List5">
    <w:name w:val="List 5"/>
    <w:basedOn w:val="Normal"/>
    <w:uiPriority w:val="2"/>
    <w:rsid w:val="00B6155A"/>
    <w:pPr>
      <w:ind w:left="1415" w:hanging="283"/>
    </w:pPr>
  </w:style>
  <w:style w:type="paragraph" w:styleId="ListBullet2">
    <w:name w:val="List Bullet 2"/>
    <w:basedOn w:val="Normal"/>
    <w:autoRedefine/>
    <w:uiPriority w:val="2"/>
    <w:rsid w:val="00B6155A"/>
    <w:pPr>
      <w:numPr>
        <w:numId w:val="14"/>
      </w:numPr>
    </w:pPr>
  </w:style>
  <w:style w:type="paragraph" w:styleId="ListBullet3">
    <w:name w:val="List Bullet 3"/>
    <w:basedOn w:val="Normal"/>
    <w:autoRedefine/>
    <w:uiPriority w:val="2"/>
    <w:rsid w:val="00B6155A"/>
    <w:pPr>
      <w:numPr>
        <w:numId w:val="2"/>
      </w:numPr>
    </w:pPr>
  </w:style>
  <w:style w:type="paragraph" w:styleId="ListBullet4">
    <w:name w:val="List Bullet 4"/>
    <w:basedOn w:val="Normal"/>
    <w:autoRedefine/>
    <w:uiPriority w:val="2"/>
    <w:rsid w:val="00B6155A"/>
    <w:pPr>
      <w:numPr>
        <w:numId w:val="3"/>
      </w:numPr>
    </w:pPr>
  </w:style>
  <w:style w:type="paragraph" w:styleId="ListBullet5">
    <w:name w:val="List Bullet 5"/>
    <w:basedOn w:val="Normal"/>
    <w:autoRedefine/>
    <w:uiPriority w:val="2"/>
    <w:rsid w:val="00B6155A"/>
    <w:pPr>
      <w:numPr>
        <w:numId w:val="4"/>
      </w:numPr>
    </w:pPr>
  </w:style>
  <w:style w:type="paragraph" w:styleId="ListContinue">
    <w:name w:val="List Continue"/>
    <w:basedOn w:val="Normal"/>
    <w:uiPriority w:val="2"/>
    <w:rsid w:val="00B6155A"/>
    <w:pPr>
      <w:spacing w:after="120"/>
      <w:ind w:left="283"/>
    </w:pPr>
  </w:style>
  <w:style w:type="paragraph" w:styleId="ListContinue2">
    <w:name w:val="List Continue 2"/>
    <w:basedOn w:val="Normal"/>
    <w:uiPriority w:val="2"/>
    <w:rsid w:val="00B6155A"/>
    <w:pPr>
      <w:spacing w:after="120"/>
      <w:ind w:left="566"/>
    </w:pPr>
  </w:style>
  <w:style w:type="paragraph" w:styleId="ListContinue3">
    <w:name w:val="List Continue 3"/>
    <w:basedOn w:val="Normal"/>
    <w:uiPriority w:val="2"/>
    <w:rsid w:val="00B6155A"/>
    <w:pPr>
      <w:spacing w:after="120"/>
      <w:ind w:left="849"/>
    </w:pPr>
  </w:style>
  <w:style w:type="paragraph" w:styleId="ListContinue4">
    <w:name w:val="List Continue 4"/>
    <w:basedOn w:val="Normal"/>
    <w:uiPriority w:val="2"/>
    <w:rsid w:val="00B6155A"/>
    <w:pPr>
      <w:spacing w:after="120"/>
      <w:ind w:left="1132"/>
    </w:pPr>
  </w:style>
  <w:style w:type="paragraph" w:styleId="ListContinue5">
    <w:name w:val="List Continue 5"/>
    <w:basedOn w:val="Normal"/>
    <w:uiPriority w:val="2"/>
    <w:rsid w:val="00B6155A"/>
    <w:pPr>
      <w:spacing w:after="120"/>
      <w:ind w:left="1415"/>
    </w:pPr>
  </w:style>
  <w:style w:type="paragraph" w:styleId="ListNumber">
    <w:name w:val="List Number"/>
    <w:basedOn w:val="Normal"/>
    <w:uiPriority w:val="2"/>
    <w:rsid w:val="00B6155A"/>
    <w:pPr>
      <w:numPr>
        <w:numId w:val="5"/>
      </w:numPr>
    </w:pPr>
  </w:style>
  <w:style w:type="paragraph" w:styleId="ListNumber2">
    <w:name w:val="List Number 2"/>
    <w:basedOn w:val="Normal"/>
    <w:uiPriority w:val="2"/>
    <w:rsid w:val="00B6155A"/>
    <w:pPr>
      <w:numPr>
        <w:numId w:val="15"/>
      </w:numPr>
    </w:pPr>
  </w:style>
  <w:style w:type="paragraph" w:styleId="ListNumber3">
    <w:name w:val="List Number 3"/>
    <w:basedOn w:val="Normal"/>
    <w:uiPriority w:val="2"/>
    <w:rsid w:val="00B6155A"/>
    <w:pPr>
      <w:numPr>
        <w:numId w:val="16"/>
      </w:numPr>
    </w:pPr>
  </w:style>
  <w:style w:type="paragraph" w:styleId="ListNumber4">
    <w:name w:val="List Number 4"/>
    <w:basedOn w:val="Normal"/>
    <w:uiPriority w:val="2"/>
    <w:rsid w:val="00B6155A"/>
    <w:pPr>
      <w:numPr>
        <w:numId w:val="17"/>
      </w:numPr>
    </w:pPr>
  </w:style>
  <w:style w:type="paragraph" w:styleId="ListNumber5">
    <w:name w:val="List Number 5"/>
    <w:basedOn w:val="Normal"/>
    <w:uiPriority w:val="2"/>
    <w:rsid w:val="00B6155A"/>
    <w:pPr>
      <w:numPr>
        <w:numId w:val="18"/>
      </w:numPr>
    </w:pPr>
  </w:style>
  <w:style w:type="paragraph" w:styleId="MacroText">
    <w:name w:val="macro"/>
    <w:uiPriority w:val="2"/>
    <w:semiHidden/>
    <w:rsid w:val="00B6155A"/>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lang w:eastAsia="en-US"/>
    </w:rPr>
  </w:style>
  <w:style w:type="paragraph" w:styleId="MessageHeader">
    <w:name w:val="Message Header"/>
    <w:basedOn w:val="Normal"/>
    <w:uiPriority w:val="2"/>
    <w:rsid w:val="00B6155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2"/>
    <w:rsid w:val="00B6155A"/>
    <w:rPr>
      <w:rFonts w:ascii="Times New Roman" w:hAnsi="Times New Roman"/>
      <w:sz w:val="24"/>
      <w:szCs w:val="24"/>
    </w:rPr>
  </w:style>
  <w:style w:type="paragraph" w:styleId="NoteHeading">
    <w:name w:val="Note Heading"/>
    <w:basedOn w:val="Normal"/>
    <w:next w:val="Normal"/>
    <w:uiPriority w:val="2"/>
    <w:rsid w:val="00B6155A"/>
  </w:style>
  <w:style w:type="paragraph" w:styleId="PlainText">
    <w:name w:val="Plain Text"/>
    <w:basedOn w:val="Normal"/>
    <w:uiPriority w:val="2"/>
    <w:rsid w:val="00B6155A"/>
    <w:rPr>
      <w:rFonts w:ascii="Courier New" w:hAnsi="Courier New" w:cs="Courier New"/>
    </w:rPr>
  </w:style>
  <w:style w:type="paragraph" w:styleId="Salutation">
    <w:name w:val="Salutation"/>
    <w:basedOn w:val="Normal"/>
    <w:next w:val="Normal"/>
    <w:uiPriority w:val="2"/>
    <w:rsid w:val="00B6155A"/>
  </w:style>
  <w:style w:type="paragraph" w:styleId="Signature">
    <w:name w:val="Signature"/>
    <w:basedOn w:val="Normal"/>
    <w:uiPriority w:val="2"/>
    <w:rsid w:val="00B6155A"/>
    <w:pPr>
      <w:ind w:left="4252"/>
    </w:pPr>
  </w:style>
  <w:style w:type="paragraph" w:styleId="Subtitle">
    <w:name w:val="Subtitle"/>
    <w:basedOn w:val="Normal"/>
    <w:uiPriority w:val="2"/>
    <w:rsid w:val="009F5595"/>
    <w:pPr>
      <w:jc w:val="center"/>
      <w:outlineLvl w:val="1"/>
    </w:pPr>
    <w:rPr>
      <w:rFonts w:cs="Arial"/>
      <w:sz w:val="24"/>
      <w:szCs w:val="24"/>
    </w:rPr>
  </w:style>
  <w:style w:type="paragraph" w:styleId="TableofAuthorities">
    <w:name w:val="table of authorities"/>
    <w:basedOn w:val="Normal"/>
    <w:next w:val="Normal"/>
    <w:uiPriority w:val="2"/>
    <w:semiHidden/>
    <w:rsid w:val="00B6155A"/>
    <w:pPr>
      <w:ind w:left="200" w:hanging="200"/>
    </w:pPr>
  </w:style>
  <w:style w:type="paragraph" w:styleId="TableofFigures">
    <w:name w:val="table of figures"/>
    <w:basedOn w:val="Normal"/>
    <w:next w:val="Normal"/>
    <w:uiPriority w:val="2"/>
    <w:semiHidden/>
    <w:rsid w:val="00B6155A"/>
    <w:pPr>
      <w:ind w:left="400" w:hanging="400"/>
    </w:pPr>
  </w:style>
  <w:style w:type="paragraph" w:styleId="Title">
    <w:name w:val="Title"/>
    <w:basedOn w:val="Normal"/>
    <w:uiPriority w:val="2"/>
    <w:rsid w:val="009F5595"/>
    <w:pPr>
      <w:spacing w:before="240"/>
      <w:jc w:val="center"/>
      <w:outlineLvl w:val="0"/>
    </w:pPr>
    <w:rPr>
      <w:rFonts w:cs="Arial"/>
      <w:b/>
      <w:bCs/>
      <w:kern w:val="28"/>
      <w:sz w:val="32"/>
      <w:szCs w:val="32"/>
    </w:rPr>
  </w:style>
  <w:style w:type="paragraph" w:styleId="TOAHeading">
    <w:name w:val="toa heading"/>
    <w:basedOn w:val="Normal"/>
    <w:next w:val="Normal"/>
    <w:uiPriority w:val="2"/>
    <w:semiHidden/>
    <w:rsid w:val="00B6155A"/>
    <w:pPr>
      <w:spacing w:before="120"/>
    </w:pPr>
    <w:rPr>
      <w:rFonts w:cs="Arial"/>
      <w:b/>
      <w:bCs/>
      <w:sz w:val="24"/>
      <w:szCs w:val="24"/>
    </w:rPr>
  </w:style>
  <w:style w:type="paragraph" w:styleId="BalloonText">
    <w:name w:val="Balloon Text"/>
    <w:basedOn w:val="Normal"/>
    <w:link w:val="BalloonTextChar"/>
    <w:uiPriority w:val="2"/>
    <w:rsid w:val="004A64A9"/>
    <w:rPr>
      <w:rFonts w:ascii="Tahoma" w:hAnsi="Tahoma" w:cs="Tahoma"/>
      <w:sz w:val="16"/>
      <w:szCs w:val="16"/>
    </w:rPr>
  </w:style>
  <w:style w:type="character" w:customStyle="1" w:styleId="BalloonTextChar">
    <w:name w:val="Balloon Text Char"/>
    <w:basedOn w:val="DefaultParagraphFont"/>
    <w:link w:val="BalloonText"/>
    <w:uiPriority w:val="2"/>
    <w:rsid w:val="007225E9"/>
    <w:rPr>
      <w:rFonts w:ascii="Tahoma" w:hAnsi="Tahoma" w:cs="Tahoma"/>
      <w:sz w:val="16"/>
      <w:szCs w:val="16"/>
      <w:lang w:eastAsia="en-US"/>
    </w:rPr>
  </w:style>
  <w:style w:type="table" w:styleId="TableGrid">
    <w:name w:val="Table Grid"/>
    <w:basedOn w:val="TableNormal"/>
    <w:uiPriority w:val="39"/>
    <w:rsid w:val="001A79B1"/>
    <w:pPr>
      <w:keepNext/>
      <w:keepLines/>
      <w:jc w:val="center"/>
    </w:pPr>
    <w:rPr>
      <w:sz w:val="18"/>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
    <w:trPr>
      <w:jc w:val="center"/>
    </w:trPr>
    <w:tcPr>
      <w:vAlign w:val="center"/>
    </w:tcPr>
    <w:tblStylePr w:type="firstRow">
      <w:rPr>
        <w:b/>
      </w:rPr>
    </w:tblStylePr>
    <w:tblStylePr w:type="lastRow">
      <w:tblPr/>
      <w:tcPr>
        <w:tcBorders>
          <w:top w:val="doub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jc w:val="left"/>
      </w:pPr>
      <w:rPr>
        <w:b w:val="0"/>
        <w:i w:val="0"/>
        <w:sz w:val="18"/>
      </w:rPr>
    </w:tblStylePr>
  </w:style>
  <w:style w:type="character" w:styleId="FootnoteReference">
    <w:name w:val="footnote reference"/>
    <w:basedOn w:val="DefaultParagraphFont"/>
    <w:uiPriority w:val="2"/>
    <w:rsid w:val="00350EF4"/>
    <w:rPr>
      <w:sz w:val="16"/>
      <w:vertAlign w:val="superscript"/>
    </w:rPr>
  </w:style>
  <w:style w:type="paragraph" w:customStyle="1" w:styleId="Smallprint">
    <w:name w:val="Smallprint"/>
    <w:basedOn w:val="Normal"/>
    <w:uiPriority w:val="2"/>
    <w:rsid w:val="00C86B3B"/>
    <w:pPr>
      <w:keepNext/>
      <w:keepLines/>
      <w:spacing w:after="120"/>
    </w:pPr>
    <w:rPr>
      <w:sz w:val="12"/>
      <w:szCs w:val="12"/>
    </w:rPr>
  </w:style>
  <w:style w:type="paragraph" w:customStyle="1" w:styleId="HeadingContents">
    <w:name w:val="Heading Contents"/>
    <w:basedOn w:val="Normal"/>
    <w:uiPriority w:val="2"/>
    <w:rsid w:val="00614830"/>
    <w:pPr>
      <w:spacing w:after="240"/>
    </w:pPr>
    <w:rPr>
      <w:rFonts w:asciiTheme="majorHAnsi" w:hAnsiTheme="majorHAnsi"/>
      <w:b/>
      <w:caps/>
      <w:sz w:val="24"/>
    </w:rPr>
  </w:style>
  <w:style w:type="paragraph" w:customStyle="1" w:styleId="RevisionBoxHeading">
    <w:name w:val="Revision Box Heading"/>
    <w:basedOn w:val="Normal"/>
    <w:uiPriority w:val="2"/>
    <w:rsid w:val="00C86B3B"/>
    <w:pPr>
      <w:keepNext/>
      <w:keepLines/>
      <w:spacing w:before="200" w:after="40"/>
    </w:pPr>
    <w:rPr>
      <w:b/>
      <w:caps/>
      <w:sz w:val="16"/>
    </w:rPr>
  </w:style>
  <w:style w:type="table" w:customStyle="1" w:styleId="RevisionBoxTable">
    <w:name w:val="Revision Box Table"/>
    <w:basedOn w:val="TableNormal"/>
    <w:rsid w:val="00236F3B"/>
    <w:pPr>
      <w:keepNext/>
      <w:keepLines/>
    </w:pPr>
    <w:rPr>
      <w:b/>
      <w:sz w:val="16"/>
    </w:rPr>
    <w:tblPr>
      <w:tblStyleRowBandSize w:val="1"/>
      <w:tblStyleColBandSize w:val="1"/>
      <w:tblInd w:w="0" w:type="dxa"/>
      <w:tblBorders>
        <w:top w:val="single" w:sz="12" w:space="0" w:color="auto"/>
        <w:left w:val="single" w:sz="12" w:space="0" w:color="auto"/>
        <w:bottom w:val="single" w:sz="12" w:space="0" w:color="auto"/>
        <w:right w:val="single" w:sz="12" w:space="0" w:color="auto"/>
        <w:insideV w:val="single" w:sz="4" w:space="0" w:color="auto"/>
      </w:tblBorders>
      <w:tblCellMar>
        <w:top w:w="57" w:type="dxa"/>
        <w:left w:w="57" w:type="dxa"/>
        <w:bottom w:w="57" w:type="dxa"/>
        <w:right w:w="57" w:type="dxa"/>
      </w:tblCellMar>
    </w:tblPr>
    <w:tcPr>
      <w:vAlign w:val="center"/>
    </w:tcPr>
  </w:style>
  <w:style w:type="paragraph" w:customStyle="1" w:styleId="FrontTitle">
    <w:name w:val="Front Title"/>
    <w:basedOn w:val="Normal"/>
    <w:uiPriority w:val="2"/>
    <w:rsid w:val="00273442"/>
    <w:pPr>
      <w:pBdr>
        <w:bottom w:val="single" w:sz="6" w:space="20" w:color="DBD3CC" w:themeColor="background1" w:themeShade="D9"/>
      </w:pBdr>
      <w:spacing w:before="400"/>
    </w:pPr>
    <w:rPr>
      <w:color w:val="004553" w:themeColor="text2"/>
      <w:sz w:val="40"/>
    </w:rPr>
  </w:style>
  <w:style w:type="paragraph" w:customStyle="1" w:styleId="FrontClient">
    <w:name w:val="Front Client"/>
    <w:basedOn w:val="Normal"/>
    <w:uiPriority w:val="2"/>
    <w:rsid w:val="00273442"/>
    <w:pPr>
      <w:spacing w:before="360"/>
    </w:pPr>
    <w:rPr>
      <w:color w:val="004553" w:themeColor="text2"/>
      <w:sz w:val="36"/>
    </w:rPr>
  </w:style>
  <w:style w:type="table" w:customStyle="1" w:styleId="FrontTable">
    <w:name w:val="Front Table"/>
    <w:basedOn w:val="TableNormal"/>
    <w:rsid w:val="00134F1E"/>
    <w:pPr>
      <w:spacing w:before="60" w:after="60"/>
    </w:pPr>
    <w:rPr>
      <w:sz w:val="22"/>
    </w:rPr>
    <w:tblPr>
      <w:tblInd w:w="0" w:type="dxa"/>
      <w:tblBorders>
        <w:insideV w:val="single" w:sz="4" w:space="0" w:color="auto"/>
      </w:tblBorders>
      <w:tblCellMar>
        <w:top w:w="0" w:type="dxa"/>
        <w:left w:w="284" w:type="dxa"/>
        <w:bottom w:w="0" w:type="dxa"/>
        <w:right w:w="284" w:type="dxa"/>
      </w:tblCellMar>
    </w:tblPr>
    <w:tblStylePr w:type="firstRow">
      <w:tblPr>
        <w:tblCellMar>
          <w:top w:w="284" w:type="dxa"/>
          <w:left w:w="284" w:type="dxa"/>
          <w:bottom w:w="0" w:type="dxa"/>
          <w:right w:w="284" w:type="dxa"/>
        </w:tblCellMar>
      </w:tblPr>
    </w:tblStylePr>
    <w:tblStylePr w:type="lastRow">
      <w:pPr>
        <w:jc w:val="left"/>
      </w:pPr>
      <w:tblPr/>
      <w:tcPr>
        <w:vAlign w:val="bottom"/>
      </w:tcPr>
    </w:tblStylePr>
  </w:style>
  <w:style w:type="character" w:styleId="PlaceholderText">
    <w:name w:val="Placeholder Text"/>
    <w:basedOn w:val="DefaultParagraphFont"/>
    <w:uiPriority w:val="99"/>
    <w:semiHidden/>
    <w:rsid w:val="00080B92"/>
    <w:rPr>
      <w:color w:val="808080"/>
    </w:rPr>
  </w:style>
  <w:style w:type="paragraph" w:styleId="NoSpacing">
    <w:name w:val="No Spacing"/>
    <w:uiPriority w:val="2"/>
    <w:qFormat/>
    <w:rsid w:val="00171716"/>
    <w:pPr>
      <w:suppressAutoHyphens/>
      <w:ind w:left="851"/>
    </w:pPr>
    <w:rPr>
      <w:rFonts w:ascii="Arial" w:hAnsi="Arial"/>
      <w:lang w:eastAsia="en-US"/>
    </w:rPr>
  </w:style>
  <w:style w:type="character" w:customStyle="1" w:styleId="CommentTextChar">
    <w:name w:val="Comment Text Char"/>
    <w:basedOn w:val="DefaultParagraphFont"/>
    <w:link w:val="CommentText"/>
    <w:uiPriority w:val="2"/>
    <w:semiHidden/>
    <w:rsid w:val="007225E9"/>
    <w:rPr>
      <w:rFonts w:ascii="Arial" w:hAnsi="Arial"/>
      <w:lang w:eastAsia="en-US"/>
    </w:rPr>
  </w:style>
  <w:style w:type="paragraph" w:customStyle="1" w:styleId="Figure">
    <w:name w:val="Figure"/>
    <w:basedOn w:val="BodyText"/>
    <w:uiPriority w:val="1"/>
    <w:qFormat/>
    <w:rsid w:val="00587B5E"/>
    <w:pPr>
      <w:keepNext/>
      <w:keepLines/>
      <w:spacing w:before="0" w:after="120"/>
      <w:ind w:left="0"/>
      <w:jc w:val="center"/>
    </w:pPr>
  </w:style>
  <w:style w:type="paragraph" w:customStyle="1" w:styleId="FrontPenspen">
    <w:name w:val="Front Penspen"/>
    <w:basedOn w:val="Normal"/>
    <w:uiPriority w:val="2"/>
    <w:rsid w:val="00273442"/>
    <w:pPr>
      <w:pBdr>
        <w:top w:val="single" w:sz="18" w:space="20" w:color="004553" w:themeColor="text2"/>
      </w:pBdr>
      <w:spacing w:after="4000"/>
    </w:pPr>
  </w:style>
  <w:style w:type="paragraph" w:customStyle="1" w:styleId="FrontFooter">
    <w:name w:val="Front Footer"/>
    <w:basedOn w:val="Footer"/>
    <w:uiPriority w:val="2"/>
    <w:qFormat/>
    <w:rsid w:val="00135352"/>
    <w:pPr>
      <w:tabs>
        <w:tab w:val="clear" w:pos="4536"/>
        <w:tab w:val="clear" w:pos="9072"/>
        <w:tab w:val="right" w:pos="10773"/>
      </w:tabs>
    </w:pPr>
  </w:style>
  <w:style w:type="character" w:customStyle="1" w:styleId="FooterChar">
    <w:name w:val="Footer Char"/>
    <w:link w:val="Footer"/>
    <w:uiPriority w:val="99"/>
    <w:rsid w:val="002F1438"/>
    <w:rPr>
      <w:rFonts w:asciiTheme="minorHAnsi" w:hAnsiTheme="minorHAnsi"/>
      <w:color w:val="004553" w:themeColor="text2"/>
      <w:sz w:val="16"/>
      <w:lang w:eastAsia="en-US"/>
    </w:rPr>
  </w:style>
  <w:style w:type="character" w:styleId="CommentReference">
    <w:name w:val="annotation reference"/>
    <w:basedOn w:val="DefaultParagraphFont"/>
    <w:uiPriority w:val="2"/>
    <w:semiHidden/>
    <w:unhideWhenUsed/>
    <w:rsid w:val="00D83662"/>
    <w:rPr>
      <w:sz w:val="18"/>
      <w:szCs w:val="18"/>
    </w:rPr>
  </w:style>
  <w:style w:type="paragraph" w:styleId="CommentSubject">
    <w:name w:val="annotation subject"/>
    <w:basedOn w:val="CommentText"/>
    <w:next w:val="CommentText"/>
    <w:link w:val="CommentSubjectChar"/>
    <w:uiPriority w:val="2"/>
    <w:semiHidden/>
    <w:unhideWhenUsed/>
    <w:rsid w:val="00D83662"/>
    <w:rPr>
      <w:b/>
      <w:bCs/>
    </w:rPr>
  </w:style>
  <w:style w:type="character" w:customStyle="1" w:styleId="CommentSubjectChar">
    <w:name w:val="Comment Subject Char"/>
    <w:basedOn w:val="CommentTextChar"/>
    <w:link w:val="CommentSubject"/>
    <w:uiPriority w:val="2"/>
    <w:semiHidden/>
    <w:rsid w:val="00D83662"/>
    <w:rPr>
      <w:rFonts w:asciiTheme="minorHAnsi" w:hAnsiTheme="minorHAnsi"/>
      <w:b/>
      <w:bCs/>
      <w:lang w:eastAsia="en-US"/>
    </w:rPr>
  </w:style>
  <w:style w:type="paragraph" w:styleId="ListParagraph">
    <w:name w:val="List Paragraph"/>
    <w:basedOn w:val="Normal"/>
    <w:uiPriority w:val="34"/>
    <w:rsid w:val="009A7CE3"/>
    <w:pPr>
      <w:ind w:left="720"/>
      <w:contextualSpacing/>
    </w:pPr>
  </w:style>
  <w:style w:type="character" w:customStyle="1" w:styleId="Heading1Char">
    <w:name w:val="Heading 1 Char"/>
    <w:basedOn w:val="DefaultParagraphFont"/>
    <w:link w:val="Heading1"/>
    <w:uiPriority w:val="9"/>
    <w:rsid w:val="00E863E9"/>
    <w:rPr>
      <w:rFonts w:asciiTheme="majorHAnsi" w:hAnsiTheme="majorHAnsi"/>
      <w:b/>
      <w:caps/>
      <w:noProof/>
      <w:color w:val="00243A"/>
      <w:kern w:val="28"/>
      <w:sz w:val="24"/>
      <w:lang w:eastAsia="en-US"/>
    </w:rPr>
  </w:style>
  <w:style w:type="paragraph" w:styleId="Bibliography">
    <w:name w:val="Bibliography"/>
    <w:basedOn w:val="Normal"/>
    <w:next w:val="Normal"/>
    <w:uiPriority w:val="37"/>
    <w:unhideWhenUsed/>
    <w:rsid w:val="00E863E9"/>
  </w:style>
  <w:style w:type="character" w:customStyle="1" w:styleId="Heading2Char">
    <w:name w:val="Heading 2 Char"/>
    <w:basedOn w:val="DefaultParagraphFont"/>
    <w:link w:val="Heading2"/>
    <w:rsid w:val="00F4544F"/>
    <w:rPr>
      <w:rFonts w:asciiTheme="majorHAnsi" w:hAnsiTheme="majorHAnsi"/>
      <w:b/>
      <w:color w:val="00243A"/>
      <w:lang w:eastAsia="en-US"/>
    </w:rPr>
  </w:style>
  <w:style w:type="character" w:customStyle="1" w:styleId="BodyTextChar">
    <w:name w:val="Body Text Char"/>
    <w:basedOn w:val="DefaultParagraphFont"/>
    <w:link w:val="BodyText"/>
    <w:rsid w:val="00F4544F"/>
    <w:rPr>
      <w:rFonts w:asciiTheme="minorHAnsi" w:hAnsiTheme="minorHAnsi"/>
      <w:lang w:eastAsia="en-US"/>
    </w:rPr>
  </w:style>
  <w:style w:type="paragraph" w:styleId="Revision">
    <w:name w:val="Revision"/>
    <w:hidden/>
    <w:uiPriority w:val="99"/>
    <w:semiHidden/>
    <w:rsid w:val="00EF6102"/>
    <w:rPr>
      <w:rFonts w:asciiTheme="minorHAnsi" w:hAnsi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5697">
      <w:bodyDiv w:val="1"/>
      <w:marLeft w:val="0"/>
      <w:marRight w:val="0"/>
      <w:marTop w:val="0"/>
      <w:marBottom w:val="0"/>
      <w:divBdr>
        <w:top w:val="none" w:sz="0" w:space="0" w:color="auto"/>
        <w:left w:val="none" w:sz="0" w:space="0" w:color="auto"/>
        <w:bottom w:val="none" w:sz="0" w:space="0" w:color="auto"/>
        <w:right w:val="none" w:sz="0" w:space="0" w:color="auto"/>
      </w:divBdr>
    </w:div>
    <w:div w:id="17900121">
      <w:bodyDiv w:val="1"/>
      <w:marLeft w:val="0"/>
      <w:marRight w:val="0"/>
      <w:marTop w:val="0"/>
      <w:marBottom w:val="0"/>
      <w:divBdr>
        <w:top w:val="none" w:sz="0" w:space="0" w:color="auto"/>
        <w:left w:val="none" w:sz="0" w:space="0" w:color="auto"/>
        <w:bottom w:val="none" w:sz="0" w:space="0" w:color="auto"/>
        <w:right w:val="none" w:sz="0" w:space="0" w:color="auto"/>
      </w:divBdr>
    </w:div>
    <w:div w:id="21633266">
      <w:bodyDiv w:val="1"/>
      <w:marLeft w:val="0"/>
      <w:marRight w:val="0"/>
      <w:marTop w:val="0"/>
      <w:marBottom w:val="0"/>
      <w:divBdr>
        <w:top w:val="none" w:sz="0" w:space="0" w:color="auto"/>
        <w:left w:val="none" w:sz="0" w:space="0" w:color="auto"/>
        <w:bottom w:val="none" w:sz="0" w:space="0" w:color="auto"/>
        <w:right w:val="none" w:sz="0" w:space="0" w:color="auto"/>
      </w:divBdr>
    </w:div>
    <w:div w:id="22441004">
      <w:bodyDiv w:val="1"/>
      <w:marLeft w:val="0"/>
      <w:marRight w:val="0"/>
      <w:marTop w:val="0"/>
      <w:marBottom w:val="0"/>
      <w:divBdr>
        <w:top w:val="none" w:sz="0" w:space="0" w:color="auto"/>
        <w:left w:val="none" w:sz="0" w:space="0" w:color="auto"/>
        <w:bottom w:val="none" w:sz="0" w:space="0" w:color="auto"/>
        <w:right w:val="none" w:sz="0" w:space="0" w:color="auto"/>
      </w:divBdr>
    </w:div>
    <w:div w:id="36856985">
      <w:bodyDiv w:val="1"/>
      <w:marLeft w:val="0"/>
      <w:marRight w:val="0"/>
      <w:marTop w:val="0"/>
      <w:marBottom w:val="0"/>
      <w:divBdr>
        <w:top w:val="none" w:sz="0" w:space="0" w:color="auto"/>
        <w:left w:val="none" w:sz="0" w:space="0" w:color="auto"/>
        <w:bottom w:val="none" w:sz="0" w:space="0" w:color="auto"/>
        <w:right w:val="none" w:sz="0" w:space="0" w:color="auto"/>
      </w:divBdr>
    </w:div>
    <w:div w:id="45640268">
      <w:bodyDiv w:val="1"/>
      <w:marLeft w:val="0"/>
      <w:marRight w:val="0"/>
      <w:marTop w:val="0"/>
      <w:marBottom w:val="0"/>
      <w:divBdr>
        <w:top w:val="none" w:sz="0" w:space="0" w:color="auto"/>
        <w:left w:val="none" w:sz="0" w:space="0" w:color="auto"/>
        <w:bottom w:val="none" w:sz="0" w:space="0" w:color="auto"/>
        <w:right w:val="none" w:sz="0" w:space="0" w:color="auto"/>
      </w:divBdr>
    </w:div>
    <w:div w:id="56169102">
      <w:bodyDiv w:val="1"/>
      <w:marLeft w:val="0"/>
      <w:marRight w:val="0"/>
      <w:marTop w:val="0"/>
      <w:marBottom w:val="0"/>
      <w:divBdr>
        <w:top w:val="none" w:sz="0" w:space="0" w:color="auto"/>
        <w:left w:val="none" w:sz="0" w:space="0" w:color="auto"/>
        <w:bottom w:val="none" w:sz="0" w:space="0" w:color="auto"/>
        <w:right w:val="none" w:sz="0" w:space="0" w:color="auto"/>
      </w:divBdr>
    </w:div>
    <w:div w:id="72898635">
      <w:bodyDiv w:val="1"/>
      <w:marLeft w:val="0"/>
      <w:marRight w:val="0"/>
      <w:marTop w:val="0"/>
      <w:marBottom w:val="0"/>
      <w:divBdr>
        <w:top w:val="none" w:sz="0" w:space="0" w:color="auto"/>
        <w:left w:val="none" w:sz="0" w:space="0" w:color="auto"/>
        <w:bottom w:val="none" w:sz="0" w:space="0" w:color="auto"/>
        <w:right w:val="none" w:sz="0" w:space="0" w:color="auto"/>
      </w:divBdr>
    </w:div>
    <w:div w:id="74790322">
      <w:bodyDiv w:val="1"/>
      <w:marLeft w:val="0"/>
      <w:marRight w:val="0"/>
      <w:marTop w:val="0"/>
      <w:marBottom w:val="0"/>
      <w:divBdr>
        <w:top w:val="none" w:sz="0" w:space="0" w:color="auto"/>
        <w:left w:val="none" w:sz="0" w:space="0" w:color="auto"/>
        <w:bottom w:val="none" w:sz="0" w:space="0" w:color="auto"/>
        <w:right w:val="none" w:sz="0" w:space="0" w:color="auto"/>
      </w:divBdr>
    </w:div>
    <w:div w:id="88812796">
      <w:bodyDiv w:val="1"/>
      <w:marLeft w:val="0"/>
      <w:marRight w:val="0"/>
      <w:marTop w:val="0"/>
      <w:marBottom w:val="0"/>
      <w:divBdr>
        <w:top w:val="none" w:sz="0" w:space="0" w:color="auto"/>
        <w:left w:val="none" w:sz="0" w:space="0" w:color="auto"/>
        <w:bottom w:val="none" w:sz="0" w:space="0" w:color="auto"/>
        <w:right w:val="none" w:sz="0" w:space="0" w:color="auto"/>
      </w:divBdr>
    </w:div>
    <w:div w:id="141237455">
      <w:bodyDiv w:val="1"/>
      <w:marLeft w:val="0"/>
      <w:marRight w:val="0"/>
      <w:marTop w:val="0"/>
      <w:marBottom w:val="0"/>
      <w:divBdr>
        <w:top w:val="none" w:sz="0" w:space="0" w:color="auto"/>
        <w:left w:val="none" w:sz="0" w:space="0" w:color="auto"/>
        <w:bottom w:val="none" w:sz="0" w:space="0" w:color="auto"/>
        <w:right w:val="none" w:sz="0" w:space="0" w:color="auto"/>
      </w:divBdr>
    </w:div>
    <w:div w:id="173495166">
      <w:bodyDiv w:val="1"/>
      <w:marLeft w:val="0"/>
      <w:marRight w:val="0"/>
      <w:marTop w:val="0"/>
      <w:marBottom w:val="0"/>
      <w:divBdr>
        <w:top w:val="none" w:sz="0" w:space="0" w:color="auto"/>
        <w:left w:val="none" w:sz="0" w:space="0" w:color="auto"/>
        <w:bottom w:val="none" w:sz="0" w:space="0" w:color="auto"/>
        <w:right w:val="none" w:sz="0" w:space="0" w:color="auto"/>
      </w:divBdr>
    </w:div>
    <w:div w:id="197863873">
      <w:bodyDiv w:val="1"/>
      <w:marLeft w:val="0"/>
      <w:marRight w:val="0"/>
      <w:marTop w:val="0"/>
      <w:marBottom w:val="0"/>
      <w:divBdr>
        <w:top w:val="none" w:sz="0" w:space="0" w:color="auto"/>
        <w:left w:val="none" w:sz="0" w:space="0" w:color="auto"/>
        <w:bottom w:val="none" w:sz="0" w:space="0" w:color="auto"/>
        <w:right w:val="none" w:sz="0" w:space="0" w:color="auto"/>
      </w:divBdr>
    </w:div>
    <w:div w:id="204873008">
      <w:bodyDiv w:val="1"/>
      <w:marLeft w:val="0"/>
      <w:marRight w:val="0"/>
      <w:marTop w:val="0"/>
      <w:marBottom w:val="0"/>
      <w:divBdr>
        <w:top w:val="none" w:sz="0" w:space="0" w:color="auto"/>
        <w:left w:val="none" w:sz="0" w:space="0" w:color="auto"/>
        <w:bottom w:val="none" w:sz="0" w:space="0" w:color="auto"/>
        <w:right w:val="none" w:sz="0" w:space="0" w:color="auto"/>
      </w:divBdr>
    </w:div>
    <w:div w:id="209273480">
      <w:bodyDiv w:val="1"/>
      <w:marLeft w:val="0"/>
      <w:marRight w:val="0"/>
      <w:marTop w:val="0"/>
      <w:marBottom w:val="0"/>
      <w:divBdr>
        <w:top w:val="none" w:sz="0" w:space="0" w:color="auto"/>
        <w:left w:val="none" w:sz="0" w:space="0" w:color="auto"/>
        <w:bottom w:val="none" w:sz="0" w:space="0" w:color="auto"/>
        <w:right w:val="none" w:sz="0" w:space="0" w:color="auto"/>
      </w:divBdr>
    </w:div>
    <w:div w:id="213857297">
      <w:bodyDiv w:val="1"/>
      <w:marLeft w:val="0"/>
      <w:marRight w:val="0"/>
      <w:marTop w:val="0"/>
      <w:marBottom w:val="0"/>
      <w:divBdr>
        <w:top w:val="none" w:sz="0" w:space="0" w:color="auto"/>
        <w:left w:val="none" w:sz="0" w:space="0" w:color="auto"/>
        <w:bottom w:val="none" w:sz="0" w:space="0" w:color="auto"/>
        <w:right w:val="none" w:sz="0" w:space="0" w:color="auto"/>
      </w:divBdr>
    </w:div>
    <w:div w:id="233249115">
      <w:bodyDiv w:val="1"/>
      <w:marLeft w:val="0"/>
      <w:marRight w:val="0"/>
      <w:marTop w:val="0"/>
      <w:marBottom w:val="0"/>
      <w:divBdr>
        <w:top w:val="none" w:sz="0" w:space="0" w:color="auto"/>
        <w:left w:val="none" w:sz="0" w:space="0" w:color="auto"/>
        <w:bottom w:val="none" w:sz="0" w:space="0" w:color="auto"/>
        <w:right w:val="none" w:sz="0" w:space="0" w:color="auto"/>
      </w:divBdr>
    </w:div>
    <w:div w:id="288970859">
      <w:bodyDiv w:val="1"/>
      <w:marLeft w:val="0"/>
      <w:marRight w:val="0"/>
      <w:marTop w:val="0"/>
      <w:marBottom w:val="0"/>
      <w:divBdr>
        <w:top w:val="none" w:sz="0" w:space="0" w:color="auto"/>
        <w:left w:val="none" w:sz="0" w:space="0" w:color="auto"/>
        <w:bottom w:val="none" w:sz="0" w:space="0" w:color="auto"/>
        <w:right w:val="none" w:sz="0" w:space="0" w:color="auto"/>
      </w:divBdr>
    </w:div>
    <w:div w:id="297539348">
      <w:bodyDiv w:val="1"/>
      <w:marLeft w:val="0"/>
      <w:marRight w:val="0"/>
      <w:marTop w:val="0"/>
      <w:marBottom w:val="0"/>
      <w:divBdr>
        <w:top w:val="none" w:sz="0" w:space="0" w:color="auto"/>
        <w:left w:val="none" w:sz="0" w:space="0" w:color="auto"/>
        <w:bottom w:val="none" w:sz="0" w:space="0" w:color="auto"/>
        <w:right w:val="none" w:sz="0" w:space="0" w:color="auto"/>
      </w:divBdr>
    </w:div>
    <w:div w:id="299266049">
      <w:bodyDiv w:val="1"/>
      <w:marLeft w:val="0"/>
      <w:marRight w:val="0"/>
      <w:marTop w:val="0"/>
      <w:marBottom w:val="0"/>
      <w:divBdr>
        <w:top w:val="none" w:sz="0" w:space="0" w:color="auto"/>
        <w:left w:val="none" w:sz="0" w:space="0" w:color="auto"/>
        <w:bottom w:val="none" w:sz="0" w:space="0" w:color="auto"/>
        <w:right w:val="none" w:sz="0" w:space="0" w:color="auto"/>
      </w:divBdr>
    </w:div>
    <w:div w:id="300114137">
      <w:bodyDiv w:val="1"/>
      <w:marLeft w:val="0"/>
      <w:marRight w:val="0"/>
      <w:marTop w:val="0"/>
      <w:marBottom w:val="0"/>
      <w:divBdr>
        <w:top w:val="none" w:sz="0" w:space="0" w:color="auto"/>
        <w:left w:val="none" w:sz="0" w:space="0" w:color="auto"/>
        <w:bottom w:val="none" w:sz="0" w:space="0" w:color="auto"/>
        <w:right w:val="none" w:sz="0" w:space="0" w:color="auto"/>
      </w:divBdr>
    </w:div>
    <w:div w:id="304746024">
      <w:bodyDiv w:val="1"/>
      <w:marLeft w:val="0"/>
      <w:marRight w:val="0"/>
      <w:marTop w:val="0"/>
      <w:marBottom w:val="0"/>
      <w:divBdr>
        <w:top w:val="none" w:sz="0" w:space="0" w:color="auto"/>
        <w:left w:val="none" w:sz="0" w:space="0" w:color="auto"/>
        <w:bottom w:val="none" w:sz="0" w:space="0" w:color="auto"/>
        <w:right w:val="none" w:sz="0" w:space="0" w:color="auto"/>
      </w:divBdr>
    </w:div>
    <w:div w:id="307829439">
      <w:bodyDiv w:val="1"/>
      <w:marLeft w:val="0"/>
      <w:marRight w:val="0"/>
      <w:marTop w:val="0"/>
      <w:marBottom w:val="0"/>
      <w:divBdr>
        <w:top w:val="none" w:sz="0" w:space="0" w:color="auto"/>
        <w:left w:val="none" w:sz="0" w:space="0" w:color="auto"/>
        <w:bottom w:val="none" w:sz="0" w:space="0" w:color="auto"/>
        <w:right w:val="none" w:sz="0" w:space="0" w:color="auto"/>
      </w:divBdr>
    </w:div>
    <w:div w:id="333533427">
      <w:bodyDiv w:val="1"/>
      <w:marLeft w:val="0"/>
      <w:marRight w:val="0"/>
      <w:marTop w:val="0"/>
      <w:marBottom w:val="0"/>
      <w:divBdr>
        <w:top w:val="none" w:sz="0" w:space="0" w:color="auto"/>
        <w:left w:val="none" w:sz="0" w:space="0" w:color="auto"/>
        <w:bottom w:val="none" w:sz="0" w:space="0" w:color="auto"/>
        <w:right w:val="none" w:sz="0" w:space="0" w:color="auto"/>
      </w:divBdr>
    </w:div>
    <w:div w:id="342705163">
      <w:bodyDiv w:val="1"/>
      <w:marLeft w:val="0"/>
      <w:marRight w:val="0"/>
      <w:marTop w:val="0"/>
      <w:marBottom w:val="0"/>
      <w:divBdr>
        <w:top w:val="none" w:sz="0" w:space="0" w:color="auto"/>
        <w:left w:val="none" w:sz="0" w:space="0" w:color="auto"/>
        <w:bottom w:val="none" w:sz="0" w:space="0" w:color="auto"/>
        <w:right w:val="none" w:sz="0" w:space="0" w:color="auto"/>
      </w:divBdr>
    </w:div>
    <w:div w:id="345836070">
      <w:bodyDiv w:val="1"/>
      <w:marLeft w:val="0"/>
      <w:marRight w:val="0"/>
      <w:marTop w:val="0"/>
      <w:marBottom w:val="0"/>
      <w:divBdr>
        <w:top w:val="none" w:sz="0" w:space="0" w:color="auto"/>
        <w:left w:val="none" w:sz="0" w:space="0" w:color="auto"/>
        <w:bottom w:val="none" w:sz="0" w:space="0" w:color="auto"/>
        <w:right w:val="none" w:sz="0" w:space="0" w:color="auto"/>
      </w:divBdr>
    </w:div>
    <w:div w:id="353725019">
      <w:bodyDiv w:val="1"/>
      <w:marLeft w:val="0"/>
      <w:marRight w:val="0"/>
      <w:marTop w:val="0"/>
      <w:marBottom w:val="0"/>
      <w:divBdr>
        <w:top w:val="none" w:sz="0" w:space="0" w:color="auto"/>
        <w:left w:val="none" w:sz="0" w:space="0" w:color="auto"/>
        <w:bottom w:val="none" w:sz="0" w:space="0" w:color="auto"/>
        <w:right w:val="none" w:sz="0" w:space="0" w:color="auto"/>
      </w:divBdr>
    </w:div>
    <w:div w:id="362561586">
      <w:bodyDiv w:val="1"/>
      <w:marLeft w:val="0"/>
      <w:marRight w:val="0"/>
      <w:marTop w:val="0"/>
      <w:marBottom w:val="0"/>
      <w:divBdr>
        <w:top w:val="none" w:sz="0" w:space="0" w:color="auto"/>
        <w:left w:val="none" w:sz="0" w:space="0" w:color="auto"/>
        <w:bottom w:val="none" w:sz="0" w:space="0" w:color="auto"/>
        <w:right w:val="none" w:sz="0" w:space="0" w:color="auto"/>
      </w:divBdr>
    </w:div>
    <w:div w:id="377507488">
      <w:bodyDiv w:val="1"/>
      <w:marLeft w:val="0"/>
      <w:marRight w:val="0"/>
      <w:marTop w:val="0"/>
      <w:marBottom w:val="0"/>
      <w:divBdr>
        <w:top w:val="none" w:sz="0" w:space="0" w:color="auto"/>
        <w:left w:val="none" w:sz="0" w:space="0" w:color="auto"/>
        <w:bottom w:val="none" w:sz="0" w:space="0" w:color="auto"/>
        <w:right w:val="none" w:sz="0" w:space="0" w:color="auto"/>
      </w:divBdr>
    </w:div>
    <w:div w:id="401832221">
      <w:bodyDiv w:val="1"/>
      <w:marLeft w:val="0"/>
      <w:marRight w:val="0"/>
      <w:marTop w:val="0"/>
      <w:marBottom w:val="0"/>
      <w:divBdr>
        <w:top w:val="none" w:sz="0" w:space="0" w:color="auto"/>
        <w:left w:val="none" w:sz="0" w:space="0" w:color="auto"/>
        <w:bottom w:val="none" w:sz="0" w:space="0" w:color="auto"/>
        <w:right w:val="none" w:sz="0" w:space="0" w:color="auto"/>
      </w:divBdr>
    </w:div>
    <w:div w:id="408816343">
      <w:bodyDiv w:val="1"/>
      <w:marLeft w:val="0"/>
      <w:marRight w:val="0"/>
      <w:marTop w:val="0"/>
      <w:marBottom w:val="0"/>
      <w:divBdr>
        <w:top w:val="none" w:sz="0" w:space="0" w:color="auto"/>
        <w:left w:val="none" w:sz="0" w:space="0" w:color="auto"/>
        <w:bottom w:val="none" w:sz="0" w:space="0" w:color="auto"/>
        <w:right w:val="none" w:sz="0" w:space="0" w:color="auto"/>
      </w:divBdr>
    </w:div>
    <w:div w:id="408887068">
      <w:bodyDiv w:val="1"/>
      <w:marLeft w:val="0"/>
      <w:marRight w:val="0"/>
      <w:marTop w:val="0"/>
      <w:marBottom w:val="0"/>
      <w:divBdr>
        <w:top w:val="none" w:sz="0" w:space="0" w:color="auto"/>
        <w:left w:val="none" w:sz="0" w:space="0" w:color="auto"/>
        <w:bottom w:val="none" w:sz="0" w:space="0" w:color="auto"/>
        <w:right w:val="none" w:sz="0" w:space="0" w:color="auto"/>
      </w:divBdr>
      <w:divsChild>
        <w:div w:id="1827012842">
          <w:marLeft w:val="0"/>
          <w:marRight w:val="0"/>
          <w:marTop w:val="0"/>
          <w:marBottom w:val="0"/>
          <w:divBdr>
            <w:top w:val="none" w:sz="0" w:space="0" w:color="auto"/>
            <w:left w:val="none" w:sz="0" w:space="0" w:color="auto"/>
            <w:bottom w:val="none" w:sz="0" w:space="0" w:color="auto"/>
            <w:right w:val="none" w:sz="0" w:space="0" w:color="auto"/>
          </w:divBdr>
          <w:divsChild>
            <w:div w:id="1535119347">
              <w:marLeft w:val="0"/>
              <w:marRight w:val="0"/>
              <w:marTop w:val="0"/>
              <w:marBottom w:val="0"/>
              <w:divBdr>
                <w:top w:val="none" w:sz="0" w:space="0" w:color="auto"/>
                <w:left w:val="none" w:sz="0" w:space="0" w:color="auto"/>
                <w:bottom w:val="none" w:sz="0" w:space="0" w:color="auto"/>
                <w:right w:val="none" w:sz="0" w:space="0" w:color="auto"/>
              </w:divBdr>
              <w:divsChild>
                <w:div w:id="1068531109">
                  <w:marLeft w:val="0"/>
                  <w:marRight w:val="0"/>
                  <w:marTop w:val="0"/>
                  <w:marBottom w:val="0"/>
                  <w:divBdr>
                    <w:top w:val="single" w:sz="6" w:space="0" w:color="CED2D6"/>
                    <w:left w:val="single" w:sz="6" w:space="1" w:color="CED2D6"/>
                    <w:bottom w:val="single" w:sz="6" w:space="0" w:color="CED2D6"/>
                    <w:right w:val="single" w:sz="6" w:space="1" w:color="CED2D6"/>
                  </w:divBdr>
                  <w:divsChild>
                    <w:div w:id="1831287640">
                      <w:marLeft w:val="0"/>
                      <w:marRight w:val="0"/>
                      <w:marTop w:val="0"/>
                      <w:marBottom w:val="0"/>
                      <w:divBdr>
                        <w:top w:val="none" w:sz="0" w:space="0" w:color="auto"/>
                        <w:left w:val="none" w:sz="0" w:space="0" w:color="auto"/>
                        <w:bottom w:val="none" w:sz="0" w:space="0" w:color="auto"/>
                        <w:right w:val="none" w:sz="0" w:space="0" w:color="auto"/>
                      </w:divBdr>
                      <w:divsChild>
                        <w:div w:id="3393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564188">
      <w:bodyDiv w:val="1"/>
      <w:marLeft w:val="0"/>
      <w:marRight w:val="0"/>
      <w:marTop w:val="0"/>
      <w:marBottom w:val="0"/>
      <w:divBdr>
        <w:top w:val="none" w:sz="0" w:space="0" w:color="auto"/>
        <w:left w:val="none" w:sz="0" w:space="0" w:color="auto"/>
        <w:bottom w:val="none" w:sz="0" w:space="0" w:color="auto"/>
        <w:right w:val="none" w:sz="0" w:space="0" w:color="auto"/>
      </w:divBdr>
    </w:div>
    <w:div w:id="462777462">
      <w:bodyDiv w:val="1"/>
      <w:marLeft w:val="0"/>
      <w:marRight w:val="0"/>
      <w:marTop w:val="0"/>
      <w:marBottom w:val="0"/>
      <w:divBdr>
        <w:top w:val="none" w:sz="0" w:space="0" w:color="auto"/>
        <w:left w:val="none" w:sz="0" w:space="0" w:color="auto"/>
        <w:bottom w:val="none" w:sz="0" w:space="0" w:color="auto"/>
        <w:right w:val="none" w:sz="0" w:space="0" w:color="auto"/>
      </w:divBdr>
    </w:div>
    <w:div w:id="474108052">
      <w:bodyDiv w:val="1"/>
      <w:marLeft w:val="0"/>
      <w:marRight w:val="0"/>
      <w:marTop w:val="0"/>
      <w:marBottom w:val="0"/>
      <w:divBdr>
        <w:top w:val="none" w:sz="0" w:space="0" w:color="auto"/>
        <w:left w:val="none" w:sz="0" w:space="0" w:color="auto"/>
        <w:bottom w:val="none" w:sz="0" w:space="0" w:color="auto"/>
        <w:right w:val="none" w:sz="0" w:space="0" w:color="auto"/>
      </w:divBdr>
    </w:div>
    <w:div w:id="475993679">
      <w:bodyDiv w:val="1"/>
      <w:marLeft w:val="0"/>
      <w:marRight w:val="0"/>
      <w:marTop w:val="0"/>
      <w:marBottom w:val="0"/>
      <w:divBdr>
        <w:top w:val="none" w:sz="0" w:space="0" w:color="auto"/>
        <w:left w:val="none" w:sz="0" w:space="0" w:color="auto"/>
        <w:bottom w:val="none" w:sz="0" w:space="0" w:color="auto"/>
        <w:right w:val="none" w:sz="0" w:space="0" w:color="auto"/>
      </w:divBdr>
    </w:div>
    <w:div w:id="477380586">
      <w:bodyDiv w:val="1"/>
      <w:marLeft w:val="0"/>
      <w:marRight w:val="0"/>
      <w:marTop w:val="0"/>
      <w:marBottom w:val="0"/>
      <w:divBdr>
        <w:top w:val="none" w:sz="0" w:space="0" w:color="auto"/>
        <w:left w:val="none" w:sz="0" w:space="0" w:color="auto"/>
        <w:bottom w:val="none" w:sz="0" w:space="0" w:color="auto"/>
        <w:right w:val="none" w:sz="0" w:space="0" w:color="auto"/>
      </w:divBdr>
    </w:div>
    <w:div w:id="486167945">
      <w:bodyDiv w:val="1"/>
      <w:marLeft w:val="0"/>
      <w:marRight w:val="0"/>
      <w:marTop w:val="0"/>
      <w:marBottom w:val="0"/>
      <w:divBdr>
        <w:top w:val="none" w:sz="0" w:space="0" w:color="auto"/>
        <w:left w:val="none" w:sz="0" w:space="0" w:color="auto"/>
        <w:bottom w:val="none" w:sz="0" w:space="0" w:color="auto"/>
        <w:right w:val="none" w:sz="0" w:space="0" w:color="auto"/>
      </w:divBdr>
    </w:div>
    <w:div w:id="489714910">
      <w:bodyDiv w:val="1"/>
      <w:marLeft w:val="0"/>
      <w:marRight w:val="0"/>
      <w:marTop w:val="0"/>
      <w:marBottom w:val="0"/>
      <w:divBdr>
        <w:top w:val="none" w:sz="0" w:space="0" w:color="auto"/>
        <w:left w:val="none" w:sz="0" w:space="0" w:color="auto"/>
        <w:bottom w:val="none" w:sz="0" w:space="0" w:color="auto"/>
        <w:right w:val="none" w:sz="0" w:space="0" w:color="auto"/>
      </w:divBdr>
    </w:div>
    <w:div w:id="507912558">
      <w:bodyDiv w:val="1"/>
      <w:marLeft w:val="0"/>
      <w:marRight w:val="0"/>
      <w:marTop w:val="0"/>
      <w:marBottom w:val="0"/>
      <w:divBdr>
        <w:top w:val="none" w:sz="0" w:space="0" w:color="auto"/>
        <w:left w:val="none" w:sz="0" w:space="0" w:color="auto"/>
        <w:bottom w:val="none" w:sz="0" w:space="0" w:color="auto"/>
        <w:right w:val="none" w:sz="0" w:space="0" w:color="auto"/>
      </w:divBdr>
    </w:div>
    <w:div w:id="510997041">
      <w:bodyDiv w:val="1"/>
      <w:marLeft w:val="0"/>
      <w:marRight w:val="0"/>
      <w:marTop w:val="0"/>
      <w:marBottom w:val="0"/>
      <w:divBdr>
        <w:top w:val="none" w:sz="0" w:space="0" w:color="auto"/>
        <w:left w:val="none" w:sz="0" w:space="0" w:color="auto"/>
        <w:bottom w:val="none" w:sz="0" w:space="0" w:color="auto"/>
        <w:right w:val="none" w:sz="0" w:space="0" w:color="auto"/>
      </w:divBdr>
    </w:div>
    <w:div w:id="534079468">
      <w:bodyDiv w:val="1"/>
      <w:marLeft w:val="0"/>
      <w:marRight w:val="0"/>
      <w:marTop w:val="0"/>
      <w:marBottom w:val="0"/>
      <w:divBdr>
        <w:top w:val="none" w:sz="0" w:space="0" w:color="auto"/>
        <w:left w:val="none" w:sz="0" w:space="0" w:color="auto"/>
        <w:bottom w:val="none" w:sz="0" w:space="0" w:color="auto"/>
        <w:right w:val="none" w:sz="0" w:space="0" w:color="auto"/>
      </w:divBdr>
    </w:div>
    <w:div w:id="549926733">
      <w:bodyDiv w:val="1"/>
      <w:marLeft w:val="0"/>
      <w:marRight w:val="0"/>
      <w:marTop w:val="0"/>
      <w:marBottom w:val="0"/>
      <w:divBdr>
        <w:top w:val="none" w:sz="0" w:space="0" w:color="auto"/>
        <w:left w:val="none" w:sz="0" w:space="0" w:color="auto"/>
        <w:bottom w:val="none" w:sz="0" w:space="0" w:color="auto"/>
        <w:right w:val="none" w:sz="0" w:space="0" w:color="auto"/>
      </w:divBdr>
    </w:div>
    <w:div w:id="554705200">
      <w:bodyDiv w:val="1"/>
      <w:marLeft w:val="0"/>
      <w:marRight w:val="0"/>
      <w:marTop w:val="0"/>
      <w:marBottom w:val="0"/>
      <w:divBdr>
        <w:top w:val="none" w:sz="0" w:space="0" w:color="auto"/>
        <w:left w:val="none" w:sz="0" w:space="0" w:color="auto"/>
        <w:bottom w:val="none" w:sz="0" w:space="0" w:color="auto"/>
        <w:right w:val="none" w:sz="0" w:space="0" w:color="auto"/>
      </w:divBdr>
    </w:div>
    <w:div w:id="555631139">
      <w:bodyDiv w:val="1"/>
      <w:marLeft w:val="0"/>
      <w:marRight w:val="0"/>
      <w:marTop w:val="0"/>
      <w:marBottom w:val="0"/>
      <w:divBdr>
        <w:top w:val="none" w:sz="0" w:space="0" w:color="auto"/>
        <w:left w:val="none" w:sz="0" w:space="0" w:color="auto"/>
        <w:bottom w:val="none" w:sz="0" w:space="0" w:color="auto"/>
        <w:right w:val="none" w:sz="0" w:space="0" w:color="auto"/>
      </w:divBdr>
    </w:div>
    <w:div w:id="585193544">
      <w:bodyDiv w:val="1"/>
      <w:marLeft w:val="0"/>
      <w:marRight w:val="0"/>
      <w:marTop w:val="0"/>
      <w:marBottom w:val="0"/>
      <w:divBdr>
        <w:top w:val="none" w:sz="0" w:space="0" w:color="auto"/>
        <w:left w:val="none" w:sz="0" w:space="0" w:color="auto"/>
        <w:bottom w:val="none" w:sz="0" w:space="0" w:color="auto"/>
        <w:right w:val="none" w:sz="0" w:space="0" w:color="auto"/>
      </w:divBdr>
    </w:div>
    <w:div w:id="590166617">
      <w:bodyDiv w:val="1"/>
      <w:marLeft w:val="0"/>
      <w:marRight w:val="0"/>
      <w:marTop w:val="0"/>
      <w:marBottom w:val="0"/>
      <w:divBdr>
        <w:top w:val="none" w:sz="0" w:space="0" w:color="auto"/>
        <w:left w:val="none" w:sz="0" w:space="0" w:color="auto"/>
        <w:bottom w:val="none" w:sz="0" w:space="0" w:color="auto"/>
        <w:right w:val="none" w:sz="0" w:space="0" w:color="auto"/>
      </w:divBdr>
    </w:div>
    <w:div w:id="605967579">
      <w:bodyDiv w:val="1"/>
      <w:marLeft w:val="0"/>
      <w:marRight w:val="0"/>
      <w:marTop w:val="0"/>
      <w:marBottom w:val="0"/>
      <w:divBdr>
        <w:top w:val="none" w:sz="0" w:space="0" w:color="auto"/>
        <w:left w:val="none" w:sz="0" w:space="0" w:color="auto"/>
        <w:bottom w:val="none" w:sz="0" w:space="0" w:color="auto"/>
        <w:right w:val="none" w:sz="0" w:space="0" w:color="auto"/>
      </w:divBdr>
    </w:div>
    <w:div w:id="622880794">
      <w:bodyDiv w:val="1"/>
      <w:marLeft w:val="0"/>
      <w:marRight w:val="0"/>
      <w:marTop w:val="0"/>
      <w:marBottom w:val="0"/>
      <w:divBdr>
        <w:top w:val="none" w:sz="0" w:space="0" w:color="auto"/>
        <w:left w:val="none" w:sz="0" w:space="0" w:color="auto"/>
        <w:bottom w:val="none" w:sz="0" w:space="0" w:color="auto"/>
        <w:right w:val="none" w:sz="0" w:space="0" w:color="auto"/>
      </w:divBdr>
    </w:div>
    <w:div w:id="639001079">
      <w:bodyDiv w:val="1"/>
      <w:marLeft w:val="0"/>
      <w:marRight w:val="0"/>
      <w:marTop w:val="0"/>
      <w:marBottom w:val="0"/>
      <w:divBdr>
        <w:top w:val="none" w:sz="0" w:space="0" w:color="auto"/>
        <w:left w:val="none" w:sz="0" w:space="0" w:color="auto"/>
        <w:bottom w:val="none" w:sz="0" w:space="0" w:color="auto"/>
        <w:right w:val="none" w:sz="0" w:space="0" w:color="auto"/>
      </w:divBdr>
    </w:div>
    <w:div w:id="655112583">
      <w:bodyDiv w:val="1"/>
      <w:marLeft w:val="0"/>
      <w:marRight w:val="0"/>
      <w:marTop w:val="0"/>
      <w:marBottom w:val="0"/>
      <w:divBdr>
        <w:top w:val="none" w:sz="0" w:space="0" w:color="auto"/>
        <w:left w:val="none" w:sz="0" w:space="0" w:color="auto"/>
        <w:bottom w:val="none" w:sz="0" w:space="0" w:color="auto"/>
        <w:right w:val="none" w:sz="0" w:space="0" w:color="auto"/>
      </w:divBdr>
    </w:div>
    <w:div w:id="679232632">
      <w:bodyDiv w:val="1"/>
      <w:marLeft w:val="0"/>
      <w:marRight w:val="0"/>
      <w:marTop w:val="0"/>
      <w:marBottom w:val="0"/>
      <w:divBdr>
        <w:top w:val="none" w:sz="0" w:space="0" w:color="auto"/>
        <w:left w:val="none" w:sz="0" w:space="0" w:color="auto"/>
        <w:bottom w:val="none" w:sz="0" w:space="0" w:color="auto"/>
        <w:right w:val="none" w:sz="0" w:space="0" w:color="auto"/>
      </w:divBdr>
    </w:div>
    <w:div w:id="686949946">
      <w:bodyDiv w:val="1"/>
      <w:marLeft w:val="0"/>
      <w:marRight w:val="0"/>
      <w:marTop w:val="0"/>
      <w:marBottom w:val="0"/>
      <w:divBdr>
        <w:top w:val="none" w:sz="0" w:space="0" w:color="auto"/>
        <w:left w:val="none" w:sz="0" w:space="0" w:color="auto"/>
        <w:bottom w:val="none" w:sz="0" w:space="0" w:color="auto"/>
        <w:right w:val="none" w:sz="0" w:space="0" w:color="auto"/>
      </w:divBdr>
    </w:div>
    <w:div w:id="742991744">
      <w:bodyDiv w:val="1"/>
      <w:marLeft w:val="0"/>
      <w:marRight w:val="0"/>
      <w:marTop w:val="0"/>
      <w:marBottom w:val="0"/>
      <w:divBdr>
        <w:top w:val="none" w:sz="0" w:space="0" w:color="auto"/>
        <w:left w:val="none" w:sz="0" w:space="0" w:color="auto"/>
        <w:bottom w:val="none" w:sz="0" w:space="0" w:color="auto"/>
        <w:right w:val="none" w:sz="0" w:space="0" w:color="auto"/>
      </w:divBdr>
    </w:div>
    <w:div w:id="800078539">
      <w:bodyDiv w:val="1"/>
      <w:marLeft w:val="0"/>
      <w:marRight w:val="0"/>
      <w:marTop w:val="0"/>
      <w:marBottom w:val="0"/>
      <w:divBdr>
        <w:top w:val="none" w:sz="0" w:space="0" w:color="auto"/>
        <w:left w:val="none" w:sz="0" w:space="0" w:color="auto"/>
        <w:bottom w:val="none" w:sz="0" w:space="0" w:color="auto"/>
        <w:right w:val="none" w:sz="0" w:space="0" w:color="auto"/>
      </w:divBdr>
    </w:div>
    <w:div w:id="801121125">
      <w:bodyDiv w:val="1"/>
      <w:marLeft w:val="0"/>
      <w:marRight w:val="0"/>
      <w:marTop w:val="0"/>
      <w:marBottom w:val="0"/>
      <w:divBdr>
        <w:top w:val="none" w:sz="0" w:space="0" w:color="auto"/>
        <w:left w:val="none" w:sz="0" w:space="0" w:color="auto"/>
        <w:bottom w:val="none" w:sz="0" w:space="0" w:color="auto"/>
        <w:right w:val="none" w:sz="0" w:space="0" w:color="auto"/>
      </w:divBdr>
    </w:div>
    <w:div w:id="812068234">
      <w:bodyDiv w:val="1"/>
      <w:marLeft w:val="0"/>
      <w:marRight w:val="0"/>
      <w:marTop w:val="0"/>
      <w:marBottom w:val="0"/>
      <w:divBdr>
        <w:top w:val="none" w:sz="0" w:space="0" w:color="auto"/>
        <w:left w:val="none" w:sz="0" w:space="0" w:color="auto"/>
        <w:bottom w:val="none" w:sz="0" w:space="0" w:color="auto"/>
        <w:right w:val="none" w:sz="0" w:space="0" w:color="auto"/>
      </w:divBdr>
    </w:div>
    <w:div w:id="813793111">
      <w:bodyDiv w:val="1"/>
      <w:marLeft w:val="0"/>
      <w:marRight w:val="0"/>
      <w:marTop w:val="0"/>
      <w:marBottom w:val="0"/>
      <w:divBdr>
        <w:top w:val="none" w:sz="0" w:space="0" w:color="auto"/>
        <w:left w:val="none" w:sz="0" w:space="0" w:color="auto"/>
        <w:bottom w:val="none" w:sz="0" w:space="0" w:color="auto"/>
        <w:right w:val="none" w:sz="0" w:space="0" w:color="auto"/>
      </w:divBdr>
    </w:div>
    <w:div w:id="815757759">
      <w:bodyDiv w:val="1"/>
      <w:marLeft w:val="0"/>
      <w:marRight w:val="0"/>
      <w:marTop w:val="0"/>
      <w:marBottom w:val="0"/>
      <w:divBdr>
        <w:top w:val="none" w:sz="0" w:space="0" w:color="auto"/>
        <w:left w:val="none" w:sz="0" w:space="0" w:color="auto"/>
        <w:bottom w:val="none" w:sz="0" w:space="0" w:color="auto"/>
        <w:right w:val="none" w:sz="0" w:space="0" w:color="auto"/>
      </w:divBdr>
    </w:div>
    <w:div w:id="817261635">
      <w:bodyDiv w:val="1"/>
      <w:marLeft w:val="0"/>
      <w:marRight w:val="0"/>
      <w:marTop w:val="0"/>
      <w:marBottom w:val="0"/>
      <w:divBdr>
        <w:top w:val="none" w:sz="0" w:space="0" w:color="auto"/>
        <w:left w:val="none" w:sz="0" w:space="0" w:color="auto"/>
        <w:bottom w:val="none" w:sz="0" w:space="0" w:color="auto"/>
        <w:right w:val="none" w:sz="0" w:space="0" w:color="auto"/>
      </w:divBdr>
    </w:div>
    <w:div w:id="828204720">
      <w:bodyDiv w:val="1"/>
      <w:marLeft w:val="0"/>
      <w:marRight w:val="0"/>
      <w:marTop w:val="0"/>
      <w:marBottom w:val="0"/>
      <w:divBdr>
        <w:top w:val="none" w:sz="0" w:space="0" w:color="auto"/>
        <w:left w:val="none" w:sz="0" w:space="0" w:color="auto"/>
        <w:bottom w:val="none" w:sz="0" w:space="0" w:color="auto"/>
        <w:right w:val="none" w:sz="0" w:space="0" w:color="auto"/>
      </w:divBdr>
    </w:div>
    <w:div w:id="857236212">
      <w:bodyDiv w:val="1"/>
      <w:marLeft w:val="0"/>
      <w:marRight w:val="0"/>
      <w:marTop w:val="0"/>
      <w:marBottom w:val="0"/>
      <w:divBdr>
        <w:top w:val="none" w:sz="0" w:space="0" w:color="auto"/>
        <w:left w:val="none" w:sz="0" w:space="0" w:color="auto"/>
        <w:bottom w:val="none" w:sz="0" w:space="0" w:color="auto"/>
        <w:right w:val="none" w:sz="0" w:space="0" w:color="auto"/>
      </w:divBdr>
    </w:div>
    <w:div w:id="858542935">
      <w:bodyDiv w:val="1"/>
      <w:marLeft w:val="0"/>
      <w:marRight w:val="0"/>
      <w:marTop w:val="0"/>
      <w:marBottom w:val="0"/>
      <w:divBdr>
        <w:top w:val="none" w:sz="0" w:space="0" w:color="auto"/>
        <w:left w:val="none" w:sz="0" w:space="0" w:color="auto"/>
        <w:bottom w:val="none" w:sz="0" w:space="0" w:color="auto"/>
        <w:right w:val="none" w:sz="0" w:space="0" w:color="auto"/>
      </w:divBdr>
    </w:div>
    <w:div w:id="881552379">
      <w:bodyDiv w:val="1"/>
      <w:marLeft w:val="0"/>
      <w:marRight w:val="0"/>
      <w:marTop w:val="0"/>
      <w:marBottom w:val="0"/>
      <w:divBdr>
        <w:top w:val="none" w:sz="0" w:space="0" w:color="auto"/>
        <w:left w:val="none" w:sz="0" w:space="0" w:color="auto"/>
        <w:bottom w:val="none" w:sz="0" w:space="0" w:color="auto"/>
        <w:right w:val="none" w:sz="0" w:space="0" w:color="auto"/>
      </w:divBdr>
    </w:div>
    <w:div w:id="890773708">
      <w:bodyDiv w:val="1"/>
      <w:marLeft w:val="0"/>
      <w:marRight w:val="0"/>
      <w:marTop w:val="0"/>
      <w:marBottom w:val="0"/>
      <w:divBdr>
        <w:top w:val="none" w:sz="0" w:space="0" w:color="auto"/>
        <w:left w:val="none" w:sz="0" w:space="0" w:color="auto"/>
        <w:bottom w:val="none" w:sz="0" w:space="0" w:color="auto"/>
        <w:right w:val="none" w:sz="0" w:space="0" w:color="auto"/>
      </w:divBdr>
    </w:div>
    <w:div w:id="903415625">
      <w:bodyDiv w:val="1"/>
      <w:marLeft w:val="0"/>
      <w:marRight w:val="0"/>
      <w:marTop w:val="0"/>
      <w:marBottom w:val="0"/>
      <w:divBdr>
        <w:top w:val="none" w:sz="0" w:space="0" w:color="auto"/>
        <w:left w:val="none" w:sz="0" w:space="0" w:color="auto"/>
        <w:bottom w:val="none" w:sz="0" w:space="0" w:color="auto"/>
        <w:right w:val="none" w:sz="0" w:space="0" w:color="auto"/>
      </w:divBdr>
    </w:div>
    <w:div w:id="926503780">
      <w:bodyDiv w:val="1"/>
      <w:marLeft w:val="0"/>
      <w:marRight w:val="0"/>
      <w:marTop w:val="0"/>
      <w:marBottom w:val="0"/>
      <w:divBdr>
        <w:top w:val="none" w:sz="0" w:space="0" w:color="auto"/>
        <w:left w:val="none" w:sz="0" w:space="0" w:color="auto"/>
        <w:bottom w:val="none" w:sz="0" w:space="0" w:color="auto"/>
        <w:right w:val="none" w:sz="0" w:space="0" w:color="auto"/>
      </w:divBdr>
    </w:div>
    <w:div w:id="941307191">
      <w:bodyDiv w:val="1"/>
      <w:marLeft w:val="0"/>
      <w:marRight w:val="0"/>
      <w:marTop w:val="0"/>
      <w:marBottom w:val="0"/>
      <w:divBdr>
        <w:top w:val="none" w:sz="0" w:space="0" w:color="auto"/>
        <w:left w:val="none" w:sz="0" w:space="0" w:color="auto"/>
        <w:bottom w:val="none" w:sz="0" w:space="0" w:color="auto"/>
        <w:right w:val="none" w:sz="0" w:space="0" w:color="auto"/>
      </w:divBdr>
    </w:div>
    <w:div w:id="1000162371">
      <w:bodyDiv w:val="1"/>
      <w:marLeft w:val="0"/>
      <w:marRight w:val="0"/>
      <w:marTop w:val="0"/>
      <w:marBottom w:val="0"/>
      <w:divBdr>
        <w:top w:val="none" w:sz="0" w:space="0" w:color="auto"/>
        <w:left w:val="none" w:sz="0" w:space="0" w:color="auto"/>
        <w:bottom w:val="none" w:sz="0" w:space="0" w:color="auto"/>
        <w:right w:val="none" w:sz="0" w:space="0" w:color="auto"/>
      </w:divBdr>
      <w:divsChild>
        <w:div w:id="1341203356">
          <w:marLeft w:val="0"/>
          <w:marRight w:val="0"/>
          <w:marTop w:val="0"/>
          <w:marBottom w:val="0"/>
          <w:divBdr>
            <w:top w:val="none" w:sz="0" w:space="0" w:color="auto"/>
            <w:left w:val="none" w:sz="0" w:space="0" w:color="auto"/>
            <w:bottom w:val="none" w:sz="0" w:space="0" w:color="auto"/>
            <w:right w:val="none" w:sz="0" w:space="0" w:color="auto"/>
          </w:divBdr>
        </w:div>
        <w:div w:id="451173843">
          <w:marLeft w:val="0"/>
          <w:marRight w:val="0"/>
          <w:marTop w:val="0"/>
          <w:marBottom w:val="0"/>
          <w:divBdr>
            <w:top w:val="none" w:sz="0" w:space="0" w:color="auto"/>
            <w:left w:val="none" w:sz="0" w:space="0" w:color="auto"/>
            <w:bottom w:val="none" w:sz="0" w:space="0" w:color="auto"/>
            <w:right w:val="none" w:sz="0" w:space="0" w:color="auto"/>
          </w:divBdr>
        </w:div>
        <w:div w:id="15160768">
          <w:marLeft w:val="0"/>
          <w:marRight w:val="0"/>
          <w:marTop w:val="0"/>
          <w:marBottom w:val="0"/>
          <w:divBdr>
            <w:top w:val="none" w:sz="0" w:space="0" w:color="auto"/>
            <w:left w:val="none" w:sz="0" w:space="0" w:color="auto"/>
            <w:bottom w:val="none" w:sz="0" w:space="0" w:color="auto"/>
            <w:right w:val="none" w:sz="0" w:space="0" w:color="auto"/>
          </w:divBdr>
        </w:div>
        <w:div w:id="1426875580">
          <w:marLeft w:val="0"/>
          <w:marRight w:val="0"/>
          <w:marTop w:val="0"/>
          <w:marBottom w:val="0"/>
          <w:divBdr>
            <w:top w:val="none" w:sz="0" w:space="0" w:color="auto"/>
            <w:left w:val="none" w:sz="0" w:space="0" w:color="auto"/>
            <w:bottom w:val="none" w:sz="0" w:space="0" w:color="auto"/>
            <w:right w:val="none" w:sz="0" w:space="0" w:color="auto"/>
          </w:divBdr>
        </w:div>
        <w:div w:id="879901804">
          <w:marLeft w:val="0"/>
          <w:marRight w:val="0"/>
          <w:marTop w:val="0"/>
          <w:marBottom w:val="0"/>
          <w:divBdr>
            <w:top w:val="none" w:sz="0" w:space="0" w:color="auto"/>
            <w:left w:val="none" w:sz="0" w:space="0" w:color="auto"/>
            <w:bottom w:val="none" w:sz="0" w:space="0" w:color="auto"/>
            <w:right w:val="none" w:sz="0" w:space="0" w:color="auto"/>
          </w:divBdr>
        </w:div>
        <w:div w:id="161701764">
          <w:marLeft w:val="0"/>
          <w:marRight w:val="0"/>
          <w:marTop w:val="0"/>
          <w:marBottom w:val="0"/>
          <w:divBdr>
            <w:top w:val="none" w:sz="0" w:space="0" w:color="auto"/>
            <w:left w:val="none" w:sz="0" w:space="0" w:color="auto"/>
            <w:bottom w:val="none" w:sz="0" w:space="0" w:color="auto"/>
            <w:right w:val="none" w:sz="0" w:space="0" w:color="auto"/>
          </w:divBdr>
        </w:div>
        <w:div w:id="7609537">
          <w:marLeft w:val="0"/>
          <w:marRight w:val="0"/>
          <w:marTop w:val="0"/>
          <w:marBottom w:val="0"/>
          <w:divBdr>
            <w:top w:val="none" w:sz="0" w:space="0" w:color="auto"/>
            <w:left w:val="none" w:sz="0" w:space="0" w:color="auto"/>
            <w:bottom w:val="none" w:sz="0" w:space="0" w:color="auto"/>
            <w:right w:val="none" w:sz="0" w:space="0" w:color="auto"/>
          </w:divBdr>
        </w:div>
        <w:div w:id="442383751">
          <w:marLeft w:val="0"/>
          <w:marRight w:val="0"/>
          <w:marTop w:val="0"/>
          <w:marBottom w:val="0"/>
          <w:divBdr>
            <w:top w:val="none" w:sz="0" w:space="0" w:color="auto"/>
            <w:left w:val="none" w:sz="0" w:space="0" w:color="auto"/>
            <w:bottom w:val="none" w:sz="0" w:space="0" w:color="auto"/>
            <w:right w:val="none" w:sz="0" w:space="0" w:color="auto"/>
          </w:divBdr>
        </w:div>
        <w:div w:id="1949845523">
          <w:marLeft w:val="0"/>
          <w:marRight w:val="0"/>
          <w:marTop w:val="0"/>
          <w:marBottom w:val="0"/>
          <w:divBdr>
            <w:top w:val="none" w:sz="0" w:space="0" w:color="auto"/>
            <w:left w:val="none" w:sz="0" w:space="0" w:color="auto"/>
            <w:bottom w:val="none" w:sz="0" w:space="0" w:color="auto"/>
            <w:right w:val="none" w:sz="0" w:space="0" w:color="auto"/>
          </w:divBdr>
        </w:div>
        <w:div w:id="192882499">
          <w:marLeft w:val="0"/>
          <w:marRight w:val="0"/>
          <w:marTop w:val="0"/>
          <w:marBottom w:val="0"/>
          <w:divBdr>
            <w:top w:val="none" w:sz="0" w:space="0" w:color="auto"/>
            <w:left w:val="none" w:sz="0" w:space="0" w:color="auto"/>
            <w:bottom w:val="none" w:sz="0" w:space="0" w:color="auto"/>
            <w:right w:val="none" w:sz="0" w:space="0" w:color="auto"/>
          </w:divBdr>
        </w:div>
        <w:div w:id="1350524898">
          <w:marLeft w:val="0"/>
          <w:marRight w:val="0"/>
          <w:marTop w:val="0"/>
          <w:marBottom w:val="0"/>
          <w:divBdr>
            <w:top w:val="none" w:sz="0" w:space="0" w:color="auto"/>
            <w:left w:val="none" w:sz="0" w:space="0" w:color="auto"/>
            <w:bottom w:val="none" w:sz="0" w:space="0" w:color="auto"/>
            <w:right w:val="none" w:sz="0" w:space="0" w:color="auto"/>
          </w:divBdr>
        </w:div>
        <w:div w:id="1922061825">
          <w:marLeft w:val="0"/>
          <w:marRight w:val="0"/>
          <w:marTop w:val="0"/>
          <w:marBottom w:val="0"/>
          <w:divBdr>
            <w:top w:val="none" w:sz="0" w:space="0" w:color="auto"/>
            <w:left w:val="none" w:sz="0" w:space="0" w:color="auto"/>
            <w:bottom w:val="none" w:sz="0" w:space="0" w:color="auto"/>
            <w:right w:val="none" w:sz="0" w:space="0" w:color="auto"/>
          </w:divBdr>
        </w:div>
        <w:div w:id="1946503101">
          <w:marLeft w:val="0"/>
          <w:marRight w:val="0"/>
          <w:marTop w:val="0"/>
          <w:marBottom w:val="0"/>
          <w:divBdr>
            <w:top w:val="none" w:sz="0" w:space="0" w:color="auto"/>
            <w:left w:val="none" w:sz="0" w:space="0" w:color="auto"/>
            <w:bottom w:val="none" w:sz="0" w:space="0" w:color="auto"/>
            <w:right w:val="none" w:sz="0" w:space="0" w:color="auto"/>
          </w:divBdr>
        </w:div>
        <w:div w:id="991788279">
          <w:marLeft w:val="0"/>
          <w:marRight w:val="0"/>
          <w:marTop w:val="0"/>
          <w:marBottom w:val="0"/>
          <w:divBdr>
            <w:top w:val="none" w:sz="0" w:space="0" w:color="auto"/>
            <w:left w:val="none" w:sz="0" w:space="0" w:color="auto"/>
            <w:bottom w:val="none" w:sz="0" w:space="0" w:color="auto"/>
            <w:right w:val="none" w:sz="0" w:space="0" w:color="auto"/>
          </w:divBdr>
        </w:div>
      </w:divsChild>
    </w:div>
    <w:div w:id="1012150937">
      <w:bodyDiv w:val="1"/>
      <w:marLeft w:val="0"/>
      <w:marRight w:val="0"/>
      <w:marTop w:val="0"/>
      <w:marBottom w:val="0"/>
      <w:divBdr>
        <w:top w:val="none" w:sz="0" w:space="0" w:color="auto"/>
        <w:left w:val="none" w:sz="0" w:space="0" w:color="auto"/>
        <w:bottom w:val="none" w:sz="0" w:space="0" w:color="auto"/>
        <w:right w:val="none" w:sz="0" w:space="0" w:color="auto"/>
      </w:divBdr>
    </w:div>
    <w:div w:id="1050346075">
      <w:bodyDiv w:val="1"/>
      <w:marLeft w:val="0"/>
      <w:marRight w:val="0"/>
      <w:marTop w:val="0"/>
      <w:marBottom w:val="0"/>
      <w:divBdr>
        <w:top w:val="none" w:sz="0" w:space="0" w:color="auto"/>
        <w:left w:val="none" w:sz="0" w:space="0" w:color="auto"/>
        <w:bottom w:val="none" w:sz="0" w:space="0" w:color="auto"/>
        <w:right w:val="none" w:sz="0" w:space="0" w:color="auto"/>
      </w:divBdr>
    </w:div>
    <w:div w:id="1050805020">
      <w:bodyDiv w:val="1"/>
      <w:marLeft w:val="0"/>
      <w:marRight w:val="0"/>
      <w:marTop w:val="0"/>
      <w:marBottom w:val="0"/>
      <w:divBdr>
        <w:top w:val="none" w:sz="0" w:space="0" w:color="auto"/>
        <w:left w:val="none" w:sz="0" w:space="0" w:color="auto"/>
        <w:bottom w:val="none" w:sz="0" w:space="0" w:color="auto"/>
        <w:right w:val="none" w:sz="0" w:space="0" w:color="auto"/>
      </w:divBdr>
    </w:div>
    <w:div w:id="1062630985">
      <w:bodyDiv w:val="1"/>
      <w:marLeft w:val="0"/>
      <w:marRight w:val="0"/>
      <w:marTop w:val="0"/>
      <w:marBottom w:val="0"/>
      <w:divBdr>
        <w:top w:val="none" w:sz="0" w:space="0" w:color="auto"/>
        <w:left w:val="none" w:sz="0" w:space="0" w:color="auto"/>
        <w:bottom w:val="none" w:sz="0" w:space="0" w:color="auto"/>
        <w:right w:val="none" w:sz="0" w:space="0" w:color="auto"/>
      </w:divBdr>
    </w:div>
    <w:div w:id="1063060334">
      <w:bodyDiv w:val="1"/>
      <w:marLeft w:val="0"/>
      <w:marRight w:val="0"/>
      <w:marTop w:val="0"/>
      <w:marBottom w:val="0"/>
      <w:divBdr>
        <w:top w:val="none" w:sz="0" w:space="0" w:color="auto"/>
        <w:left w:val="none" w:sz="0" w:space="0" w:color="auto"/>
        <w:bottom w:val="none" w:sz="0" w:space="0" w:color="auto"/>
        <w:right w:val="none" w:sz="0" w:space="0" w:color="auto"/>
      </w:divBdr>
    </w:div>
    <w:div w:id="1101031788">
      <w:bodyDiv w:val="1"/>
      <w:marLeft w:val="0"/>
      <w:marRight w:val="0"/>
      <w:marTop w:val="0"/>
      <w:marBottom w:val="0"/>
      <w:divBdr>
        <w:top w:val="none" w:sz="0" w:space="0" w:color="auto"/>
        <w:left w:val="none" w:sz="0" w:space="0" w:color="auto"/>
        <w:bottom w:val="none" w:sz="0" w:space="0" w:color="auto"/>
        <w:right w:val="none" w:sz="0" w:space="0" w:color="auto"/>
      </w:divBdr>
    </w:div>
    <w:div w:id="1144855235">
      <w:bodyDiv w:val="1"/>
      <w:marLeft w:val="0"/>
      <w:marRight w:val="0"/>
      <w:marTop w:val="0"/>
      <w:marBottom w:val="0"/>
      <w:divBdr>
        <w:top w:val="none" w:sz="0" w:space="0" w:color="auto"/>
        <w:left w:val="none" w:sz="0" w:space="0" w:color="auto"/>
        <w:bottom w:val="none" w:sz="0" w:space="0" w:color="auto"/>
        <w:right w:val="none" w:sz="0" w:space="0" w:color="auto"/>
      </w:divBdr>
    </w:div>
    <w:div w:id="1155072138">
      <w:bodyDiv w:val="1"/>
      <w:marLeft w:val="0"/>
      <w:marRight w:val="0"/>
      <w:marTop w:val="0"/>
      <w:marBottom w:val="0"/>
      <w:divBdr>
        <w:top w:val="none" w:sz="0" w:space="0" w:color="auto"/>
        <w:left w:val="none" w:sz="0" w:space="0" w:color="auto"/>
        <w:bottom w:val="none" w:sz="0" w:space="0" w:color="auto"/>
        <w:right w:val="none" w:sz="0" w:space="0" w:color="auto"/>
      </w:divBdr>
    </w:div>
    <w:div w:id="1198153997">
      <w:bodyDiv w:val="1"/>
      <w:marLeft w:val="0"/>
      <w:marRight w:val="0"/>
      <w:marTop w:val="0"/>
      <w:marBottom w:val="0"/>
      <w:divBdr>
        <w:top w:val="none" w:sz="0" w:space="0" w:color="auto"/>
        <w:left w:val="none" w:sz="0" w:space="0" w:color="auto"/>
        <w:bottom w:val="none" w:sz="0" w:space="0" w:color="auto"/>
        <w:right w:val="none" w:sz="0" w:space="0" w:color="auto"/>
      </w:divBdr>
    </w:div>
    <w:div w:id="1206604911">
      <w:bodyDiv w:val="1"/>
      <w:marLeft w:val="0"/>
      <w:marRight w:val="0"/>
      <w:marTop w:val="0"/>
      <w:marBottom w:val="0"/>
      <w:divBdr>
        <w:top w:val="none" w:sz="0" w:space="0" w:color="auto"/>
        <w:left w:val="none" w:sz="0" w:space="0" w:color="auto"/>
        <w:bottom w:val="none" w:sz="0" w:space="0" w:color="auto"/>
        <w:right w:val="none" w:sz="0" w:space="0" w:color="auto"/>
      </w:divBdr>
    </w:div>
    <w:div w:id="1231773700">
      <w:bodyDiv w:val="1"/>
      <w:marLeft w:val="0"/>
      <w:marRight w:val="0"/>
      <w:marTop w:val="0"/>
      <w:marBottom w:val="0"/>
      <w:divBdr>
        <w:top w:val="none" w:sz="0" w:space="0" w:color="auto"/>
        <w:left w:val="none" w:sz="0" w:space="0" w:color="auto"/>
        <w:bottom w:val="none" w:sz="0" w:space="0" w:color="auto"/>
        <w:right w:val="none" w:sz="0" w:space="0" w:color="auto"/>
      </w:divBdr>
    </w:div>
    <w:div w:id="1258951370">
      <w:bodyDiv w:val="1"/>
      <w:marLeft w:val="0"/>
      <w:marRight w:val="0"/>
      <w:marTop w:val="0"/>
      <w:marBottom w:val="0"/>
      <w:divBdr>
        <w:top w:val="none" w:sz="0" w:space="0" w:color="auto"/>
        <w:left w:val="none" w:sz="0" w:space="0" w:color="auto"/>
        <w:bottom w:val="none" w:sz="0" w:space="0" w:color="auto"/>
        <w:right w:val="none" w:sz="0" w:space="0" w:color="auto"/>
      </w:divBdr>
    </w:div>
    <w:div w:id="1283027828">
      <w:bodyDiv w:val="1"/>
      <w:marLeft w:val="0"/>
      <w:marRight w:val="0"/>
      <w:marTop w:val="0"/>
      <w:marBottom w:val="0"/>
      <w:divBdr>
        <w:top w:val="none" w:sz="0" w:space="0" w:color="auto"/>
        <w:left w:val="none" w:sz="0" w:space="0" w:color="auto"/>
        <w:bottom w:val="none" w:sz="0" w:space="0" w:color="auto"/>
        <w:right w:val="none" w:sz="0" w:space="0" w:color="auto"/>
      </w:divBdr>
    </w:div>
    <w:div w:id="1307929163">
      <w:bodyDiv w:val="1"/>
      <w:marLeft w:val="0"/>
      <w:marRight w:val="0"/>
      <w:marTop w:val="0"/>
      <w:marBottom w:val="0"/>
      <w:divBdr>
        <w:top w:val="none" w:sz="0" w:space="0" w:color="auto"/>
        <w:left w:val="none" w:sz="0" w:space="0" w:color="auto"/>
        <w:bottom w:val="none" w:sz="0" w:space="0" w:color="auto"/>
        <w:right w:val="none" w:sz="0" w:space="0" w:color="auto"/>
      </w:divBdr>
    </w:div>
    <w:div w:id="1322004496">
      <w:bodyDiv w:val="1"/>
      <w:marLeft w:val="0"/>
      <w:marRight w:val="0"/>
      <w:marTop w:val="0"/>
      <w:marBottom w:val="0"/>
      <w:divBdr>
        <w:top w:val="none" w:sz="0" w:space="0" w:color="auto"/>
        <w:left w:val="none" w:sz="0" w:space="0" w:color="auto"/>
        <w:bottom w:val="none" w:sz="0" w:space="0" w:color="auto"/>
        <w:right w:val="none" w:sz="0" w:space="0" w:color="auto"/>
      </w:divBdr>
    </w:div>
    <w:div w:id="1323042103">
      <w:bodyDiv w:val="1"/>
      <w:marLeft w:val="0"/>
      <w:marRight w:val="0"/>
      <w:marTop w:val="0"/>
      <w:marBottom w:val="0"/>
      <w:divBdr>
        <w:top w:val="none" w:sz="0" w:space="0" w:color="auto"/>
        <w:left w:val="none" w:sz="0" w:space="0" w:color="auto"/>
        <w:bottom w:val="none" w:sz="0" w:space="0" w:color="auto"/>
        <w:right w:val="none" w:sz="0" w:space="0" w:color="auto"/>
      </w:divBdr>
    </w:div>
    <w:div w:id="1376344423">
      <w:bodyDiv w:val="1"/>
      <w:marLeft w:val="0"/>
      <w:marRight w:val="0"/>
      <w:marTop w:val="0"/>
      <w:marBottom w:val="0"/>
      <w:divBdr>
        <w:top w:val="none" w:sz="0" w:space="0" w:color="auto"/>
        <w:left w:val="none" w:sz="0" w:space="0" w:color="auto"/>
        <w:bottom w:val="none" w:sz="0" w:space="0" w:color="auto"/>
        <w:right w:val="none" w:sz="0" w:space="0" w:color="auto"/>
      </w:divBdr>
    </w:div>
    <w:div w:id="1395934654">
      <w:bodyDiv w:val="1"/>
      <w:marLeft w:val="0"/>
      <w:marRight w:val="0"/>
      <w:marTop w:val="0"/>
      <w:marBottom w:val="0"/>
      <w:divBdr>
        <w:top w:val="none" w:sz="0" w:space="0" w:color="auto"/>
        <w:left w:val="none" w:sz="0" w:space="0" w:color="auto"/>
        <w:bottom w:val="none" w:sz="0" w:space="0" w:color="auto"/>
        <w:right w:val="none" w:sz="0" w:space="0" w:color="auto"/>
      </w:divBdr>
    </w:div>
    <w:div w:id="1417675882">
      <w:bodyDiv w:val="1"/>
      <w:marLeft w:val="0"/>
      <w:marRight w:val="0"/>
      <w:marTop w:val="0"/>
      <w:marBottom w:val="0"/>
      <w:divBdr>
        <w:top w:val="none" w:sz="0" w:space="0" w:color="auto"/>
        <w:left w:val="none" w:sz="0" w:space="0" w:color="auto"/>
        <w:bottom w:val="none" w:sz="0" w:space="0" w:color="auto"/>
        <w:right w:val="none" w:sz="0" w:space="0" w:color="auto"/>
      </w:divBdr>
    </w:div>
    <w:div w:id="1423916073">
      <w:bodyDiv w:val="1"/>
      <w:marLeft w:val="0"/>
      <w:marRight w:val="0"/>
      <w:marTop w:val="0"/>
      <w:marBottom w:val="0"/>
      <w:divBdr>
        <w:top w:val="none" w:sz="0" w:space="0" w:color="auto"/>
        <w:left w:val="none" w:sz="0" w:space="0" w:color="auto"/>
        <w:bottom w:val="none" w:sz="0" w:space="0" w:color="auto"/>
        <w:right w:val="none" w:sz="0" w:space="0" w:color="auto"/>
      </w:divBdr>
    </w:div>
    <w:div w:id="1430202972">
      <w:bodyDiv w:val="1"/>
      <w:marLeft w:val="0"/>
      <w:marRight w:val="0"/>
      <w:marTop w:val="0"/>
      <w:marBottom w:val="0"/>
      <w:divBdr>
        <w:top w:val="none" w:sz="0" w:space="0" w:color="auto"/>
        <w:left w:val="none" w:sz="0" w:space="0" w:color="auto"/>
        <w:bottom w:val="none" w:sz="0" w:space="0" w:color="auto"/>
        <w:right w:val="none" w:sz="0" w:space="0" w:color="auto"/>
      </w:divBdr>
    </w:div>
    <w:div w:id="1458797705">
      <w:bodyDiv w:val="1"/>
      <w:marLeft w:val="0"/>
      <w:marRight w:val="0"/>
      <w:marTop w:val="0"/>
      <w:marBottom w:val="0"/>
      <w:divBdr>
        <w:top w:val="none" w:sz="0" w:space="0" w:color="auto"/>
        <w:left w:val="none" w:sz="0" w:space="0" w:color="auto"/>
        <w:bottom w:val="none" w:sz="0" w:space="0" w:color="auto"/>
        <w:right w:val="none" w:sz="0" w:space="0" w:color="auto"/>
      </w:divBdr>
    </w:div>
    <w:div w:id="1473716871">
      <w:bodyDiv w:val="1"/>
      <w:marLeft w:val="0"/>
      <w:marRight w:val="0"/>
      <w:marTop w:val="0"/>
      <w:marBottom w:val="0"/>
      <w:divBdr>
        <w:top w:val="none" w:sz="0" w:space="0" w:color="auto"/>
        <w:left w:val="none" w:sz="0" w:space="0" w:color="auto"/>
        <w:bottom w:val="none" w:sz="0" w:space="0" w:color="auto"/>
        <w:right w:val="none" w:sz="0" w:space="0" w:color="auto"/>
      </w:divBdr>
    </w:div>
    <w:div w:id="1496146462">
      <w:bodyDiv w:val="1"/>
      <w:marLeft w:val="0"/>
      <w:marRight w:val="0"/>
      <w:marTop w:val="0"/>
      <w:marBottom w:val="0"/>
      <w:divBdr>
        <w:top w:val="none" w:sz="0" w:space="0" w:color="auto"/>
        <w:left w:val="none" w:sz="0" w:space="0" w:color="auto"/>
        <w:bottom w:val="none" w:sz="0" w:space="0" w:color="auto"/>
        <w:right w:val="none" w:sz="0" w:space="0" w:color="auto"/>
      </w:divBdr>
    </w:div>
    <w:div w:id="1539392588">
      <w:bodyDiv w:val="1"/>
      <w:marLeft w:val="0"/>
      <w:marRight w:val="0"/>
      <w:marTop w:val="0"/>
      <w:marBottom w:val="0"/>
      <w:divBdr>
        <w:top w:val="none" w:sz="0" w:space="0" w:color="auto"/>
        <w:left w:val="none" w:sz="0" w:space="0" w:color="auto"/>
        <w:bottom w:val="none" w:sz="0" w:space="0" w:color="auto"/>
        <w:right w:val="none" w:sz="0" w:space="0" w:color="auto"/>
      </w:divBdr>
    </w:div>
    <w:div w:id="1562515637">
      <w:bodyDiv w:val="1"/>
      <w:marLeft w:val="0"/>
      <w:marRight w:val="0"/>
      <w:marTop w:val="0"/>
      <w:marBottom w:val="0"/>
      <w:divBdr>
        <w:top w:val="none" w:sz="0" w:space="0" w:color="auto"/>
        <w:left w:val="none" w:sz="0" w:space="0" w:color="auto"/>
        <w:bottom w:val="none" w:sz="0" w:space="0" w:color="auto"/>
        <w:right w:val="none" w:sz="0" w:space="0" w:color="auto"/>
      </w:divBdr>
    </w:div>
    <w:div w:id="1574848890">
      <w:bodyDiv w:val="1"/>
      <w:marLeft w:val="0"/>
      <w:marRight w:val="0"/>
      <w:marTop w:val="0"/>
      <w:marBottom w:val="0"/>
      <w:divBdr>
        <w:top w:val="none" w:sz="0" w:space="0" w:color="auto"/>
        <w:left w:val="none" w:sz="0" w:space="0" w:color="auto"/>
        <w:bottom w:val="none" w:sz="0" w:space="0" w:color="auto"/>
        <w:right w:val="none" w:sz="0" w:space="0" w:color="auto"/>
      </w:divBdr>
    </w:div>
    <w:div w:id="1601177557">
      <w:bodyDiv w:val="1"/>
      <w:marLeft w:val="0"/>
      <w:marRight w:val="0"/>
      <w:marTop w:val="0"/>
      <w:marBottom w:val="0"/>
      <w:divBdr>
        <w:top w:val="none" w:sz="0" w:space="0" w:color="auto"/>
        <w:left w:val="none" w:sz="0" w:space="0" w:color="auto"/>
        <w:bottom w:val="none" w:sz="0" w:space="0" w:color="auto"/>
        <w:right w:val="none" w:sz="0" w:space="0" w:color="auto"/>
      </w:divBdr>
    </w:div>
    <w:div w:id="1666585965">
      <w:bodyDiv w:val="1"/>
      <w:marLeft w:val="0"/>
      <w:marRight w:val="0"/>
      <w:marTop w:val="0"/>
      <w:marBottom w:val="0"/>
      <w:divBdr>
        <w:top w:val="none" w:sz="0" w:space="0" w:color="auto"/>
        <w:left w:val="none" w:sz="0" w:space="0" w:color="auto"/>
        <w:bottom w:val="none" w:sz="0" w:space="0" w:color="auto"/>
        <w:right w:val="none" w:sz="0" w:space="0" w:color="auto"/>
      </w:divBdr>
    </w:div>
    <w:div w:id="1676227904">
      <w:bodyDiv w:val="1"/>
      <w:marLeft w:val="0"/>
      <w:marRight w:val="0"/>
      <w:marTop w:val="0"/>
      <w:marBottom w:val="0"/>
      <w:divBdr>
        <w:top w:val="none" w:sz="0" w:space="0" w:color="auto"/>
        <w:left w:val="none" w:sz="0" w:space="0" w:color="auto"/>
        <w:bottom w:val="none" w:sz="0" w:space="0" w:color="auto"/>
        <w:right w:val="none" w:sz="0" w:space="0" w:color="auto"/>
      </w:divBdr>
    </w:div>
    <w:div w:id="1684479370">
      <w:bodyDiv w:val="1"/>
      <w:marLeft w:val="0"/>
      <w:marRight w:val="0"/>
      <w:marTop w:val="0"/>
      <w:marBottom w:val="0"/>
      <w:divBdr>
        <w:top w:val="none" w:sz="0" w:space="0" w:color="auto"/>
        <w:left w:val="none" w:sz="0" w:space="0" w:color="auto"/>
        <w:bottom w:val="none" w:sz="0" w:space="0" w:color="auto"/>
        <w:right w:val="none" w:sz="0" w:space="0" w:color="auto"/>
      </w:divBdr>
    </w:div>
    <w:div w:id="1736662779">
      <w:bodyDiv w:val="1"/>
      <w:marLeft w:val="0"/>
      <w:marRight w:val="0"/>
      <w:marTop w:val="0"/>
      <w:marBottom w:val="0"/>
      <w:divBdr>
        <w:top w:val="none" w:sz="0" w:space="0" w:color="auto"/>
        <w:left w:val="none" w:sz="0" w:space="0" w:color="auto"/>
        <w:bottom w:val="none" w:sz="0" w:space="0" w:color="auto"/>
        <w:right w:val="none" w:sz="0" w:space="0" w:color="auto"/>
      </w:divBdr>
    </w:div>
    <w:div w:id="1737585077">
      <w:bodyDiv w:val="1"/>
      <w:marLeft w:val="0"/>
      <w:marRight w:val="0"/>
      <w:marTop w:val="0"/>
      <w:marBottom w:val="0"/>
      <w:divBdr>
        <w:top w:val="none" w:sz="0" w:space="0" w:color="auto"/>
        <w:left w:val="none" w:sz="0" w:space="0" w:color="auto"/>
        <w:bottom w:val="none" w:sz="0" w:space="0" w:color="auto"/>
        <w:right w:val="none" w:sz="0" w:space="0" w:color="auto"/>
      </w:divBdr>
    </w:div>
    <w:div w:id="1740516842">
      <w:bodyDiv w:val="1"/>
      <w:marLeft w:val="0"/>
      <w:marRight w:val="0"/>
      <w:marTop w:val="0"/>
      <w:marBottom w:val="0"/>
      <w:divBdr>
        <w:top w:val="none" w:sz="0" w:space="0" w:color="auto"/>
        <w:left w:val="none" w:sz="0" w:space="0" w:color="auto"/>
        <w:bottom w:val="none" w:sz="0" w:space="0" w:color="auto"/>
        <w:right w:val="none" w:sz="0" w:space="0" w:color="auto"/>
      </w:divBdr>
    </w:div>
    <w:div w:id="1742945082">
      <w:bodyDiv w:val="1"/>
      <w:marLeft w:val="0"/>
      <w:marRight w:val="0"/>
      <w:marTop w:val="0"/>
      <w:marBottom w:val="0"/>
      <w:divBdr>
        <w:top w:val="none" w:sz="0" w:space="0" w:color="auto"/>
        <w:left w:val="none" w:sz="0" w:space="0" w:color="auto"/>
        <w:bottom w:val="none" w:sz="0" w:space="0" w:color="auto"/>
        <w:right w:val="none" w:sz="0" w:space="0" w:color="auto"/>
      </w:divBdr>
    </w:div>
    <w:div w:id="1844707981">
      <w:bodyDiv w:val="1"/>
      <w:marLeft w:val="0"/>
      <w:marRight w:val="0"/>
      <w:marTop w:val="0"/>
      <w:marBottom w:val="0"/>
      <w:divBdr>
        <w:top w:val="none" w:sz="0" w:space="0" w:color="auto"/>
        <w:left w:val="none" w:sz="0" w:space="0" w:color="auto"/>
        <w:bottom w:val="none" w:sz="0" w:space="0" w:color="auto"/>
        <w:right w:val="none" w:sz="0" w:space="0" w:color="auto"/>
      </w:divBdr>
    </w:div>
    <w:div w:id="1862815211">
      <w:bodyDiv w:val="1"/>
      <w:marLeft w:val="0"/>
      <w:marRight w:val="0"/>
      <w:marTop w:val="0"/>
      <w:marBottom w:val="0"/>
      <w:divBdr>
        <w:top w:val="none" w:sz="0" w:space="0" w:color="auto"/>
        <w:left w:val="none" w:sz="0" w:space="0" w:color="auto"/>
        <w:bottom w:val="none" w:sz="0" w:space="0" w:color="auto"/>
        <w:right w:val="none" w:sz="0" w:space="0" w:color="auto"/>
      </w:divBdr>
    </w:div>
    <w:div w:id="1863669960">
      <w:bodyDiv w:val="1"/>
      <w:marLeft w:val="0"/>
      <w:marRight w:val="0"/>
      <w:marTop w:val="0"/>
      <w:marBottom w:val="0"/>
      <w:divBdr>
        <w:top w:val="none" w:sz="0" w:space="0" w:color="auto"/>
        <w:left w:val="none" w:sz="0" w:space="0" w:color="auto"/>
        <w:bottom w:val="none" w:sz="0" w:space="0" w:color="auto"/>
        <w:right w:val="none" w:sz="0" w:space="0" w:color="auto"/>
      </w:divBdr>
    </w:div>
    <w:div w:id="1866554539">
      <w:bodyDiv w:val="1"/>
      <w:marLeft w:val="0"/>
      <w:marRight w:val="0"/>
      <w:marTop w:val="0"/>
      <w:marBottom w:val="0"/>
      <w:divBdr>
        <w:top w:val="none" w:sz="0" w:space="0" w:color="auto"/>
        <w:left w:val="none" w:sz="0" w:space="0" w:color="auto"/>
        <w:bottom w:val="none" w:sz="0" w:space="0" w:color="auto"/>
        <w:right w:val="none" w:sz="0" w:space="0" w:color="auto"/>
      </w:divBdr>
    </w:div>
    <w:div w:id="1868448222">
      <w:bodyDiv w:val="1"/>
      <w:marLeft w:val="0"/>
      <w:marRight w:val="0"/>
      <w:marTop w:val="0"/>
      <w:marBottom w:val="0"/>
      <w:divBdr>
        <w:top w:val="none" w:sz="0" w:space="0" w:color="auto"/>
        <w:left w:val="none" w:sz="0" w:space="0" w:color="auto"/>
        <w:bottom w:val="none" w:sz="0" w:space="0" w:color="auto"/>
        <w:right w:val="none" w:sz="0" w:space="0" w:color="auto"/>
      </w:divBdr>
    </w:div>
    <w:div w:id="1894850674">
      <w:bodyDiv w:val="1"/>
      <w:marLeft w:val="0"/>
      <w:marRight w:val="0"/>
      <w:marTop w:val="0"/>
      <w:marBottom w:val="0"/>
      <w:divBdr>
        <w:top w:val="none" w:sz="0" w:space="0" w:color="auto"/>
        <w:left w:val="none" w:sz="0" w:space="0" w:color="auto"/>
        <w:bottom w:val="none" w:sz="0" w:space="0" w:color="auto"/>
        <w:right w:val="none" w:sz="0" w:space="0" w:color="auto"/>
      </w:divBdr>
    </w:div>
    <w:div w:id="1942450258">
      <w:bodyDiv w:val="1"/>
      <w:marLeft w:val="0"/>
      <w:marRight w:val="0"/>
      <w:marTop w:val="0"/>
      <w:marBottom w:val="0"/>
      <w:divBdr>
        <w:top w:val="none" w:sz="0" w:space="0" w:color="auto"/>
        <w:left w:val="none" w:sz="0" w:space="0" w:color="auto"/>
        <w:bottom w:val="none" w:sz="0" w:space="0" w:color="auto"/>
        <w:right w:val="none" w:sz="0" w:space="0" w:color="auto"/>
      </w:divBdr>
    </w:div>
    <w:div w:id="1956210215">
      <w:bodyDiv w:val="1"/>
      <w:marLeft w:val="0"/>
      <w:marRight w:val="0"/>
      <w:marTop w:val="0"/>
      <w:marBottom w:val="0"/>
      <w:divBdr>
        <w:top w:val="none" w:sz="0" w:space="0" w:color="auto"/>
        <w:left w:val="none" w:sz="0" w:space="0" w:color="auto"/>
        <w:bottom w:val="none" w:sz="0" w:space="0" w:color="auto"/>
        <w:right w:val="none" w:sz="0" w:space="0" w:color="auto"/>
      </w:divBdr>
    </w:div>
    <w:div w:id="1970044404">
      <w:bodyDiv w:val="1"/>
      <w:marLeft w:val="0"/>
      <w:marRight w:val="0"/>
      <w:marTop w:val="0"/>
      <w:marBottom w:val="0"/>
      <w:divBdr>
        <w:top w:val="none" w:sz="0" w:space="0" w:color="auto"/>
        <w:left w:val="none" w:sz="0" w:space="0" w:color="auto"/>
        <w:bottom w:val="none" w:sz="0" w:space="0" w:color="auto"/>
        <w:right w:val="none" w:sz="0" w:space="0" w:color="auto"/>
      </w:divBdr>
    </w:div>
    <w:div w:id="1978292003">
      <w:bodyDiv w:val="1"/>
      <w:marLeft w:val="0"/>
      <w:marRight w:val="0"/>
      <w:marTop w:val="0"/>
      <w:marBottom w:val="0"/>
      <w:divBdr>
        <w:top w:val="none" w:sz="0" w:space="0" w:color="auto"/>
        <w:left w:val="none" w:sz="0" w:space="0" w:color="auto"/>
        <w:bottom w:val="none" w:sz="0" w:space="0" w:color="auto"/>
        <w:right w:val="none" w:sz="0" w:space="0" w:color="auto"/>
      </w:divBdr>
    </w:div>
    <w:div w:id="1986857422">
      <w:bodyDiv w:val="1"/>
      <w:marLeft w:val="0"/>
      <w:marRight w:val="0"/>
      <w:marTop w:val="0"/>
      <w:marBottom w:val="0"/>
      <w:divBdr>
        <w:top w:val="none" w:sz="0" w:space="0" w:color="auto"/>
        <w:left w:val="none" w:sz="0" w:space="0" w:color="auto"/>
        <w:bottom w:val="none" w:sz="0" w:space="0" w:color="auto"/>
        <w:right w:val="none" w:sz="0" w:space="0" w:color="auto"/>
      </w:divBdr>
    </w:div>
    <w:div w:id="1994289522">
      <w:bodyDiv w:val="1"/>
      <w:marLeft w:val="0"/>
      <w:marRight w:val="0"/>
      <w:marTop w:val="0"/>
      <w:marBottom w:val="0"/>
      <w:divBdr>
        <w:top w:val="none" w:sz="0" w:space="0" w:color="auto"/>
        <w:left w:val="none" w:sz="0" w:space="0" w:color="auto"/>
        <w:bottom w:val="none" w:sz="0" w:space="0" w:color="auto"/>
        <w:right w:val="none" w:sz="0" w:space="0" w:color="auto"/>
      </w:divBdr>
    </w:div>
    <w:div w:id="2017729472">
      <w:bodyDiv w:val="1"/>
      <w:marLeft w:val="0"/>
      <w:marRight w:val="0"/>
      <w:marTop w:val="0"/>
      <w:marBottom w:val="0"/>
      <w:divBdr>
        <w:top w:val="none" w:sz="0" w:space="0" w:color="auto"/>
        <w:left w:val="none" w:sz="0" w:space="0" w:color="auto"/>
        <w:bottom w:val="none" w:sz="0" w:space="0" w:color="auto"/>
        <w:right w:val="none" w:sz="0" w:space="0" w:color="auto"/>
      </w:divBdr>
    </w:div>
    <w:div w:id="2024354975">
      <w:bodyDiv w:val="1"/>
      <w:marLeft w:val="0"/>
      <w:marRight w:val="0"/>
      <w:marTop w:val="0"/>
      <w:marBottom w:val="0"/>
      <w:divBdr>
        <w:top w:val="none" w:sz="0" w:space="0" w:color="auto"/>
        <w:left w:val="none" w:sz="0" w:space="0" w:color="auto"/>
        <w:bottom w:val="none" w:sz="0" w:space="0" w:color="auto"/>
        <w:right w:val="none" w:sz="0" w:space="0" w:color="auto"/>
      </w:divBdr>
    </w:div>
    <w:div w:id="2057772106">
      <w:bodyDiv w:val="1"/>
      <w:marLeft w:val="0"/>
      <w:marRight w:val="0"/>
      <w:marTop w:val="0"/>
      <w:marBottom w:val="0"/>
      <w:divBdr>
        <w:top w:val="none" w:sz="0" w:space="0" w:color="auto"/>
        <w:left w:val="none" w:sz="0" w:space="0" w:color="auto"/>
        <w:bottom w:val="none" w:sz="0" w:space="0" w:color="auto"/>
        <w:right w:val="none" w:sz="0" w:space="0" w:color="auto"/>
      </w:divBdr>
    </w:div>
    <w:div w:id="2095121878">
      <w:bodyDiv w:val="1"/>
      <w:marLeft w:val="0"/>
      <w:marRight w:val="0"/>
      <w:marTop w:val="0"/>
      <w:marBottom w:val="0"/>
      <w:divBdr>
        <w:top w:val="none" w:sz="0" w:space="0" w:color="auto"/>
        <w:left w:val="none" w:sz="0" w:space="0" w:color="auto"/>
        <w:bottom w:val="none" w:sz="0" w:space="0" w:color="auto"/>
        <w:right w:val="none" w:sz="0" w:space="0" w:color="auto"/>
      </w:divBdr>
    </w:div>
    <w:div w:id="2107966324">
      <w:bodyDiv w:val="1"/>
      <w:marLeft w:val="0"/>
      <w:marRight w:val="0"/>
      <w:marTop w:val="0"/>
      <w:marBottom w:val="0"/>
      <w:divBdr>
        <w:top w:val="none" w:sz="0" w:space="0" w:color="auto"/>
        <w:left w:val="none" w:sz="0" w:space="0" w:color="auto"/>
        <w:bottom w:val="none" w:sz="0" w:space="0" w:color="auto"/>
        <w:right w:val="none" w:sz="0" w:space="0" w:color="auto"/>
      </w:divBdr>
    </w:div>
    <w:div w:id="2118669321">
      <w:bodyDiv w:val="1"/>
      <w:marLeft w:val="0"/>
      <w:marRight w:val="0"/>
      <w:marTop w:val="0"/>
      <w:marBottom w:val="0"/>
      <w:divBdr>
        <w:top w:val="none" w:sz="0" w:space="0" w:color="auto"/>
        <w:left w:val="none" w:sz="0" w:space="0" w:color="auto"/>
        <w:bottom w:val="none" w:sz="0" w:space="0" w:color="auto"/>
        <w:right w:val="none" w:sz="0" w:space="0" w:color="auto"/>
      </w:divBdr>
    </w:div>
    <w:div w:id="2124684195">
      <w:bodyDiv w:val="1"/>
      <w:marLeft w:val="0"/>
      <w:marRight w:val="0"/>
      <w:marTop w:val="0"/>
      <w:marBottom w:val="0"/>
      <w:divBdr>
        <w:top w:val="none" w:sz="0" w:space="0" w:color="auto"/>
        <w:left w:val="none" w:sz="0" w:space="0" w:color="auto"/>
        <w:bottom w:val="none" w:sz="0" w:space="0" w:color="auto"/>
        <w:right w:val="none" w:sz="0" w:space="0" w:color="auto"/>
      </w:divBdr>
    </w:div>
    <w:div w:id="2127919587">
      <w:bodyDiv w:val="1"/>
      <w:marLeft w:val="0"/>
      <w:marRight w:val="0"/>
      <w:marTop w:val="0"/>
      <w:marBottom w:val="0"/>
      <w:divBdr>
        <w:top w:val="none" w:sz="0" w:space="0" w:color="auto"/>
        <w:left w:val="none" w:sz="0" w:space="0" w:color="auto"/>
        <w:bottom w:val="none" w:sz="0" w:space="0" w:color="auto"/>
        <w:right w:val="none" w:sz="0" w:space="0" w:color="auto"/>
      </w:divBdr>
    </w:div>
    <w:div w:id="21379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image" Target="media/image4.png"/><Relationship Id="rId21" Type="http://schemas.openxmlformats.org/officeDocument/2006/relationships/image" Target="media/image5.png"/><Relationship Id="rId22" Type="http://schemas.openxmlformats.org/officeDocument/2006/relationships/image" Target="media/image6.JPG"/><Relationship Id="rId23" Type="http://schemas.openxmlformats.org/officeDocument/2006/relationships/image" Target="media/image7.png"/><Relationship Id="rId24" Type="http://schemas.openxmlformats.org/officeDocument/2006/relationships/image" Target="media/image8.png"/><Relationship Id="rId25" Type="http://schemas.openxmlformats.org/officeDocument/2006/relationships/image" Target="media/image9.png"/><Relationship Id="rId26" Type="http://schemas.openxmlformats.org/officeDocument/2006/relationships/image" Target="media/image10.png"/><Relationship Id="rId27" Type="http://schemas.openxmlformats.org/officeDocument/2006/relationships/image" Target="media/image11.png"/><Relationship Id="rId28" Type="http://schemas.openxmlformats.org/officeDocument/2006/relationships/footer" Target="footer5.xml"/><Relationship Id="rId29" Type="http://schemas.openxmlformats.org/officeDocument/2006/relationships/fontTable" Target="fontTable.xml"/><Relationship Id="rId30" Type="http://schemas.openxmlformats.org/officeDocument/2006/relationships/glossaryDocument" Target="glossary/document.xml"/><Relationship Id="rId31"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eader" Target="header2.xml"/><Relationship Id="rId12" Type="http://schemas.openxmlformats.org/officeDocument/2006/relationships/hyperlink" Target="mailto:enquiries@ukopa.co.uk" TargetMode="External"/><Relationship Id="rId13" Type="http://schemas.openxmlformats.org/officeDocument/2006/relationships/hyperlink" Target="http://www.UKOPA.co.uk" TargetMode="Externa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footer" Target="footer4.xml"/><Relationship Id="rId19" Type="http://schemas.openxmlformats.org/officeDocument/2006/relationships/image" Target="media/image3.e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ha\Documents\@Work\UKOPA\FARWG\GPG%20Development\TBN%20Template%20Oct%2017%20V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778D8D701A4C619FB7BB748F40B5BF"/>
        <w:category>
          <w:name w:val="General"/>
          <w:gallery w:val="placeholder"/>
        </w:category>
        <w:types>
          <w:type w:val="bbPlcHdr"/>
        </w:types>
        <w:behaviors>
          <w:behavior w:val="content"/>
        </w:behaviors>
        <w:guid w:val="{0A4D8964-5948-4D74-9F8D-D578CFF75C0D}"/>
      </w:docPartPr>
      <w:docPartBody>
        <w:p w:rsidR="00433BC0" w:rsidRDefault="00E0228A">
          <w:pPr>
            <w:pStyle w:val="B5778D8D701A4C619FB7BB748F40B5BF"/>
          </w:pPr>
          <w:r w:rsidRPr="00B83874">
            <w:rPr>
              <w:rStyle w:val="PlaceholderText"/>
            </w:rPr>
            <w:t>[Title]</w:t>
          </w:r>
        </w:p>
      </w:docPartBody>
    </w:docPart>
    <w:docPart>
      <w:docPartPr>
        <w:name w:val="F46A8CCDD5324DE3978AB5A49DE18E4B"/>
        <w:category>
          <w:name w:val="General"/>
          <w:gallery w:val="placeholder"/>
        </w:category>
        <w:types>
          <w:type w:val="bbPlcHdr"/>
        </w:types>
        <w:behaviors>
          <w:behavior w:val="content"/>
        </w:behaviors>
        <w:guid w:val="{89857513-C12E-4847-A44A-0861802A3BD2}"/>
      </w:docPartPr>
      <w:docPartBody>
        <w:p w:rsidR="00433BC0" w:rsidRDefault="00E0228A">
          <w:pPr>
            <w:pStyle w:val="F46A8CCDD5324DE3978AB5A49DE18E4B"/>
          </w:pPr>
          <w:r w:rsidRPr="00B83874">
            <w:rPr>
              <w:rStyle w:val="PlaceholderText"/>
            </w:rPr>
            <w:t>[Subject]</w:t>
          </w:r>
        </w:p>
      </w:docPartBody>
    </w:docPart>
    <w:docPart>
      <w:docPartPr>
        <w:name w:val="9C1CA94947CB44BCB0E98FD28F75E2F2"/>
        <w:category>
          <w:name w:val="General"/>
          <w:gallery w:val="placeholder"/>
        </w:category>
        <w:types>
          <w:type w:val="bbPlcHdr"/>
        </w:types>
        <w:behaviors>
          <w:behavior w:val="content"/>
        </w:behaviors>
        <w:guid w:val="{FC06B731-AD27-4694-B7DF-EC54B92735BC}"/>
      </w:docPartPr>
      <w:docPartBody>
        <w:p w:rsidR="00433BC0" w:rsidRDefault="00E0228A">
          <w:pPr>
            <w:pStyle w:val="9C1CA94947CB44BCB0E98FD28F75E2F2"/>
          </w:pPr>
          <w:r w:rsidRPr="00917A5B">
            <w:rPr>
              <w:rStyle w:val="PlaceholderText"/>
            </w:rPr>
            <w:t>[Comments]</w:t>
          </w:r>
        </w:p>
      </w:docPartBody>
    </w:docPart>
    <w:docPart>
      <w:docPartPr>
        <w:name w:val="6BA14B5C5915438C8CB906455E6D5BB8"/>
        <w:category>
          <w:name w:val="General"/>
          <w:gallery w:val="placeholder"/>
        </w:category>
        <w:types>
          <w:type w:val="bbPlcHdr"/>
        </w:types>
        <w:behaviors>
          <w:behavior w:val="content"/>
        </w:behaviors>
        <w:guid w:val="{20CFE18A-4BE9-45F9-A08D-9CC07BEC6C91}"/>
      </w:docPartPr>
      <w:docPartBody>
        <w:p w:rsidR="00433BC0" w:rsidRDefault="00E0228A">
          <w:pPr>
            <w:pStyle w:val="6BA14B5C5915438C8CB906455E6D5BB8"/>
          </w:pPr>
          <w:r w:rsidRPr="00917A5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Bold">
    <w:altName w:val="Arial"/>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Math">
    <w:panose1 w:val="02040503050406030204"/>
    <w:charset w:val="00"/>
    <w:family w:val="auto"/>
    <w:pitch w:val="variable"/>
    <w:sig w:usb0="E00002FF" w:usb1="420024FF"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F1F"/>
    <w:rsid w:val="000E215C"/>
    <w:rsid w:val="00165F1F"/>
    <w:rsid w:val="00433BC0"/>
    <w:rsid w:val="0090427A"/>
    <w:rsid w:val="00926FBD"/>
    <w:rsid w:val="009D5AA1"/>
    <w:rsid w:val="00A47225"/>
    <w:rsid w:val="00AD414F"/>
    <w:rsid w:val="00B93B25"/>
    <w:rsid w:val="00C13B19"/>
    <w:rsid w:val="00E0228A"/>
    <w:rsid w:val="00E16D57"/>
    <w:rsid w:val="00F13DD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3B25"/>
    <w:rPr>
      <w:color w:val="808080"/>
    </w:rPr>
  </w:style>
  <w:style w:type="paragraph" w:customStyle="1" w:styleId="B5778D8D701A4C619FB7BB748F40B5BF">
    <w:name w:val="B5778D8D701A4C619FB7BB748F40B5BF"/>
  </w:style>
  <w:style w:type="paragraph" w:customStyle="1" w:styleId="F46A8CCDD5324DE3978AB5A49DE18E4B">
    <w:name w:val="F46A8CCDD5324DE3978AB5A49DE18E4B"/>
  </w:style>
  <w:style w:type="paragraph" w:customStyle="1" w:styleId="9C1CA94947CB44BCB0E98FD28F75E2F2">
    <w:name w:val="9C1CA94947CB44BCB0E98FD28F75E2F2"/>
  </w:style>
  <w:style w:type="paragraph" w:customStyle="1" w:styleId="6BA14B5C5915438C8CB906455E6D5BB8">
    <w:name w:val="6BA14B5C5915438C8CB906455E6D5BB8"/>
  </w:style>
  <w:style w:type="paragraph" w:customStyle="1" w:styleId="043C6F2A580C41FBAC70052568F12300">
    <w:name w:val="043C6F2A580C41FBAC70052568F12300"/>
  </w:style>
  <w:style w:type="paragraph" w:customStyle="1" w:styleId="A8EDB86BF3B442998A46C1D89BADA714">
    <w:name w:val="A8EDB86BF3B442998A46C1D89BADA714"/>
  </w:style>
  <w:style w:type="paragraph" w:customStyle="1" w:styleId="FD94493203E94DA9ABF350A5D7346121">
    <w:name w:val="FD94493203E94DA9ABF350A5D7346121"/>
    <w:rsid w:val="00165F1F"/>
  </w:style>
  <w:style w:type="paragraph" w:customStyle="1" w:styleId="13B62066016C4FCE9488EE15A863C351">
    <w:name w:val="13B62066016C4FCE9488EE15A863C351"/>
    <w:rsid w:val="00B93B25"/>
  </w:style>
  <w:style w:type="paragraph" w:customStyle="1" w:styleId="43647DA37AE547FA951FBE113C1A3AE3">
    <w:name w:val="43647DA37AE547FA951FBE113C1A3AE3"/>
    <w:rsid w:val="00B93B25"/>
  </w:style>
  <w:style w:type="paragraph" w:customStyle="1" w:styleId="BAF768EE498B4A30B3AB4D71C5CB42DF">
    <w:name w:val="BAF768EE498B4A30B3AB4D71C5CB42DF"/>
    <w:rsid w:val="00B93B25"/>
  </w:style>
  <w:style w:type="paragraph" w:customStyle="1" w:styleId="A21992A7B8BA4546BE48A57941ADA447">
    <w:name w:val="A21992A7B8BA4546BE48A57941ADA447"/>
    <w:rsid w:val="00B93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Penspen 2014">
  <a:themeElements>
    <a:clrScheme name="Custom 35">
      <a:dk1>
        <a:srgbClr val="004553"/>
      </a:dk1>
      <a:lt1>
        <a:srgbClr val="FAF9F8"/>
      </a:lt1>
      <a:dk2>
        <a:srgbClr val="004553"/>
      </a:dk2>
      <a:lt2>
        <a:srgbClr val="004553"/>
      </a:lt2>
      <a:accent1>
        <a:srgbClr val="004553"/>
      </a:accent1>
      <a:accent2>
        <a:srgbClr val="CAC8C8"/>
      </a:accent2>
      <a:accent3>
        <a:srgbClr val="939598"/>
      </a:accent3>
      <a:accent4>
        <a:srgbClr val="001A29"/>
      </a:accent4>
      <a:accent5>
        <a:srgbClr val="29C0D2"/>
      </a:accent5>
      <a:accent6>
        <a:srgbClr val="FF6F00"/>
      </a:accent6>
      <a:hlink>
        <a:srgbClr val="29C0D2"/>
      </a:hlink>
      <a:folHlink>
        <a:srgbClr val="CAC8C8"/>
      </a:folHlink>
    </a:clrScheme>
    <a:fontScheme name="Penspen 20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PSR96</b:Tag>
    <b:SourceType>Misc</b:SourceType>
    <b:Guid>{BAC2C8A6-E2AE-4570-8C82-1320103BD5A0}</b:Guid>
    <b:Author>
      <b:Author>
        <b:Corporate>SI 1996 No. 825</b:Corporate>
      </b:Author>
    </b:Author>
    <b:Title>The Pipelines Safety Regulations 1996, as amended</b:Title>
    <b:Publisher>HMSO</b:Publisher>
    <b:RefOrder>1</b:RefOrder>
  </b:Source>
  <b:Source>
    <b:Tag>TD2</b:Tag>
    <b:SourceType>Misc</b:SourceType>
    <b:Guid>{651C057F-277E-4D6D-8DC0-A14CDFC616E2}</b:Guid>
    <b:Author>
      <b:Author>
        <b:Corporate>IGEM/TD/2 Edition 2</b:Corporate>
      </b:Author>
    </b:Author>
    <b:Title>Assessing the risks from high pressure natural gas pipelines</b:Title>
    <b:Year>2013</b:Year>
    <b:Publisher>Institution of Gas Engineers &amp; Managers</b:Publisher>
    <b:RefOrder>5</b:RefOrder>
  </b:Source>
  <b:Source>
    <b:Tag>PD8010_3_2012</b:Tag>
    <b:SourceType>Misc</b:SourceType>
    <b:Guid>{36BFFA25-D286-46E9-8F51-E64C32C0EA80}</b:Guid>
    <b:Title>Pipeline systems. Part 3: Steel pipelines on land and subsea pipelines - Guide to the application of pipeline risk assessement to proposed developments in the vicinity of major accident hazard pipelines containing flammables - Supplement to PD 8010-1:2004</b:Title>
    <b:Year>July 2013</b:Year>
    <b:Publisher>British Standards Institution</b:Publisher>
    <b:Author>
      <b:Author>
        <b:Corporate>PD 8010-3:2009+A1:2013</b:Corporate>
      </b:Author>
    </b:Author>
    <b:RefOrder>6</b:RefOrder>
  </b:Source>
  <b:Source>
    <b:Tag>TD1_Ed5</b:Tag>
    <b:SourceType>Misc</b:SourceType>
    <b:Guid>{299C6704-E89D-441B-A3F9-6B0EFF84B43B}</b:Guid>
    <b:Author>
      <b:Author>
        <b:Corporate>IGEM/TD/1 Edition 5 with amendments</b:Corporate>
      </b:Author>
    </b:Author>
    <b:Title>Steel pipelines and associated installations for high pressure gas transmission</b:Title>
    <b:Publisher>Communication 1789, Institution of Gas Engineers &amp; Managers</b:Publisher>
    <b:Year>July 2016</b:Year>
    <b:RefOrder>7</b:RefOrder>
  </b:Source>
  <b:Source>
    <b:Tag>CRR206_1999</b:Tag>
    <b:SourceType>Report</b:SourceType>
    <b:Guid>{07B891E0-FAF8-4D44-B3FD-693742767C87}</b:Guid>
    <b:Author>
      <b:Author>
        <b:Corporate>Contract Research Report 206/1999</b:Corporate>
      </b:Author>
    </b:Author>
    <b:Title>Risks from gasoline pipelines in the United Kingdom</b:Title>
    <b:Year>1999</b:Year>
    <b:Publisher> Prepared by Arthur D Little Limited for the Health and Safety Executive, HMSO</b:Publisher>
    <b:RefOrder>2</b:RefOrder>
  </b:Source>
  <b:Source>
    <b:Tag>HSE_LUP</b:Tag>
    <b:SourceType>DocumentFromInternetSite</b:SourceType>
    <b:Guid>{3E59B4ED-6816-4456-BA97-34CAE8FD945B}</b:Guid>
    <b:Author>
      <b:Author>
        <b:Corporate>Health and Safety Executive</b:Corporate>
      </b:Author>
    </b:Author>
    <b:YearAccessed>2017</b:YearAccessed>
    <b:MonthAccessed>12</b:MonthAccessed>
    <b:DayAccessed>15</b:DayAccessed>
    <b:URL>http://www.hse.gov.uk/landuseplanning/methodology.pdf</b:URL>
    <b:Title>HSE’S LAND USE PLANNING METHODOLOGY</b:Title>
    <b:RefOrder>8</b:RefOrder>
  </b:Source>
  <b:Source>
    <b:Tag>CRR210_1999</b:Tag>
    <b:SourceType>Report</b:SourceType>
    <b:Guid>{6DF9FCE5-C86F-4F1B-9617-E7579CBB4A58}</b:Guid>
    <b:Author>
      <b:Author>
        <b:Corporate>Contract Research Report 210/1999</b:Corporate>
      </b:Author>
    </b:Author>
    <b:Title>Assessing the risk from gasoline pipelines in the United Kingdom based on a review of historical expereience</b:Title>
    <b:Year>1999</b:Year>
    <b:Publisher>Prepared by WS Atkins Safety &amp; Reliability for the Health and Safety Executive, HMSO</b:Publisher>
    <b:RefOrder>3</b:RefOrder>
  </b:Source>
  <b:Source>
    <b:Tag>Buncefield</b:Tag>
    <b:SourceType>Report</b:SourceType>
    <b:Guid>{7472DFC9-8E0F-485F-B5F9-F5C13897E4C6}</b:Guid>
    <b:Author>
      <b:Author>
        <b:Corporate>Buncefield Major Incident Investigation Board</b:Corporate>
      </b:Author>
    </b:Author>
    <b:Title>The Buncefield Incident 11 December 2005, The final report of the Major Incident Investigation Board, Volume 1</b:Title>
    <b:Year>2008</b:Year>
    <b:RefOrder>4</b:RefOrder>
  </b:Source>
  <b:Source>
    <b:Tag>Lees_3rd_Ed</b:Tag>
    <b:SourceType>Book</b:SourceType>
    <b:Guid>{BCF7A759-3F77-4BF5-A87B-856B73CA1FE2}</b:Guid>
    <b:Title>Lees' Loss Prevention in the Process Industries</b:Title>
    <b:Year>3rd Edition, 2005</b:Year>
    <b:City>Oxford, UK</b:City>
    <b:Publisher>Elsevier Butterworth-Heinemann</b:Publisher>
    <b:Author>
      <b:Author>
        <b:Corporate>Mannan, S. eds.</b:Corporate>
      </b:Author>
    </b:Author>
    <b:RefOrder>15</b:RefOrder>
  </b:Source>
  <b:Source>
    <b:Tag>Bilo_Kinsman_1997b</b:Tag>
    <b:SourceType>JournalArticle</b:SourceType>
    <b:Guid>{721EDC39-2B08-4630-969A-377923DE4E62}</b:Guid>
    <b:Title>Thermal Radiation Criteria Used in Pipeline Risk Assessment</b:Title>
    <b:Year>1997</b:Year>
    <b:Author>
      <b:Author>
        <b:NameList>
          <b:Person>
            <b:Last>Bilo</b:Last>
            <b:First>M</b:First>
          </b:Person>
          <b:Person>
            <b:Last>Kinsman</b:Last>
            <b:First>P</b:First>
            <b:Middle>R</b:Middle>
          </b:Person>
        </b:NameList>
      </b:Author>
    </b:Author>
    <b:JournalName>Pipes &amp; Pipelines International</b:JournalName>
    <b:Pages>17-25</b:Pages>
    <b:Volume>42</b:Volume>
    <b:Issue>5 (November-December)</b:Issue>
    <b:RefOrder>16</b:RefOrder>
  </b:Source>
  <b:Source>
    <b:Tag>PD8010_1_2015</b:Tag>
    <b:SourceType>Misc</b:SourceType>
    <b:Guid>{29AAB2D4-B979-4934-BEF0-85FB30192276}</b:Guid>
    <b:Title>Pipeline systems - Part 1: Steel Pipelines on land - Code of practice</b:Title>
    <b:Year>March 2015</b:Year>
    <b:Publisher>British Standards Institution</b:Publisher>
    <b:Author>
      <b:Author>
        <b:Corporate>PD 8010-1:2015</b:Corporate>
      </b:Author>
    </b:Author>
    <b:RefOrder>9</b:RefOrder>
  </b:Source>
  <b:Source>
    <b:Tag>R2P2_2001</b:Tag>
    <b:SourceType>Report</b:SourceType>
    <b:Guid>{C8D4E3DB-5C21-4FA5-9558-F8AF67DCADEF}</b:Guid>
    <b:Author>
      <b:Author>
        <b:Corporate>Anon</b:Corporate>
      </b:Author>
    </b:Author>
    <b:Title>Reducing risks, protecting people. HSE's decision-making process</b:Title>
    <b:Year>2001</b:Year>
    <b:Publisher>HMSO</b:Publisher>
    <b:City>London</b:City>
    <b:RefOrder>17</b:RefOrder>
  </b:Source>
  <b:Source>
    <b:Tag>UKOPA_15_003</b:Tag>
    <b:SourceType>Report</b:SourceType>
    <b:Guid>{5A90E2E2-5ABA-4C93-AD4E-ADC72123ADE4}</b:Guid>
    <b:Author>
      <b:Author>
        <b:NameList>
          <b:Person>
            <b:Last>Haswell</b:Last>
            <b:First>J</b:First>
            <b:Middle>V</b:Middle>
          </b:Person>
          <b:Person>
            <b:Last>McConnell</b:Last>
            <b:First>R</b:First>
            <b:Middle>A</b:Middle>
          </b:Person>
        </b:NameList>
      </b:Author>
    </b:Author>
    <b:Title>UKOPA Pipeline Product Loss Incidents and Faults Report (1962 - 2014)</b:Title>
    <b:Year>UKOPA/15/003, Issue 1.1, December 2015</b:Year>
    <b:City>Ambergate</b:City>
    <b:RefOrder>11</b:RefOrder>
  </b:Source>
  <b:Source>
    <b:Tag>CONCAWE_8_11</b:Tag>
    <b:SourceType>Report</b:SourceType>
    <b:Guid>{58F4BBD0-946B-4284-897E-DE26EAE57F00}</b:Guid>
    <b:Author>
      <b:Author>
        <b:Corporate>CONCAWE</b:Corporate>
      </b:Author>
    </b:Author>
    <b:Title>Performance of European cross-country oil pipelines. Statistical summary of reported spillages in 2010 and since 1971</b:Title>
    <b:Year>report no. 8/11, December 2011</b:Year>
    <b:City>Brussels</b:City>
    <b:RefOrder>10</b:RefOrder>
  </b:Source>
  <b:Source>
    <b:Tag>CRR96_1996</b:Tag>
    <b:SourceType>Report</b:SourceType>
    <b:Guid>{3763BCBD-BEE1-4740-8ECD-C45787DCC221}</b:Guid>
    <b:Author>
      <b:Author>
        <b:NameList>
          <b:Person>
            <b:Last>Rew</b:Last>
            <b:First>P</b:First>
            <b:Middle>J</b:Middle>
          </b:Person>
          <b:Person>
            <b:Last>Hulbert</b:Last>
            <b:First>W</b:First>
            <b:Middle>G</b:Middle>
          </b:Person>
        </b:NameList>
      </b:Author>
    </b:Author>
    <b:Title>Development of Pool Fire Thermal Radiation Model</b:Title>
    <b:Year>HSE Contract Research Report No. 96/1996, 1996</b:Year>
    <b:Publisher>HMSO</b:Publisher>
    <b:RefOrder>14</b:RefOrder>
  </b:Source>
  <b:Source>
    <b:Tag>HSE_CD_228</b:Tag>
    <b:SourceType>DocumentFromInternetSite</b:SourceType>
    <b:Guid>{1C5C5169-E87C-4633-8237-1EB2142D583C}</b:Guid>
    <b:Title>Analysis of responses to the consultation on proposed amendments to the Pipelines Safety Regulations 1996 and the Health And Safety (Fees) Regulations 7 December to 1 March 2010</b:Title>
    <b:Author>
      <b:Author>
        <b:Corporate>Health and Safety Executive</b:Corporate>
      </b:Author>
    </b:Author>
    <b:YearAccessed>2018</b:YearAccessed>
    <b:MonthAccessed>August</b:MonthAccessed>
    <b:DayAccessed>8</b:DayAccessed>
    <b:URL>http://www.hse.gov.uk/consult/condocs/cd228-analysis.pdf</b:URL>
    <b:RefOrder>18</b:RefOrder>
  </b:Source>
  <b:Source>
    <b:Tag>RR1035_2015</b:Tag>
    <b:SourceType>Report</b:SourceType>
    <b:Guid>{576843A4-60CA-4B09-B568-F2C4ED55D315}</b:Guid>
    <b:Author>
      <b:Author>
        <b:Corporate>Research Report RR1035</b:Corporate>
      </b:Author>
    </b:Author>
    <b:Title>Update of pipeline failure rates for land use planning assessments</b:Title>
    <b:Publisher>Prepared by the Health and Safety Laboratory for the Health and Safety Executive 2015, HSE Books</b:Publisher>
    <b:Year>2015</b:Year>
    <b:RefOrder>12</b:RefOrder>
  </b:Source>
  <b:Source>
    <b:Tag>CPR_14E_YellowBook</b:Tag>
    <b:SourceType>Report</b:SourceType>
    <b:Guid>{D5B97443-5D3D-4114-80D4-87AFD8D1988E}</b:Guid>
    <b:Author>
      <b:Author>
        <b:Corporate>Committee for the Prevention of Disasters</b:Corporate>
      </b:Author>
    </b:Author>
    <b:Title>Methods for the calculation of Physical Effects. Due to the releases of hazardous materials (liquids and gases)</b:Title>
    <b:Year>Third edition, 2005</b:Year>
    <b:Publisher>CPR 14E</b:Publisher>
    <b:City>The Hague</b:City>
    <b:RefOrder>13</b:RefOrder>
  </b:Source>
</b:Sources>
</file>

<file path=customXml/itemProps1.xml><?xml version="1.0" encoding="utf-8"?>
<ds:datastoreItem xmlns:ds="http://schemas.openxmlformats.org/officeDocument/2006/customXml" ds:itemID="{79EF2F33-1250-C344-B2AB-6BE961B31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C:\Users\graha\Documents\@Work\UKOPA\FARWG\GPG Development\TBN Template Oct 17 V1.1.dotx</Template>
  <TotalTime>2</TotalTime>
  <Pages>21</Pages>
  <Words>5606</Words>
  <Characters>31955</Characters>
  <Application>Microsoft Macintosh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Technical Briefing Note</vt:lpstr>
    </vt:vector>
  </TitlesOfParts>
  <Company>UKOPA</Company>
  <LinksUpToDate>false</LinksUpToDate>
  <CharactersWithSpaces>37487</CharactersWithSpaces>
  <SharedDoc>false</SharedDoc>
  <HLinks>
    <vt:vector size="84" baseType="variant">
      <vt:variant>
        <vt:i4>1441842</vt:i4>
      </vt:variant>
      <vt:variant>
        <vt:i4>89</vt:i4>
      </vt:variant>
      <vt:variant>
        <vt:i4>0</vt:i4>
      </vt:variant>
      <vt:variant>
        <vt:i4>5</vt:i4>
      </vt:variant>
      <vt:variant>
        <vt:lpwstr/>
      </vt:variant>
      <vt:variant>
        <vt:lpwstr>_Toc270502010</vt:lpwstr>
      </vt:variant>
      <vt:variant>
        <vt:i4>1507378</vt:i4>
      </vt:variant>
      <vt:variant>
        <vt:i4>83</vt:i4>
      </vt:variant>
      <vt:variant>
        <vt:i4>0</vt:i4>
      </vt:variant>
      <vt:variant>
        <vt:i4>5</vt:i4>
      </vt:variant>
      <vt:variant>
        <vt:lpwstr/>
      </vt:variant>
      <vt:variant>
        <vt:lpwstr>_Toc270502009</vt:lpwstr>
      </vt:variant>
      <vt:variant>
        <vt:i4>1507378</vt:i4>
      </vt:variant>
      <vt:variant>
        <vt:i4>77</vt:i4>
      </vt:variant>
      <vt:variant>
        <vt:i4>0</vt:i4>
      </vt:variant>
      <vt:variant>
        <vt:i4>5</vt:i4>
      </vt:variant>
      <vt:variant>
        <vt:lpwstr/>
      </vt:variant>
      <vt:variant>
        <vt:lpwstr>_Toc270502008</vt:lpwstr>
      </vt:variant>
      <vt:variant>
        <vt:i4>1507378</vt:i4>
      </vt:variant>
      <vt:variant>
        <vt:i4>71</vt:i4>
      </vt:variant>
      <vt:variant>
        <vt:i4>0</vt:i4>
      </vt:variant>
      <vt:variant>
        <vt:i4>5</vt:i4>
      </vt:variant>
      <vt:variant>
        <vt:lpwstr/>
      </vt:variant>
      <vt:variant>
        <vt:lpwstr>_Toc270502007</vt:lpwstr>
      </vt:variant>
      <vt:variant>
        <vt:i4>1507378</vt:i4>
      </vt:variant>
      <vt:variant>
        <vt:i4>65</vt:i4>
      </vt:variant>
      <vt:variant>
        <vt:i4>0</vt:i4>
      </vt:variant>
      <vt:variant>
        <vt:i4>5</vt:i4>
      </vt:variant>
      <vt:variant>
        <vt:lpwstr/>
      </vt:variant>
      <vt:variant>
        <vt:lpwstr>_Toc270502006</vt:lpwstr>
      </vt:variant>
      <vt:variant>
        <vt:i4>1507378</vt:i4>
      </vt:variant>
      <vt:variant>
        <vt:i4>59</vt:i4>
      </vt:variant>
      <vt:variant>
        <vt:i4>0</vt:i4>
      </vt:variant>
      <vt:variant>
        <vt:i4>5</vt:i4>
      </vt:variant>
      <vt:variant>
        <vt:lpwstr/>
      </vt:variant>
      <vt:variant>
        <vt:lpwstr>_Toc270502005</vt:lpwstr>
      </vt:variant>
      <vt:variant>
        <vt:i4>1507378</vt:i4>
      </vt:variant>
      <vt:variant>
        <vt:i4>53</vt:i4>
      </vt:variant>
      <vt:variant>
        <vt:i4>0</vt:i4>
      </vt:variant>
      <vt:variant>
        <vt:i4>5</vt:i4>
      </vt:variant>
      <vt:variant>
        <vt:lpwstr/>
      </vt:variant>
      <vt:variant>
        <vt:lpwstr>_Toc270502004</vt:lpwstr>
      </vt:variant>
      <vt:variant>
        <vt:i4>1507378</vt:i4>
      </vt:variant>
      <vt:variant>
        <vt:i4>47</vt:i4>
      </vt:variant>
      <vt:variant>
        <vt:i4>0</vt:i4>
      </vt:variant>
      <vt:variant>
        <vt:i4>5</vt:i4>
      </vt:variant>
      <vt:variant>
        <vt:lpwstr/>
      </vt:variant>
      <vt:variant>
        <vt:lpwstr>_Toc270502003</vt:lpwstr>
      </vt:variant>
      <vt:variant>
        <vt:i4>1507378</vt:i4>
      </vt:variant>
      <vt:variant>
        <vt:i4>41</vt:i4>
      </vt:variant>
      <vt:variant>
        <vt:i4>0</vt:i4>
      </vt:variant>
      <vt:variant>
        <vt:i4>5</vt:i4>
      </vt:variant>
      <vt:variant>
        <vt:lpwstr/>
      </vt:variant>
      <vt:variant>
        <vt:lpwstr>_Toc270502002</vt:lpwstr>
      </vt:variant>
      <vt:variant>
        <vt:i4>1507378</vt:i4>
      </vt:variant>
      <vt:variant>
        <vt:i4>35</vt:i4>
      </vt:variant>
      <vt:variant>
        <vt:i4>0</vt:i4>
      </vt:variant>
      <vt:variant>
        <vt:i4>5</vt:i4>
      </vt:variant>
      <vt:variant>
        <vt:lpwstr/>
      </vt:variant>
      <vt:variant>
        <vt:lpwstr>_Toc270502001</vt:lpwstr>
      </vt:variant>
      <vt:variant>
        <vt:i4>1507378</vt:i4>
      </vt:variant>
      <vt:variant>
        <vt:i4>29</vt:i4>
      </vt:variant>
      <vt:variant>
        <vt:i4>0</vt:i4>
      </vt:variant>
      <vt:variant>
        <vt:i4>5</vt:i4>
      </vt:variant>
      <vt:variant>
        <vt:lpwstr/>
      </vt:variant>
      <vt:variant>
        <vt:lpwstr>_Toc270502000</vt:lpwstr>
      </vt:variant>
      <vt:variant>
        <vt:i4>1900603</vt:i4>
      </vt:variant>
      <vt:variant>
        <vt:i4>23</vt:i4>
      </vt:variant>
      <vt:variant>
        <vt:i4>0</vt:i4>
      </vt:variant>
      <vt:variant>
        <vt:i4>5</vt:i4>
      </vt:variant>
      <vt:variant>
        <vt:lpwstr/>
      </vt:variant>
      <vt:variant>
        <vt:lpwstr>_Toc270501999</vt:lpwstr>
      </vt:variant>
      <vt:variant>
        <vt:i4>1900603</vt:i4>
      </vt:variant>
      <vt:variant>
        <vt:i4>17</vt:i4>
      </vt:variant>
      <vt:variant>
        <vt:i4>0</vt:i4>
      </vt:variant>
      <vt:variant>
        <vt:i4>5</vt:i4>
      </vt:variant>
      <vt:variant>
        <vt:lpwstr/>
      </vt:variant>
      <vt:variant>
        <vt:lpwstr>_Toc270501998</vt:lpwstr>
      </vt:variant>
      <vt:variant>
        <vt:i4>4718663</vt:i4>
      </vt:variant>
      <vt:variant>
        <vt:i4>9</vt:i4>
      </vt:variant>
      <vt:variant>
        <vt:i4>0</vt:i4>
      </vt:variant>
      <vt:variant>
        <vt:i4>5</vt:i4>
      </vt:variant>
      <vt:variant>
        <vt:lpwstr>http://www.penspenintegrity.com/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Briefing Note</dc:title>
  <dc:subject>Gasoline pipelines – A risk-based methodology for calculating land use planning zones</dc:subject>
  <dc:creator>Graham Goodfellow</dc:creator>
  <dc:description>UKOPA/TBN/006 Edition 1</dc:description>
  <cp:lastModifiedBy>Nikki Barker</cp:lastModifiedBy>
  <cp:revision>2</cp:revision>
  <cp:lastPrinted>2015-07-28T16:53:00Z</cp:lastPrinted>
  <dcterms:created xsi:type="dcterms:W3CDTF">2019-05-15T08:04:00Z</dcterms:created>
  <dcterms:modified xsi:type="dcterms:W3CDTF">2019-05-15T08:04:00Z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70817707</vt:i4>
  </property>
</Properties>
</file>