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DCA06" w14:textId="77777777" w:rsidR="005968BD" w:rsidRDefault="00F368C2" w:rsidP="005715C4">
      <w:pPr>
        <w:pStyle w:val="FrontPenspen"/>
        <w:pBdr>
          <w:top w:val="none" w:sz="0" w:space="0" w:color="auto"/>
        </w:pBdr>
        <w:spacing w:after="0"/>
      </w:pPr>
      <w:r>
        <w:br w:type="textWrapping" w:clear="all"/>
      </w:r>
    </w:p>
    <w:p w14:paraId="4E7C1488" w14:textId="77777777" w:rsidR="00CE1BFF" w:rsidRDefault="00CE1BFF" w:rsidP="00F368C2">
      <w:pPr>
        <w:pStyle w:val="FrontPenspen"/>
        <w:pBdr>
          <w:top w:val="none" w:sz="0" w:space="0" w:color="auto"/>
        </w:pBdr>
        <w:spacing w:after="2520"/>
      </w:pPr>
    </w:p>
    <w:p w14:paraId="092C82C5" w14:textId="093F8ECF" w:rsidR="00012F42" w:rsidRPr="00BF7AD5" w:rsidRDefault="00826AB9"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569574093E994AAA90777F7ED9D18ACF"/>
          </w:placeholder>
          <w:dataBinding w:prefixMappings="xmlns:ns0='http://purl.org/dc/elements/1.1/' xmlns:ns1='http://schemas.openxmlformats.org/package/2006/metadata/core-properties' " w:xpath="/ns1:coreProperties[1]/ns0:title[1]" w:storeItemID="{6C3C8BC8-F283-45AE-878A-BAB7291924A1}"/>
          <w:text/>
        </w:sdtPr>
        <w:sdtEndPr/>
        <w:sdtContent>
          <w:r w:rsidR="00B34BA0">
            <w:rPr>
              <w:b/>
              <w:color w:val="003656" w:themeColor="accent4" w:themeTint="E6"/>
            </w:rPr>
            <w:t>Technical Briefing Note</w:t>
          </w:r>
        </w:sdtContent>
      </w:sdt>
    </w:p>
    <w:p w14:paraId="0BA17F7C" w14:textId="170D7D92" w:rsidR="003F7240" w:rsidRPr="00BF7AD5" w:rsidRDefault="00826AB9"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C6B88C2EEFBA4EB1BE6E4023D0EC61C6"/>
          </w:placeholder>
          <w:dataBinding w:prefixMappings="xmlns:ns0='http://purl.org/dc/elements/1.1/' xmlns:ns1='http://schemas.openxmlformats.org/package/2006/metadata/core-properties' " w:xpath="/ns1:coreProperties[1]/ns0:subject[1]" w:storeItemID="{6C3C8BC8-F283-45AE-878A-BAB7291924A1}"/>
          <w:text/>
        </w:sdtPr>
        <w:sdtEndPr/>
        <w:sdtContent>
          <w:r w:rsidR="00085E3B">
            <w:rPr>
              <w:color w:val="003656" w:themeColor="accent4" w:themeTint="E6"/>
            </w:rPr>
            <w:t>The history of land use p</w:t>
          </w:r>
          <w:r w:rsidR="00B34BA0">
            <w:rPr>
              <w:color w:val="003656" w:themeColor="accent4" w:themeTint="E6"/>
            </w:rPr>
            <w:t>lanning</w:t>
          </w:r>
        </w:sdtContent>
      </w:sdt>
    </w:p>
    <w:sdt>
      <w:sdtPr>
        <w:rPr>
          <w:color w:val="003656" w:themeColor="accent4" w:themeTint="E6"/>
          <w:sz w:val="32"/>
          <w:szCs w:val="32"/>
        </w:rPr>
        <w:alias w:val="Comments"/>
        <w:tag w:val=""/>
        <w:id w:val="1506479213"/>
        <w:placeholder>
          <w:docPart w:val="00549096BAC9497E8017E9F221613D36"/>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A46933" w14:textId="6EF5DCED" w:rsidR="003F7240" w:rsidRPr="00BF7AD5" w:rsidRDefault="00B61F64"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UKOPA/TBN/</w:t>
          </w:r>
          <w:r w:rsidR="00405176">
            <w:rPr>
              <w:color w:val="003656" w:themeColor="accent4" w:themeTint="E6"/>
              <w:sz w:val="32"/>
              <w:szCs w:val="32"/>
            </w:rPr>
            <w:t>007</w:t>
          </w:r>
          <w:r w:rsidR="00085E3B">
            <w:rPr>
              <w:color w:val="003656" w:themeColor="accent4" w:themeTint="E6"/>
              <w:sz w:val="32"/>
              <w:szCs w:val="32"/>
            </w:rPr>
            <w:t xml:space="preserve"> Edition 1</w:t>
          </w:r>
        </w:p>
      </w:sdtContent>
    </w:sdt>
    <w:p w14:paraId="3764A95D" w14:textId="4F2AB21F" w:rsidR="00997863" w:rsidRPr="00BF7AD5" w:rsidRDefault="00826AB9" w:rsidP="00085E3B">
      <w:pPr>
        <w:pStyle w:val="FrontClient"/>
        <w:spacing w:before="0" w:line="360" w:lineRule="auto"/>
        <w:rPr>
          <w:color w:val="003656" w:themeColor="accent4" w:themeTint="E6"/>
        </w:rPr>
      </w:pPr>
      <w:sdt>
        <w:sdtPr>
          <w:rPr>
            <w:color w:val="003656" w:themeColor="accent4" w:themeTint="E6"/>
            <w:sz w:val="32"/>
            <w:szCs w:val="32"/>
          </w:rPr>
          <w:id w:val="-789435610"/>
          <w:placeholder>
            <w:docPart w:val="E561CE45470E45CEAD1C307754D2BF4E"/>
          </w:placeholder>
          <w:date w:fullDate="2019-02-01T00:00:00Z">
            <w:dateFormat w:val="MMMM yyyy"/>
            <w:lid w:val="en-GB"/>
            <w:storeMappedDataAs w:val="dateTime"/>
            <w:calendar w:val="gregorian"/>
          </w:date>
        </w:sdtPr>
        <w:sdtEndPr/>
        <w:sdtContent>
          <w:r w:rsidR="00085E3B">
            <w:rPr>
              <w:color w:val="003656" w:themeColor="accent4" w:themeTint="E6"/>
              <w:sz w:val="32"/>
              <w:szCs w:val="32"/>
            </w:rPr>
            <w:t>February 2019</w:t>
          </w:r>
        </w:sdtContent>
      </w:sdt>
    </w:p>
    <w:p w14:paraId="2BC2147A" w14:textId="77777777" w:rsidR="00997863" w:rsidRDefault="00997863" w:rsidP="00997863">
      <w:pPr>
        <w:rPr>
          <w:rFonts w:ascii="Calibri" w:eastAsiaTheme="majorEastAsia" w:hAnsi="Calibri" w:cstheme="majorBidi"/>
          <w:noProof/>
          <w:sz w:val="36"/>
          <w:szCs w:val="36"/>
        </w:rPr>
      </w:pPr>
    </w:p>
    <w:p w14:paraId="4F984EEE" w14:textId="77777777" w:rsidR="006F5ECE" w:rsidRPr="00997863" w:rsidRDefault="006F5ECE" w:rsidP="006F5ECE">
      <w:pPr>
        <w:jc w:val="center"/>
      </w:pPr>
    </w:p>
    <w:p w14:paraId="2118ECA9" w14:textId="77777777" w:rsidR="00997863" w:rsidRPr="00997863" w:rsidRDefault="00997863" w:rsidP="00FA683B">
      <w:pPr>
        <w:jc w:val="center"/>
      </w:pPr>
    </w:p>
    <w:p w14:paraId="543BCDF5" w14:textId="77777777" w:rsidR="00997863" w:rsidRDefault="00997863" w:rsidP="00997863"/>
    <w:p w14:paraId="1559238C" w14:textId="77777777" w:rsidR="002B6494" w:rsidRDefault="002B6494" w:rsidP="00997863"/>
    <w:p w14:paraId="17B568C9" w14:textId="77777777" w:rsidR="002B6494" w:rsidRDefault="002B6494" w:rsidP="00997863"/>
    <w:p w14:paraId="25819FF8" w14:textId="77777777" w:rsidR="002B6494" w:rsidRDefault="002B6494" w:rsidP="00997863"/>
    <w:p w14:paraId="78E2A25D" w14:textId="77777777" w:rsidR="002B6494" w:rsidRDefault="002B6494" w:rsidP="00997863"/>
    <w:p w14:paraId="297BCF9C" w14:textId="77777777" w:rsidR="002B6494" w:rsidRDefault="002B6494" w:rsidP="00997863"/>
    <w:p w14:paraId="0DD85709" w14:textId="77777777" w:rsidR="002B6494" w:rsidRPr="00997863" w:rsidRDefault="002B6494" w:rsidP="00997863"/>
    <w:p w14:paraId="3F8FB30F" w14:textId="77777777" w:rsidR="00997863" w:rsidRPr="00997863" w:rsidRDefault="00997863" w:rsidP="00997863"/>
    <w:p w14:paraId="06D52889"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3A80BA54"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777908F2" w14:textId="2A596F27"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document.</w:t>
      </w:r>
      <w:r w:rsidR="00FB3531">
        <w:rPr>
          <w:rFonts w:cs="Arial"/>
        </w:rPr>
        <w:t xml:space="preserve"> </w:t>
      </w:r>
      <w:r w:rsidR="003C1027" w:rsidRPr="007A09E5">
        <w:rPr>
          <w:rFonts w:cs="Arial"/>
        </w:rPr>
        <w:t xml:space="preserve">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Pipeline Owner/Operator.</w:t>
      </w:r>
      <w:r w:rsidR="00FB3531">
        <w:rPr>
          <w:rFonts w:cs="Arial"/>
        </w:rPr>
        <w:t xml:space="preserve"> </w:t>
      </w:r>
      <w:r w:rsidR="00175244" w:rsidRPr="007A09E5">
        <w:rPr>
          <w:rFonts w:cs="Arial"/>
        </w:rPr>
        <w:t xml:space="preserve">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79592359" w14:textId="77777777" w:rsidR="00175244" w:rsidRDefault="00175244" w:rsidP="00175244">
      <w:pPr>
        <w:pStyle w:val="BodyText"/>
        <w:ind w:left="284"/>
        <w:rPr>
          <w:rFonts w:cs="Arial"/>
        </w:rPr>
      </w:pPr>
    </w:p>
    <w:p w14:paraId="6BADFBD9" w14:textId="77777777" w:rsidR="00175244" w:rsidRDefault="00175244" w:rsidP="00175244">
      <w:pPr>
        <w:pStyle w:val="BodyText"/>
        <w:ind w:left="284"/>
        <w:rPr>
          <w:rFonts w:cs="Arial"/>
        </w:rPr>
      </w:pPr>
    </w:p>
    <w:p w14:paraId="0CA3B10A" w14:textId="77777777" w:rsidR="00175244" w:rsidRDefault="00175244" w:rsidP="00175244">
      <w:pPr>
        <w:pStyle w:val="BodyText"/>
        <w:ind w:left="284"/>
        <w:rPr>
          <w:rFonts w:cs="Arial"/>
        </w:rPr>
      </w:pPr>
    </w:p>
    <w:p w14:paraId="7ECB9430"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6300E12F"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33CBA9B5"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273A523B" w14:textId="77777777" w:rsidR="00916BD5" w:rsidRPr="00BF7AD5" w:rsidRDefault="00916BD5" w:rsidP="00BF7AD5">
      <w:pPr>
        <w:pStyle w:val="BodyText"/>
        <w:spacing w:before="0" w:after="0"/>
        <w:ind w:left="1440"/>
        <w:rPr>
          <w:rFonts w:cs="Arial"/>
        </w:rPr>
      </w:pPr>
      <w:r w:rsidRPr="00BF7AD5">
        <w:rPr>
          <w:rFonts w:cs="Arial"/>
        </w:rPr>
        <w:t>Ripley Road</w:t>
      </w:r>
    </w:p>
    <w:p w14:paraId="0371743C" w14:textId="77777777" w:rsidR="00916BD5" w:rsidRPr="00BF7AD5" w:rsidRDefault="00916BD5" w:rsidP="00BF7AD5">
      <w:pPr>
        <w:pStyle w:val="BodyText"/>
        <w:spacing w:before="0" w:after="0"/>
        <w:ind w:left="1440"/>
        <w:rPr>
          <w:rFonts w:cs="Arial"/>
        </w:rPr>
      </w:pPr>
      <w:r w:rsidRPr="00BF7AD5">
        <w:rPr>
          <w:rFonts w:cs="Arial"/>
        </w:rPr>
        <w:t>Ambergate</w:t>
      </w:r>
      <w:r w:rsidRPr="00BF7AD5">
        <w:rPr>
          <w:rFonts w:cs="Arial"/>
        </w:rPr>
        <w:tab/>
      </w:r>
    </w:p>
    <w:p w14:paraId="3284CA42" w14:textId="77777777" w:rsidR="00BF7AD5" w:rsidRPr="00BF7AD5" w:rsidRDefault="00916BD5" w:rsidP="00BF7AD5">
      <w:pPr>
        <w:pStyle w:val="BodyText"/>
        <w:spacing w:before="0" w:after="0"/>
        <w:ind w:left="1440"/>
        <w:rPr>
          <w:rFonts w:cs="Arial"/>
        </w:rPr>
      </w:pPr>
      <w:r w:rsidRPr="00BF7AD5">
        <w:rPr>
          <w:rFonts w:cs="Arial"/>
        </w:rPr>
        <w:t>Derbyshire</w:t>
      </w:r>
    </w:p>
    <w:p w14:paraId="2B50231D" w14:textId="77777777" w:rsidR="00916BD5" w:rsidRPr="00BF7AD5" w:rsidRDefault="00916BD5" w:rsidP="00BF7AD5">
      <w:pPr>
        <w:pStyle w:val="BodyText"/>
        <w:spacing w:before="0" w:after="0"/>
        <w:ind w:left="1440"/>
        <w:rPr>
          <w:rFonts w:cs="Arial"/>
        </w:rPr>
      </w:pPr>
      <w:r w:rsidRPr="00BF7AD5">
        <w:rPr>
          <w:rFonts w:cs="Arial"/>
        </w:rPr>
        <w:t>DE56 2FZ</w:t>
      </w:r>
    </w:p>
    <w:p w14:paraId="3C5FE0E8"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45440829"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5DF9EB9A" w14:textId="77777777" w:rsidR="00BF7AD5" w:rsidRDefault="00BF7AD5" w:rsidP="00916BD5">
      <w:pPr>
        <w:pStyle w:val="BodyText"/>
        <w:ind w:left="284"/>
        <w:rPr>
          <w:rFonts w:cs="Arial"/>
          <w:b/>
          <w:sz w:val="16"/>
          <w:szCs w:val="16"/>
        </w:rPr>
      </w:pPr>
    </w:p>
    <w:p w14:paraId="57D06390"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70886560"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3BA5FA74" w14:textId="5299CA59" w:rsidR="009F334C" w:rsidRPr="009F334C" w:rsidRDefault="009F334C" w:rsidP="009F334C">
      <w:pPr>
        <w:pStyle w:val="BodyText"/>
        <w:ind w:left="284"/>
        <w:rPr>
          <w:rFonts w:cs="Arial"/>
          <w:sz w:val="16"/>
          <w:szCs w:val="16"/>
        </w:rPr>
      </w:pPr>
      <w:r w:rsidRPr="009F334C">
        <w:rPr>
          <w:rFonts w:cs="Arial"/>
          <w:sz w:val="16"/>
          <w:szCs w:val="16"/>
        </w:rPr>
        <w:t xml:space="preserve">Copyright </w:t>
      </w:r>
      <w:r w:rsidR="00B61F64">
        <w:rPr>
          <w:rFonts w:cstheme="minorHAnsi"/>
          <w:sz w:val="16"/>
          <w:szCs w:val="16"/>
        </w:rPr>
        <w:t>©</w:t>
      </w:r>
      <w:r w:rsidR="00C8658D">
        <w:rPr>
          <w:rFonts w:cstheme="minorHAnsi"/>
          <w:sz w:val="16"/>
          <w:szCs w:val="16"/>
        </w:rPr>
        <w:t xml:space="preserve">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085E3B">
        <w:rPr>
          <w:rFonts w:cs="Arial"/>
          <w:noProof/>
          <w:sz w:val="16"/>
          <w:szCs w:val="16"/>
        </w:rPr>
        <w:t>2019</w:t>
      </w:r>
      <w:r w:rsidR="00916BD5">
        <w:rPr>
          <w:rFonts w:cs="Arial"/>
          <w:sz w:val="16"/>
          <w:szCs w:val="16"/>
        </w:rPr>
        <w:fldChar w:fldCharType="end"/>
      </w:r>
      <w:r w:rsidRPr="009F334C">
        <w:rPr>
          <w:rFonts w:cs="Arial"/>
          <w:sz w:val="16"/>
          <w:szCs w:val="16"/>
        </w:rPr>
        <w:t>, UKOPA.</w:t>
      </w:r>
      <w:r w:rsidR="00FB3531">
        <w:rPr>
          <w:rFonts w:cs="Arial"/>
          <w:sz w:val="16"/>
          <w:szCs w:val="16"/>
        </w:rPr>
        <w:t xml:space="preserve"> </w:t>
      </w:r>
      <w:r w:rsidRPr="009F334C">
        <w:rPr>
          <w:rFonts w:cs="Arial"/>
          <w:sz w:val="16"/>
          <w:szCs w:val="16"/>
        </w:rPr>
        <w:t>All rights reserved</w:t>
      </w:r>
    </w:p>
    <w:p w14:paraId="6986013D"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54EA7DD7" w14:textId="59032AC0"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r w:rsidR="001B2228">
        <w:rPr>
          <w:rFonts w:cs="Arial"/>
          <w:b/>
          <w:color w:val="003656" w:themeColor="accent4" w:themeTint="E6"/>
        </w:rPr>
        <w:t xml:space="preserve"> 20</w:t>
      </w:r>
      <w:r w:rsidR="002E08CE">
        <w:rPr>
          <w:rFonts w:cs="Arial"/>
          <w:b/>
          <w:color w:val="003656" w:themeColor="accent4" w:themeTint="E6"/>
        </w:rPr>
        <w:t>23</w:t>
      </w:r>
    </w:p>
    <w:tbl>
      <w:tblPr>
        <w:tblStyle w:val="TableGrid"/>
        <w:tblW w:w="0" w:type="auto"/>
        <w:tblLook w:val="04A0" w:firstRow="1" w:lastRow="0" w:firstColumn="1" w:lastColumn="0" w:noHBand="0" w:noVBand="1"/>
      </w:tblPr>
      <w:tblGrid>
        <w:gridCol w:w="1417"/>
        <w:gridCol w:w="1701"/>
        <w:gridCol w:w="1843"/>
        <w:gridCol w:w="3990"/>
      </w:tblGrid>
      <w:tr w:rsidR="00F12BCC" w14:paraId="70E5BB7F"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42EA8489"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39EB5708"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1476B0E4"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286CCC48"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5D8DBB67"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14F4A2B" w14:textId="77777777" w:rsidR="00F12BCC" w:rsidRDefault="00533EE5" w:rsidP="002F1438">
            <w:pPr>
              <w:jc w:val="center"/>
              <w:rPr>
                <w:b/>
                <w:szCs w:val="18"/>
              </w:rPr>
            </w:pPr>
            <w:r>
              <w:rPr>
                <w:b/>
                <w:szCs w:val="18"/>
              </w:rPr>
              <w:t>1</w:t>
            </w:r>
          </w:p>
        </w:tc>
        <w:tc>
          <w:tcPr>
            <w:tcW w:w="1701" w:type="dxa"/>
          </w:tcPr>
          <w:p w14:paraId="19DD1A6E" w14:textId="3400219C" w:rsidR="00F12BCC" w:rsidRPr="0018347E" w:rsidRDefault="00085E3B"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February 2019</w:t>
            </w:r>
          </w:p>
        </w:tc>
        <w:tc>
          <w:tcPr>
            <w:tcW w:w="1843" w:type="dxa"/>
          </w:tcPr>
          <w:p w14:paraId="524BBA63" w14:textId="05190FE4" w:rsidR="00F12BCC" w:rsidRPr="0018347E" w:rsidRDefault="00085E3B"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28</w:t>
            </w:r>
          </w:p>
        </w:tc>
        <w:tc>
          <w:tcPr>
            <w:tcW w:w="3990" w:type="dxa"/>
          </w:tcPr>
          <w:p w14:paraId="3E3A4C4B" w14:textId="6131A738" w:rsidR="00F12BCC" w:rsidRPr="0018347E" w:rsidRDefault="00085E3B"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For publication</w:t>
            </w:r>
          </w:p>
        </w:tc>
      </w:tr>
    </w:tbl>
    <w:p w14:paraId="215B3650" w14:textId="77777777" w:rsidR="00675D04" w:rsidRDefault="00675D04" w:rsidP="0053157C">
      <w:pPr>
        <w:pStyle w:val="RevisionBoxHeading"/>
      </w:pPr>
    </w:p>
    <w:p w14:paraId="433F5103" w14:textId="77777777" w:rsidR="00675D04" w:rsidRDefault="00675D04" w:rsidP="00675D04">
      <w:pPr>
        <w:sectPr w:rsidR="00675D04" w:rsidSect="00FB3531">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docGrid w:linePitch="272"/>
        </w:sectPr>
      </w:pPr>
    </w:p>
    <w:p w14:paraId="6F13B189" w14:textId="77777777" w:rsidR="0072154B" w:rsidRDefault="0072154B" w:rsidP="00F97F6F">
      <w:pPr>
        <w:pStyle w:val="HeadingContents"/>
      </w:pPr>
    </w:p>
    <w:p w14:paraId="618EBF9E"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309376FC" w14:textId="4F2A293D" w:rsidR="003709B2"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534624832" w:history="1">
        <w:r w:rsidR="003709B2" w:rsidRPr="00B2132F">
          <w:rPr>
            <w:rStyle w:val="Hyperlink"/>
          </w:rPr>
          <w:t>1.</w:t>
        </w:r>
        <w:r w:rsidR="003709B2">
          <w:rPr>
            <w:rFonts w:eastAsiaTheme="minorEastAsia" w:cstheme="minorBidi"/>
            <w:b w:val="0"/>
            <w:sz w:val="22"/>
            <w:szCs w:val="22"/>
            <w:lang w:eastAsia="en-GB"/>
          </w:rPr>
          <w:tab/>
        </w:r>
        <w:r w:rsidR="003709B2" w:rsidRPr="00B2132F">
          <w:rPr>
            <w:rStyle w:val="Hyperlink"/>
          </w:rPr>
          <w:t>Executive Summary</w:t>
        </w:r>
        <w:r w:rsidR="003709B2">
          <w:rPr>
            <w:webHidden/>
          </w:rPr>
          <w:tab/>
        </w:r>
        <w:r w:rsidR="003709B2">
          <w:rPr>
            <w:webHidden/>
          </w:rPr>
          <w:fldChar w:fldCharType="begin"/>
        </w:r>
        <w:r w:rsidR="003709B2">
          <w:rPr>
            <w:webHidden/>
          </w:rPr>
          <w:instrText xml:space="preserve"> PAGEREF _Toc534624832 \h </w:instrText>
        </w:r>
        <w:r w:rsidR="003709B2">
          <w:rPr>
            <w:webHidden/>
          </w:rPr>
        </w:r>
        <w:r w:rsidR="003709B2">
          <w:rPr>
            <w:webHidden/>
          </w:rPr>
          <w:fldChar w:fldCharType="separate"/>
        </w:r>
        <w:r w:rsidR="003709B2">
          <w:rPr>
            <w:webHidden/>
          </w:rPr>
          <w:t>1</w:t>
        </w:r>
        <w:r w:rsidR="003709B2">
          <w:rPr>
            <w:webHidden/>
          </w:rPr>
          <w:fldChar w:fldCharType="end"/>
        </w:r>
      </w:hyperlink>
    </w:p>
    <w:p w14:paraId="244865CF" w14:textId="3A257C90" w:rsidR="003709B2" w:rsidRDefault="00826AB9">
      <w:pPr>
        <w:pStyle w:val="TOC1"/>
        <w:rPr>
          <w:rFonts w:eastAsiaTheme="minorEastAsia" w:cstheme="minorBidi"/>
          <w:b w:val="0"/>
          <w:sz w:val="22"/>
          <w:szCs w:val="22"/>
          <w:lang w:eastAsia="en-GB"/>
        </w:rPr>
      </w:pPr>
      <w:hyperlink w:anchor="_Toc534624833" w:history="1">
        <w:r w:rsidR="003709B2" w:rsidRPr="00B2132F">
          <w:rPr>
            <w:rStyle w:val="Hyperlink"/>
          </w:rPr>
          <w:t>2.</w:t>
        </w:r>
        <w:r w:rsidR="003709B2">
          <w:rPr>
            <w:rFonts w:eastAsiaTheme="minorEastAsia" w:cstheme="minorBidi"/>
            <w:b w:val="0"/>
            <w:sz w:val="22"/>
            <w:szCs w:val="22"/>
            <w:lang w:eastAsia="en-GB"/>
          </w:rPr>
          <w:tab/>
        </w:r>
        <w:r w:rsidR="003709B2" w:rsidRPr="00B2132F">
          <w:rPr>
            <w:rStyle w:val="Hyperlink"/>
          </w:rPr>
          <w:t>Introduction</w:t>
        </w:r>
        <w:r w:rsidR="003709B2">
          <w:rPr>
            <w:webHidden/>
          </w:rPr>
          <w:tab/>
        </w:r>
        <w:r w:rsidR="003709B2">
          <w:rPr>
            <w:webHidden/>
          </w:rPr>
          <w:fldChar w:fldCharType="begin"/>
        </w:r>
        <w:r w:rsidR="003709B2">
          <w:rPr>
            <w:webHidden/>
          </w:rPr>
          <w:instrText xml:space="preserve"> PAGEREF _Toc534624833 \h </w:instrText>
        </w:r>
        <w:r w:rsidR="003709B2">
          <w:rPr>
            <w:webHidden/>
          </w:rPr>
        </w:r>
        <w:r w:rsidR="003709B2">
          <w:rPr>
            <w:webHidden/>
          </w:rPr>
          <w:fldChar w:fldCharType="separate"/>
        </w:r>
        <w:r w:rsidR="003709B2">
          <w:rPr>
            <w:webHidden/>
          </w:rPr>
          <w:t>2</w:t>
        </w:r>
        <w:r w:rsidR="003709B2">
          <w:rPr>
            <w:webHidden/>
          </w:rPr>
          <w:fldChar w:fldCharType="end"/>
        </w:r>
      </w:hyperlink>
    </w:p>
    <w:p w14:paraId="08767BE3" w14:textId="0A3E2738" w:rsidR="003709B2" w:rsidRDefault="00826AB9">
      <w:pPr>
        <w:pStyle w:val="TOC2"/>
        <w:rPr>
          <w:rFonts w:eastAsiaTheme="minorEastAsia" w:cstheme="minorBidi"/>
          <w:sz w:val="22"/>
          <w:szCs w:val="22"/>
          <w:lang w:eastAsia="en-GB"/>
        </w:rPr>
      </w:pPr>
      <w:hyperlink w:anchor="_Toc534624834" w:history="1">
        <w:r w:rsidR="003709B2" w:rsidRPr="00B2132F">
          <w:rPr>
            <w:rStyle w:val="Hyperlink"/>
          </w:rPr>
          <w:t>2.1</w:t>
        </w:r>
        <w:r w:rsidR="003709B2">
          <w:rPr>
            <w:rFonts w:eastAsiaTheme="minorEastAsia" w:cstheme="minorBidi"/>
            <w:sz w:val="22"/>
            <w:szCs w:val="22"/>
            <w:lang w:eastAsia="en-GB"/>
          </w:rPr>
          <w:tab/>
        </w:r>
        <w:r w:rsidR="003709B2" w:rsidRPr="00B2132F">
          <w:rPr>
            <w:rStyle w:val="Hyperlink"/>
          </w:rPr>
          <w:t>Abbreviations</w:t>
        </w:r>
        <w:r w:rsidR="003709B2">
          <w:rPr>
            <w:webHidden/>
          </w:rPr>
          <w:tab/>
        </w:r>
        <w:r w:rsidR="003709B2">
          <w:rPr>
            <w:webHidden/>
          </w:rPr>
          <w:fldChar w:fldCharType="begin"/>
        </w:r>
        <w:r w:rsidR="003709B2">
          <w:rPr>
            <w:webHidden/>
          </w:rPr>
          <w:instrText xml:space="preserve"> PAGEREF _Toc534624834 \h </w:instrText>
        </w:r>
        <w:r w:rsidR="003709B2">
          <w:rPr>
            <w:webHidden/>
          </w:rPr>
        </w:r>
        <w:r w:rsidR="003709B2">
          <w:rPr>
            <w:webHidden/>
          </w:rPr>
          <w:fldChar w:fldCharType="separate"/>
        </w:r>
        <w:r w:rsidR="003709B2">
          <w:rPr>
            <w:webHidden/>
          </w:rPr>
          <w:t>2</w:t>
        </w:r>
        <w:r w:rsidR="003709B2">
          <w:rPr>
            <w:webHidden/>
          </w:rPr>
          <w:fldChar w:fldCharType="end"/>
        </w:r>
      </w:hyperlink>
    </w:p>
    <w:p w14:paraId="447B6418" w14:textId="329BF171" w:rsidR="003709B2" w:rsidRDefault="00826AB9">
      <w:pPr>
        <w:pStyle w:val="TOC1"/>
        <w:rPr>
          <w:rFonts w:eastAsiaTheme="minorEastAsia" w:cstheme="minorBidi"/>
          <w:b w:val="0"/>
          <w:sz w:val="22"/>
          <w:szCs w:val="22"/>
          <w:lang w:eastAsia="en-GB"/>
        </w:rPr>
      </w:pPr>
      <w:hyperlink w:anchor="_Toc534624835" w:history="1">
        <w:r w:rsidR="003709B2" w:rsidRPr="00B2132F">
          <w:rPr>
            <w:rStyle w:val="Hyperlink"/>
          </w:rPr>
          <w:t>3.</w:t>
        </w:r>
        <w:r w:rsidR="003709B2">
          <w:rPr>
            <w:rFonts w:eastAsiaTheme="minorEastAsia" w:cstheme="minorBidi"/>
            <w:b w:val="0"/>
            <w:sz w:val="22"/>
            <w:szCs w:val="22"/>
            <w:lang w:eastAsia="en-GB"/>
          </w:rPr>
          <w:tab/>
        </w:r>
        <w:r w:rsidR="003709B2" w:rsidRPr="00B2132F">
          <w:rPr>
            <w:rStyle w:val="Hyperlink"/>
          </w:rPr>
          <w:t>Background to Land Use Planning Near Pipelines</w:t>
        </w:r>
        <w:r w:rsidR="003709B2">
          <w:rPr>
            <w:webHidden/>
          </w:rPr>
          <w:tab/>
        </w:r>
        <w:r w:rsidR="003709B2">
          <w:rPr>
            <w:webHidden/>
          </w:rPr>
          <w:fldChar w:fldCharType="begin"/>
        </w:r>
        <w:r w:rsidR="003709B2">
          <w:rPr>
            <w:webHidden/>
          </w:rPr>
          <w:instrText xml:space="preserve"> PAGEREF _Toc534624835 \h </w:instrText>
        </w:r>
        <w:r w:rsidR="003709B2">
          <w:rPr>
            <w:webHidden/>
          </w:rPr>
        </w:r>
        <w:r w:rsidR="003709B2">
          <w:rPr>
            <w:webHidden/>
          </w:rPr>
          <w:fldChar w:fldCharType="separate"/>
        </w:r>
        <w:r w:rsidR="003709B2">
          <w:rPr>
            <w:webHidden/>
          </w:rPr>
          <w:t>4</w:t>
        </w:r>
        <w:r w:rsidR="003709B2">
          <w:rPr>
            <w:webHidden/>
          </w:rPr>
          <w:fldChar w:fldCharType="end"/>
        </w:r>
      </w:hyperlink>
    </w:p>
    <w:p w14:paraId="4CBBC223" w14:textId="535FF043" w:rsidR="003709B2" w:rsidRDefault="00826AB9">
      <w:pPr>
        <w:pStyle w:val="TOC2"/>
        <w:rPr>
          <w:rFonts w:eastAsiaTheme="minorEastAsia" w:cstheme="minorBidi"/>
          <w:sz w:val="22"/>
          <w:szCs w:val="22"/>
          <w:lang w:eastAsia="en-GB"/>
        </w:rPr>
      </w:pPr>
      <w:hyperlink w:anchor="_Toc534624836" w:history="1">
        <w:r w:rsidR="003709B2" w:rsidRPr="00B2132F">
          <w:rPr>
            <w:rStyle w:val="Hyperlink"/>
          </w:rPr>
          <w:t>3.1</w:t>
        </w:r>
        <w:r w:rsidR="003709B2">
          <w:rPr>
            <w:rFonts w:eastAsiaTheme="minorEastAsia" w:cstheme="minorBidi"/>
            <w:sz w:val="22"/>
            <w:szCs w:val="22"/>
            <w:lang w:eastAsia="en-GB"/>
          </w:rPr>
          <w:tab/>
        </w:r>
        <w:r w:rsidR="003709B2" w:rsidRPr="00B2132F">
          <w:rPr>
            <w:rStyle w:val="Hyperlink"/>
          </w:rPr>
          <w:t>The Reasons for Land Use Planning</w:t>
        </w:r>
        <w:r w:rsidR="003709B2">
          <w:rPr>
            <w:webHidden/>
          </w:rPr>
          <w:tab/>
        </w:r>
        <w:r w:rsidR="003709B2">
          <w:rPr>
            <w:webHidden/>
          </w:rPr>
          <w:fldChar w:fldCharType="begin"/>
        </w:r>
        <w:r w:rsidR="003709B2">
          <w:rPr>
            <w:webHidden/>
          </w:rPr>
          <w:instrText xml:space="preserve"> PAGEREF _Toc534624836 \h </w:instrText>
        </w:r>
        <w:r w:rsidR="003709B2">
          <w:rPr>
            <w:webHidden/>
          </w:rPr>
        </w:r>
        <w:r w:rsidR="003709B2">
          <w:rPr>
            <w:webHidden/>
          </w:rPr>
          <w:fldChar w:fldCharType="separate"/>
        </w:r>
        <w:r w:rsidR="003709B2">
          <w:rPr>
            <w:webHidden/>
          </w:rPr>
          <w:t>4</w:t>
        </w:r>
        <w:r w:rsidR="003709B2">
          <w:rPr>
            <w:webHidden/>
          </w:rPr>
          <w:fldChar w:fldCharType="end"/>
        </w:r>
      </w:hyperlink>
    </w:p>
    <w:p w14:paraId="5A139540" w14:textId="0834DDD0" w:rsidR="003709B2" w:rsidRDefault="00826AB9">
      <w:pPr>
        <w:pStyle w:val="TOC2"/>
        <w:rPr>
          <w:rFonts w:eastAsiaTheme="minorEastAsia" w:cstheme="minorBidi"/>
          <w:sz w:val="22"/>
          <w:szCs w:val="22"/>
          <w:lang w:eastAsia="en-GB"/>
        </w:rPr>
      </w:pPr>
      <w:hyperlink w:anchor="_Toc534624837" w:history="1">
        <w:r w:rsidR="003709B2" w:rsidRPr="00B2132F">
          <w:rPr>
            <w:rStyle w:val="Hyperlink"/>
          </w:rPr>
          <w:t>3.2</w:t>
        </w:r>
        <w:r w:rsidR="003709B2">
          <w:rPr>
            <w:rFonts w:eastAsiaTheme="minorEastAsia" w:cstheme="minorBidi"/>
            <w:sz w:val="22"/>
            <w:szCs w:val="22"/>
            <w:lang w:eastAsia="en-GB"/>
          </w:rPr>
          <w:tab/>
        </w:r>
        <w:r w:rsidR="003709B2" w:rsidRPr="00B2132F">
          <w:rPr>
            <w:rStyle w:val="Hyperlink"/>
          </w:rPr>
          <w:t>Derivation and Definition of Land Use Planning Zones</w:t>
        </w:r>
        <w:r w:rsidR="003709B2">
          <w:rPr>
            <w:webHidden/>
          </w:rPr>
          <w:tab/>
        </w:r>
        <w:r w:rsidR="003709B2">
          <w:rPr>
            <w:webHidden/>
          </w:rPr>
          <w:fldChar w:fldCharType="begin"/>
        </w:r>
        <w:r w:rsidR="003709B2">
          <w:rPr>
            <w:webHidden/>
          </w:rPr>
          <w:instrText xml:space="preserve"> PAGEREF _Toc534624837 \h </w:instrText>
        </w:r>
        <w:r w:rsidR="003709B2">
          <w:rPr>
            <w:webHidden/>
          </w:rPr>
        </w:r>
        <w:r w:rsidR="003709B2">
          <w:rPr>
            <w:webHidden/>
          </w:rPr>
          <w:fldChar w:fldCharType="separate"/>
        </w:r>
        <w:r w:rsidR="003709B2">
          <w:rPr>
            <w:webHidden/>
          </w:rPr>
          <w:t>4</w:t>
        </w:r>
        <w:r w:rsidR="003709B2">
          <w:rPr>
            <w:webHidden/>
          </w:rPr>
          <w:fldChar w:fldCharType="end"/>
        </w:r>
      </w:hyperlink>
    </w:p>
    <w:p w14:paraId="3C519E9A" w14:textId="41DFB310" w:rsidR="003709B2" w:rsidRDefault="00826AB9">
      <w:pPr>
        <w:pStyle w:val="TOC2"/>
        <w:rPr>
          <w:rFonts w:eastAsiaTheme="minorEastAsia" w:cstheme="minorBidi"/>
          <w:sz w:val="22"/>
          <w:szCs w:val="22"/>
          <w:lang w:eastAsia="en-GB"/>
        </w:rPr>
      </w:pPr>
      <w:hyperlink w:anchor="_Toc534624838" w:history="1">
        <w:r w:rsidR="003709B2" w:rsidRPr="00B2132F">
          <w:rPr>
            <w:rStyle w:val="Hyperlink"/>
          </w:rPr>
          <w:t>3.3</w:t>
        </w:r>
        <w:r w:rsidR="003709B2">
          <w:rPr>
            <w:rFonts w:eastAsiaTheme="minorEastAsia" w:cstheme="minorBidi"/>
            <w:sz w:val="22"/>
            <w:szCs w:val="22"/>
            <w:lang w:eastAsia="en-GB"/>
          </w:rPr>
          <w:tab/>
        </w:r>
        <w:r w:rsidR="003709B2" w:rsidRPr="00B2132F">
          <w:rPr>
            <w:rStyle w:val="Hyperlink"/>
          </w:rPr>
          <w:t>History and Basis for Applying Zones to Pipelines</w:t>
        </w:r>
        <w:r w:rsidR="003709B2">
          <w:rPr>
            <w:webHidden/>
          </w:rPr>
          <w:tab/>
        </w:r>
        <w:r w:rsidR="003709B2">
          <w:rPr>
            <w:webHidden/>
          </w:rPr>
          <w:fldChar w:fldCharType="begin"/>
        </w:r>
        <w:r w:rsidR="003709B2">
          <w:rPr>
            <w:webHidden/>
          </w:rPr>
          <w:instrText xml:space="preserve"> PAGEREF _Toc534624838 \h </w:instrText>
        </w:r>
        <w:r w:rsidR="003709B2">
          <w:rPr>
            <w:webHidden/>
          </w:rPr>
        </w:r>
        <w:r w:rsidR="003709B2">
          <w:rPr>
            <w:webHidden/>
          </w:rPr>
          <w:fldChar w:fldCharType="separate"/>
        </w:r>
        <w:r w:rsidR="003709B2">
          <w:rPr>
            <w:webHidden/>
          </w:rPr>
          <w:t>5</w:t>
        </w:r>
        <w:r w:rsidR="003709B2">
          <w:rPr>
            <w:webHidden/>
          </w:rPr>
          <w:fldChar w:fldCharType="end"/>
        </w:r>
      </w:hyperlink>
    </w:p>
    <w:p w14:paraId="223E586F" w14:textId="12E7FC33" w:rsidR="003709B2" w:rsidRDefault="00826AB9">
      <w:pPr>
        <w:pStyle w:val="TOC2"/>
        <w:rPr>
          <w:rFonts w:eastAsiaTheme="minorEastAsia" w:cstheme="minorBidi"/>
          <w:sz w:val="22"/>
          <w:szCs w:val="22"/>
          <w:lang w:eastAsia="en-GB"/>
        </w:rPr>
      </w:pPr>
      <w:hyperlink w:anchor="_Toc534624839" w:history="1">
        <w:r w:rsidR="003709B2" w:rsidRPr="00B2132F">
          <w:rPr>
            <w:rStyle w:val="Hyperlink"/>
          </w:rPr>
          <w:t>3.4</w:t>
        </w:r>
        <w:r w:rsidR="003709B2">
          <w:rPr>
            <w:rFonts w:eastAsiaTheme="minorEastAsia" w:cstheme="minorBidi"/>
            <w:sz w:val="22"/>
            <w:szCs w:val="22"/>
            <w:lang w:eastAsia="en-GB"/>
          </w:rPr>
          <w:tab/>
        </w:r>
        <w:r w:rsidR="003709B2" w:rsidRPr="00B2132F">
          <w:rPr>
            <w:rStyle w:val="Hyperlink"/>
          </w:rPr>
          <w:t>Concerns Raised by Pipeline Operators</w:t>
        </w:r>
        <w:r w:rsidR="003709B2">
          <w:rPr>
            <w:webHidden/>
          </w:rPr>
          <w:tab/>
        </w:r>
        <w:r w:rsidR="003709B2">
          <w:rPr>
            <w:webHidden/>
          </w:rPr>
          <w:fldChar w:fldCharType="begin"/>
        </w:r>
        <w:r w:rsidR="003709B2">
          <w:rPr>
            <w:webHidden/>
          </w:rPr>
          <w:instrText xml:space="preserve"> PAGEREF _Toc534624839 \h </w:instrText>
        </w:r>
        <w:r w:rsidR="003709B2">
          <w:rPr>
            <w:webHidden/>
          </w:rPr>
        </w:r>
        <w:r w:rsidR="003709B2">
          <w:rPr>
            <w:webHidden/>
          </w:rPr>
          <w:fldChar w:fldCharType="separate"/>
        </w:r>
        <w:r w:rsidR="003709B2">
          <w:rPr>
            <w:webHidden/>
          </w:rPr>
          <w:t>5</w:t>
        </w:r>
        <w:r w:rsidR="003709B2">
          <w:rPr>
            <w:webHidden/>
          </w:rPr>
          <w:fldChar w:fldCharType="end"/>
        </w:r>
      </w:hyperlink>
    </w:p>
    <w:p w14:paraId="4CD34FAC" w14:textId="15798902" w:rsidR="003709B2" w:rsidRDefault="00826AB9">
      <w:pPr>
        <w:pStyle w:val="TOC1"/>
        <w:rPr>
          <w:rFonts w:eastAsiaTheme="minorEastAsia" w:cstheme="minorBidi"/>
          <w:b w:val="0"/>
          <w:sz w:val="22"/>
          <w:szCs w:val="22"/>
          <w:lang w:eastAsia="en-GB"/>
        </w:rPr>
      </w:pPr>
      <w:hyperlink w:anchor="_Toc534624840" w:history="1">
        <w:r w:rsidR="003709B2" w:rsidRPr="00B2132F">
          <w:rPr>
            <w:rStyle w:val="Hyperlink"/>
          </w:rPr>
          <w:t>4.</w:t>
        </w:r>
        <w:r w:rsidR="003709B2">
          <w:rPr>
            <w:rFonts w:eastAsiaTheme="minorEastAsia" w:cstheme="minorBidi"/>
            <w:b w:val="0"/>
            <w:sz w:val="22"/>
            <w:szCs w:val="22"/>
            <w:lang w:eastAsia="en-GB"/>
          </w:rPr>
          <w:tab/>
        </w:r>
        <w:r w:rsidR="003709B2" w:rsidRPr="00B2132F">
          <w:rPr>
            <w:rStyle w:val="Hyperlink"/>
          </w:rPr>
          <w:t>Current Approach for Pipeline Land Use Planning Zones</w:t>
        </w:r>
        <w:r w:rsidR="003709B2">
          <w:rPr>
            <w:webHidden/>
          </w:rPr>
          <w:tab/>
        </w:r>
        <w:r w:rsidR="003709B2">
          <w:rPr>
            <w:webHidden/>
          </w:rPr>
          <w:fldChar w:fldCharType="begin"/>
        </w:r>
        <w:r w:rsidR="003709B2">
          <w:rPr>
            <w:webHidden/>
          </w:rPr>
          <w:instrText xml:space="preserve"> PAGEREF _Toc534624840 \h </w:instrText>
        </w:r>
        <w:r w:rsidR="003709B2">
          <w:rPr>
            <w:webHidden/>
          </w:rPr>
        </w:r>
        <w:r w:rsidR="003709B2">
          <w:rPr>
            <w:webHidden/>
          </w:rPr>
          <w:fldChar w:fldCharType="separate"/>
        </w:r>
        <w:r w:rsidR="003709B2">
          <w:rPr>
            <w:webHidden/>
          </w:rPr>
          <w:t>7</w:t>
        </w:r>
        <w:r w:rsidR="003709B2">
          <w:rPr>
            <w:webHidden/>
          </w:rPr>
          <w:fldChar w:fldCharType="end"/>
        </w:r>
      </w:hyperlink>
    </w:p>
    <w:p w14:paraId="61A45FE9" w14:textId="0713882B" w:rsidR="003709B2" w:rsidRDefault="00826AB9">
      <w:pPr>
        <w:pStyle w:val="TOC1"/>
        <w:rPr>
          <w:rFonts w:eastAsiaTheme="minorEastAsia" w:cstheme="minorBidi"/>
          <w:b w:val="0"/>
          <w:sz w:val="22"/>
          <w:szCs w:val="22"/>
          <w:lang w:eastAsia="en-GB"/>
        </w:rPr>
      </w:pPr>
      <w:hyperlink w:anchor="_Toc534624841" w:history="1">
        <w:r w:rsidR="003709B2" w:rsidRPr="00B2132F">
          <w:rPr>
            <w:rStyle w:val="Hyperlink"/>
          </w:rPr>
          <w:t>5.</w:t>
        </w:r>
        <w:r w:rsidR="003709B2">
          <w:rPr>
            <w:rFonts w:eastAsiaTheme="minorEastAsia" w:cstheme="minorBidi"/>
            <w:b w:val="0"/>
            <w:sz w:val="22"/>
            <w:szCs w:val="22"/>
            <w:lang w:eastAsia="en-GB"/>
          </w:rPr>
          <w:tab/>
        </w:r>
        <w:r w:rsidR="003709B2" w:rsidRPr="00B2132F">
          <w:rPr>
            <w:rStyle w:val="Hyperlink"/>
          </w:rPr>
          <w:t>Formation of UKOPA and Initial Representations to HSE</w:t>
        </w:r>
        <w:r w:rsidR="003709B2">
          <w:rPr>
            <w:webHidden/>
          </w:rPr>
          <w:tab/>
        </w:r>
        <w:r w:rsidR="003709B2">
          <w:rPr>
            <w:webHidden/>
          </w:rPr>
          <w:fldChar w:fldCharType="begin"/>
        </w:r>
        <w:r w:rsidR="003709B2">
          <w:rPr>
            <w:webHidden/>
          </w:rPr>
          <w:instrText xml:space="preserve"> PAGEREF _Toc534624841 \h </w:instrText>
        </w:r>
        <w:r w:rsidR="003709B2">
          <w:rPr>
            <w:webHidden/>
          </w:rPr>
        </w:r>
        <w:r w:rsidR="003709B2">
          <w:rPr>
            <w:webHidden/>
          </w:rPr>
          <w:fldChar w:fldCharType="separate"/>
        </w:r>
        <w:r w:rsidR="003709B2">
          <w:rPr>
            <w:webHidden/>
          </w:rPr>
          <w:t>8</w:t>
        </w:r>
        <w:r w:rsidR="003709B2">
          <w:rPr>
            <w:webHidden/>
          </w:rPr>
          <w:fldChar w:fldCharType="end"/>
        </w:r>
      </w:hyperlink>
    </w:p>
    <w:p w14:paraId="7A005318" w14:textId="37950900" w:rsidR="003709B2" w:rsidRDefault="00826AB9">
      <w:pPr>
        <w:pStyle w:val="TOC2"/>
        <w:rPr>
          <w:rFonts w:eastAsiaTheme="minorEastAsia" w:cstheme="minorBidi"/>
          <w:sz w:val="22"/>
          <w:szCs w:val="22"/>
          <w:lang w:eastAsia="en-GB"/>
        </w:rPr>
      </w:pPr>
      <w:hyperlink w:anchor="_Toc534624842" w:history="1">
        <w:r w:rsidR="003709B2" w:rsidRPr="00B2132F">
          <w:rPr>
            <w:rStyle w:val="Hyperlink"/>
          </w:rPr>
          <w:t>5.1</w:t>
        </w:r>
        <w:r w:rsidR="003709B2">
          <w:rPr>
            <w:rFonts w:eastAsiaTheme="minorEastAsia" w:cstheme="minorBidi"/>
            <w:sz w:val="22"/>
            <w:szCs w:val="22"/>
            <w:lang w:eastAsia="en-GB"/>
          </w:rPr>
          <w:tab/>
        </w:r>
        <w:r w:rsidR="003709B2" w:rsidRPr="00B2132F">
          <w:rPr>
            <w:rStyle w:val="Hyperlink"/>
          </w:rPr>
          <w:t>Formation of the United Kingdom Onshore Pipeline Operators’ Association in 1997</w:t>
        </w:r>
        <w:r w:rsidR="003709B2">
          <w:rPr>
            <w:webHidden/>
          </w:rPr>
          <w:tab/>
        </w:r>
        <w:r w:rsidR="003709B2">
          <w:rPr>
            <w:webHidden/>
          </w:rPr>
          <w:fldChar w:fldCharType="begin"/>
        </w:r>
        <w:r w:rsidR="003709B2">
          <w:rPr>
            <w:webHidden/>
          </w:rPr>
          <w:instrText xml:space="preserve"> PAGEREF _Toc534624842 \h </w:instrText>
        </w:r>
        <w:r w:rsidR="003709B2">
          <w:rPr>
            <w:webHidden/>
          </w:rPr>
        </w:r>
        <w:r w:rsidR="003709B2">
          <w:rPr>
            <w:webHidden/>
          </w:rPr>
          <w:fldChar w:fldCharType="separate"/>
        </w:r>
        <w:r w:rsidR="003709B2">
          <w:rPr>
            <w:webHidden/>
          </w:rPr>
          <w:t>8</w:t>
        </w:r>
        <w:r w:rsidR="003709B2">
          <w:rPr>
            <w:webHidden/>
          </w:rPr>
          <w:fldChar w:fldCharType="end"/>
        </w:r>
      </w:hyperlink>
    </w:p>
    <w:p w14:paraId="7980BDAC" w14:textId="6265803C" w:rsidR="003709B2" w:rsidRDefault="00826AB9">
      <w:pPr>
        <w:pStyle w:val="TOC2"/>
        <w:rPr>
          <w:rFonts w:eastAsiaTheme="minorEastAsia" w:cstheme="minorBidi"/>
          <w:sz w:val="22"/>
          <w:szCs w:val="22"/>
          <w:lang w:eastAsia="en-GB"/>
        </w:rPr>
      </w:pPr>
      <w:hyperlink w:anchor="_Toc534624843" w:history="1">
        <w:r w:rsidR="003709B2" w:rsidRPr="00B2132F">
          <w:rPr>
            <w:rStyle w:val="Hyperlink"/>
          </w:rPr>
          <w:t>5.2</w:t>
        </w:r>
        <w:r w:rsidR="003709B2">
          <w:rPr>
            <w:rFonts w:eastAsiaTheme="minorEastAsia" w:cstheme="minorBidi"/>
            <w:sz w:val="22"/>
            <w:szCs w:val="22"/>
            <w:lang w:eastAsia="en-GB"/>
          </w:rPr>
          <w:tab/>
        </w:r>
        <w:r w:rsidR="003709B2" w:rsidRPr="00B2132F">
          <w:rPr>
            <w:rStyle w:val="Hyperlink"/>
          </w:rPr>
          <w:t>Issues with HSE Approach</w:t>
        </w:r>
        <w:r w:rsidR="003709B2">
          <w:rPr>
            <w:webHidden/>
          </w:rPr>
          <w:tab/>
        </w:r>
        <w:r w:rsidR="003709B2">
          <w:rPr>
            <w:webHidden/>
          </w:rPr>
          <w:fldChar w:fldCharType="begin"/>
        </w:r>
        <w:r w:rsidR="003709B2">
          <w:rPr>
            <w:webHidden/>
          </w:rPr>
          <w:instrText xml:space="preserve"> PAGEREF _Toc534624843 \h </w:instrText>
        </w:r>
        <w:r w:rsidR="003709B2">
          <w:rPr>
            <w:webHidden/>
          </w:rPr>
        </w:r>
        <w:r w:rsidR="003709B2">
          <w:rPr>
            <w:webHidden/>
          </w:rPr>
          <w:fldChar w:fldCharType="separate"/>
        </w:r>
        <w:r w:rsidR="003709B2">
          <w:rPr>
            <w:webHidden/>
          </w:rPr>
          <w:t>8</w:t>
        </w:r>
        <w:r w:rsidR="003709B2">
          <w:rPr>
            <w:webHidden/>
          </w:rPr>
          <w:fldChar w:fldCharType="end"/>
        </w:r>
      </w:hyperlink>
    </w:p>
    <w:p w14:paraId="5AF9565C" w14:textId="2F310C3F" w:rsidR="003709B2" w:rsidRDefault="00826AB9">
      <w:pPr>
        <w:pStyle w:val="TOC2"/>
        <w:rPr>
          <w:rFonts w:eastAsiaTheme="minorEastAsia" w:cstheme="minorBidi"/>
          <w:sz w:val="22"/>
          <w:szCs w:val="22"/>
          <w:lang w:eastAsia="en-GB"/>
        </w:rPr>
      </w:pPr>
      <w:hyperlink w:anchor="_Toc534624844" w:history="1">
        <w:r w:rsidR="003709B2" w:rsidRPr="00B2132F">
          <w:rPr>
            <w:rStyle w:val="Hyperlink"/>
          </w:rPr>
          <w:t>5.3</w:t>
        </w:r>
        <w:r w:rsidR="003709B2">
          <w:rPr>
            <w:rFonts w:eastAsiaTheme="minorEastAsia" w:cstheme="minorBidi"/>
            <w:sz w:val="22"/>
            <w:szCs w:val="22"/>
            <w:lang w:eastAsia="en-GB"/>
          </w:rPr>
          <w:tab/>
        </w:r>
        <w:r w:rsidR="003709B2" w:rsidRPr="00B2132F">
          <w:rPr>
            <w:rStyle w:val="Hyperlink"/>
          </w:rPr>
          <w:t>Transco Joint Programme of Work</w:t>
        </w:r>
        <w:r w:rsidR="003709B2">
          <w:rPr>
            <w:webHidden/>
          </w:rPr>
          <w:tab/>
        </w:r>
        <w:r w:rsidR="003709B2">
          <w:rPr>
            <w:webHidden/>
          </w:rPr>
          <w:fldChar w:fldCharType="begin"/>
        </w:r>
        <w:r w:rsidR="003709B2">
          <w:rPr>
            <w:webHidden/>
          </w:rPr>
          <w:instrText xml:space="preserve"> PAGEREF _Toc534624844 \h </w:instrText>
        </w:r>
        <w:r w:rsidR="003709B2">
          <w:rPr>
            <w:webHidden/>
          </w:rPr>
        </w:r>
        <w:r w:rsidR="003709B2">
          <w:rPr>
            <w:webHidden/>
          </w:rPr>
          <w:fldChar w:fldCharType="separate"/>
        </w:r>
        <w:r w:rsidR="003709B2">
          <w:rPr>
            <w:webHidden/>
          </w:rPr>
          <w:t>9</w:t>
        </w:r>
        <w:r w:rsidR="003709B2">
          <w:rPr>
            <w:webHidden/>
          </w:rPr>
          <w:fldChar w:fldCharType="end"/>
        </w:r>
      </w:hyperlink>
    </w:p>
    <w:p w14:paraId="2A72F066" w14:textId="5125B47E" w:rsidR="003709B2" w:rsidRDefault="00826AB9">
      <w:pPr>
        <w:pStyle w:val="TOC1"/>
        <w:rPr>
          <w:rFonts w:eastAsiaTheme="minorEastAsia" w:cstheme="minorBidi"/>
          <w:b w:val="0"/>
          <w:sz w:val="22"/>
          <w:szCs w:val="22"/>
          <w:lang w:eastAsia="en-GB"/>
        </w:rPr>
      </w:pPr>
      <w:hyperlink w:anchor="_Toc534624845" w:history="1">
        <w:r w:rsidR="003709B2" w:rsidRPr="00B2132F">
          <w:rPr>
            <w:rStyle w:val="Hyperlink"/>
          </w:rPr>
          <w:t>6.</w:t>
        </w:r>
        <w:r w:rsidR="003709B2">
          <w:rPr>
            <w:rFonts w:eastAsiaTheme="minorEastAsia" w:cstheme="minorBidi"/>
            <w:b w:val="0"/>
            <w:sz w:val="22"/>
            <w:szCs w:val="22"/>
            <w:lang w:eastAsia="en-GB"/>
          </w:rPr>
          <w:tab/>
        </w:r>
        <w:r w:rsidR="003709B2" w:rsidRPr="00B2132F">
          <w:rPr>
            <w:rStyle w:val="Hyperlink"/>
          </w:rPr>
          <w:t>Joint Programme of Work with UKOPA 2001-2004</w:t>
        </w:r>
        <w:r w:rsidR="003709B2">
          <w:rPr>
            <w:webHidden/>
          </w:rPr>
          <w:tab/>
        </w:r>
        <w:r w:rsidR="003709B2">
          <w:rPr>
            <w:webHidden/>
          </w:rPr>
          <w:fldChar w:fldCharType="begin"/>
        </w:r>
        <w:r w:rsidR="003709B2">
          <w:rPr>
            <w:webHidden/>
          </w:rPr>
          <w:instrText xml:space="preserve"> PAGEREF _Toc534624845 \h </w:instrText>
        </w:r>
        <w:r w:rsidR="003709B2">
          <w:rPr>
            <w:webHidden/>
          </w:rPr>
        </w:r>
        <w:r w:rsidR="003709B2">
          <w:rPr>
            <w:webHidden/>
          </w:rPr>
          <w:fldChar w:fldCharType="separate"/>
        </w:r>
        <w:r w:rsidR="003709B2">
          <w:rPr>
            <w:webHidden/>
          </w:rPr>
          <w:t>11</w:t>
        </w:r>
        <w:r w:rsidR="003709B2">
          <w:rPr>
            <w:webHidden/>
          </w:rPr>
          <w:fldChar w:fldCharType="end"/>
        </w:r>
      </w:hyperlink>
    </w:p>
    <w:p w14:paraId="167D3EE4" w14:textId="4416CBFA" w:rsidR="003709B2" w:rsidRDefault="00826AB9">
      <w:pPr>
        <w:pStyle w:val="TOC2"/>
        <w:rPr>
          <w:rFonts w:eastAsiaTheme="minorEastAsia" w:cstheme="minorBidi"/>
          <w:sz w:val="22"/>
          <w:szCs w:val="22"/>
          <w:lang w:eastAsia="en-GB"/>
        </w:rPr>
      </w:pPr>
      <w:hyperlink w:anchor="_Toc534624846" w:history="1">
        <w:r w:rsidR="003709B2" w:rsidRPr="00B2132F">
          <w:rPr>
            <w:rStyle w:val="Hyperlink"/>
          </w:rPr>
          <w:t>6.1</w:t>
        </w:r>
        <w:r w:rsidR="003709B2">
          <w:rPr>
            <w:rFonts w:eastAsiaTheme="minorEastAsia" w:cstheme="minorBidi"/>
            <w:sz w:val="22"/>
            <w:szCs w:val="22"/>
            <w:lang w:eastAsia="en-GB"/>
          </w:rPr>
          <w:tab/>
        </w:r>
        <w:r w:rsidR="003709B2" w:rsidRPr="00B2132F">
          <w:rPr>
            <w:rStyle w:val="Hyperlink"/>
          </w:rPr>
          <w:t>Setting up the Working Group on Pipelines (WGP)</w:t>
        </w:r>
        <w:r w:rsidR="003709B2">
          <w:rPr>
            <w:webHidden/>
          </w:rPr>
          <w:tab/>
        </w:r>
        <w:r w:rsidR="003709B2">
          <w:rPr>
            <w:webHidden/>
          </w:rPr>
          <w:fldChar w:fldCharType="begin"/>
        </w:r>
        <w:r w:rsidR="003709B2">
          <w:rPr>
            <w:webHidden/>
          </w:rPr>
          <w:instrText xml:space="preserve"> PAGEREF _Toc534624846 \h </w:instrText>
        </w:r>
        <w:r w:rsidR="003709B2">
          <w:rPr>
            <w:webHidden/>
          </w:rPr>
        </w:r>
        <w:r w:rsidR="003709B2">
          <w:rPr>
            <w:webHidden/>
          </w:rPr>
          <w:fldChar w:fldCharType="separate"/>
        </w:r>
        <w:r w:rsidR="003709B2">
          <w:rPr>
            <w:webHidden/>
          </w:rPr>
          <w:t>11</w:t>
        </w:r>
        <w:r w:rsidR="003709B2">
          <w:rPr>
            <w:webHidden/>
          </w:rPr>
          <w:fldChar w:fldCharType="end"/>
        </w:r>
      </w:hyperlink>
    </w:p>
    <w:p w14:paraId="5DE26F64" w14:textId="5214D699" w:rsidR="003709B2" w:rsidRDefault="00826AB9">
      <w:pPr>
        <w:pStyle w:val="TOC2"/>
        <w:rPr>
          <w:rFonts w:eastAsiaTheme="minorEastAsia" w:cstheme="minorBidi"/>
          <w:sz w:val="22"/>
          <w:szCs w:val="22"/>
          <w:lang w:eastAsia="en-GB"/>
        </w:rPr>
      </w:pPr>
      <w:hyperlink w:anchor="_Toc534624847" w:history="1">
        <w:r w:rsidR="003709B2" w:rsidRPr="00B2132F">
          <w:rPr>
            <w:rStyle w:val="Hyperlink"/>
          </w:rPr>
          <w:t>6.2</w:t>
        </w:r>
        <w:r w:rsidR="003709B2">
          <w:rPr>
            <w:rFonts w:eastAsiaTheme="minorEastAsia" w:cstheme="minorBidi"/>
            <w:sz w:val="22"/>
            <w:szCs w:val="22"/>
            <w:lang w:eastAsia="en-GB"/>
          </w:rPr>
          <w:tab/>
        </w:r>
        <w:r w:rsidR="003709B2" w:rsidRPr="00B2132F">
          <w:rPr>
            <w:rStyle w:val="Hyperlink"/>
          </w:rPr>
          <w:t>HSE Withdrawal from the WGP</w:t>
        </w:r>
        <w:r w:rsidR="003709B2">
          <w:rPr>
            <w:webHidden/>
          </w:rPr>
          <w:tab/>
        </w:r>
        <w:r w:rsidR="003709B2">
          <w:rPr>
            <w:webHidden/>
          </w:rPr>
          <w:fldChar w:fldCharType="begin"/>
        </w:r>
        <w:r w:rsidR="003709B2">
          <w:rPr>
            <w:webHidden/>
          </w:rPr>
          <w:instrText xml:space="preserve"> PAGEREF _Toc534624847 \h </w:instrText>
        </w:r>
        <w:r w:rsidR="003709B2">
          <w:rPr>
            <w:webHidden/>
          </w:rPr>
        </w:r>
        <w:r w:rsidR="003709B2">
          <w:rPr>
            <w:webHidden/>
          </w:rPr>
          <w:fldChar w:fldCharType="separate"/>
        </w:r>
        <w:r w:rsidR="003709B2">
          <w:rPr>
            <w:webHidden/>
          </w:rPr>
          <w:t>11</w:t>
        </w:r>
        <w:r w:rsidR="003709B2">
          <w:rPr>
            <w:webHidden/>
          </w:rPr>
          <w:fldChar w:fldCharType="end"/>
        </w:r>
      </w:hyperlink>
    </w:p>
    <w:p w14:paraId="52D842DE" w14:textId="468CD0C5" w:rsidR="003709B2" w:rsidRDefault="00826AB9">
      <w:pPr>
        <w:pStyle w:val="TOC2"/>
        <w:rPr>
          <w:rFonts w:eastAsiaTheme="minorEastAsia" w:cstheme="minorBidi"/>
          <w:sz w:val="22"/>
          <w:szCs w:val="22"/>
          <w:lang w:eastAsia="en-GB"/>
        </w:rPr>
      </w:pPr>
      <w:hyperlink w:anchor="_Toc534624848" w:history="1">
        <w:r w:rsidR="003709B2" w:rsidRPr="00B2132F">
          <w:rPr>
            <w:rStyle w:val="Hyperlink"/>
          </w:rPr>
          <w:t>6.3</w:t>
        </w:r>
        <w:r w:rsidR="003709B2">
          <w:rPr>
            <w:rFonts w:eastAsiaTheme="minorEastAsia" w:cstheme="minorBidi"/>
            <w:sz w:val="22"/>
            <w:szCs w:val="22"/>
            <w:lang w:eastAsia="en-GB"/>
          </w:rPr>
          <w:tab/>
        </w:r>
        <w:r w:rsidR="003709B2" w:rsidRPr="00B2132F">
          <w:rPr>
            <w:rStyle w:val="Hyperlink"/>
          </w:rPr>
          <w:t>HSE’s Fundamental Review of Land Use Planning</w:t>
        </w:r>
        <w:r w:rsidR="003709B2">
          <w:rPr>
            <w:webHidden/>
          </w:rPr>
          <w:tab/>
        </w:r>
        <w:r w:rsidR="003709B2">
          <w:rPr>
            <w:webHidden/>
          </w:rPr>
          <w:fldChar w:fldCharType="begin"/>
        </w:r>
        <w:r w:rsidR="003709B2">
          <w:rPr>
            <w:webHidden/>
          </w:rPr>
          <w:instrText xml:space="preserve"> PAGEREF _Toc534624848 \h </w:instrText>
        </w:r>
        <w:r w:rsidR="003709B2">
          <w:rPr>
            <w:webHidden/>
          </w:rPr>
        </w:r>
        <w:r w:rsidR="003709B2">
          <w:rPr>
            <w:webHidden/>
          </w:rPr>
          <w:fldChar w:fldCharType="separate"/>
        </w:r>
        <w:r w:rsidR="003709B2">
          <w:rPr>
            <w:webHidden/>
          </w:rPr>
          <w:t>12</w:t>
        </w:r>
        <w:r w:rsidR="003709B2">
          <w:rPr>
            <w:webHidden/>
          </w:rPr>
          <w:fldChar w:fldCharType="end"/>
        </w:r>
      </w:hyperlink>
    </w:p>
    <w:p w14:paraId="4D8A1BEF" w14:textId="5F2C79F3" w:rsidR="003709B2" w:rsidRDefault="00826AB9">
      <w:pPr>
        <w:pStyle w:val="TOC1"/>
        <w:rPr>
          <w:rFonts w:eastAsiaTheme="minorEastAsia" w:cstheme="minorBidi"/>
          <w:b w:val="0"/>
          <w:sz w:val="22"/>
          <w:szCs w:val="22"/>
          <w:lang w:eastAsia="en-GB"/>
        </w:rPr>
      </w:pPr>
      <w:hyperlink w:anchor="_Toc534624849" w:history="1">
        <w:r w:rsidR="003709B2" w:rsidRPr="00B2132F">
          <w:rPr>
            <w:rStyle w:val="Hyperlink"/>
          </w:rPr>
          <w:t>7.</w:t>
        </w:r>
        <w:r w:rsidR="003709B2">
          <w:rPr>
            <w:rFonts w:eastAsiaTheme="minorEastAsia" w:cstheme="minorBidi"/>
            <w:b w:val="0"/>
            <w:sz w:val="22"/>
            <w:szCs w:val="22"/>
            <w:lang w:eastAsia="en-GB"/>
          </w:rPr>
          <w:tab/>
        </w:r>
        <w:r w:rsidR="003709B2" w:rsidRPr="00B2132F">
          <w:rPr>
            <w:rStyle w:val="Hyperlink"/>
          </w:rPr>
          <w:t>Gasoline Pipelines</w:t>
        </w:r>
        <w:r w:rsidR="003709B2">
          <w:rPr>
            <w:webHidden/>
          </w:rPr>
          <w:tab/>
        </w:r>
        <w:r w:rsidR="003709B2">
          <w:rPr>
            <w:webHidden/>
          </w:rPr>
          <w:fldChar w:fldCharType="begin"/>
        </w:r>
        <w:r w:rsidR="003709B2">
          <w:rPr>
            <w:webHidden/>
          </w:rPr>
          <w:instrText xml:space="preserve"> PAGEREF _Toc534624849 \h </w:instrText>
        </w:r>
        <w:r w:rsidR="003709B2">
          <w:rPr>
            <w:webHidden/>
          </w:rPr>
        </w:r>
        <w:r w:rsidR="003709B2">
          <w:rPr>
            <w:webHidden/>
          </w:rPr>
          <w:fldChar w:fldCharType="separate"/>
        </w:r>
        <w:r w:rsidR="003709B2">
          <w:rPr>
            <w:webHidden/>
          </w:rPr>
          <w:t>13</w:t>
        </w:r>
        <w:r w:rsidR="003709B2">
          <w:rPr>
            <w:webHidden/>
          </w:rPr>
          <w:fldChar w:fldCharType="end"/>
        </w:r>
      </w:hyperlink>
    </w:p>
    <w:p w14:paraId="465E7F22" w14:textId="54596CDE" w:rsidR="003709B2" w:rsidRDefault="00826AB9">
      <w:pPr>
        <w:pStyle w:val="TOC2"/>
        <w:rPr>
          <w:rFonts w:eastAsiaTheme="minorEastAsia" w:cstheme="minorBidi"/>
          <w:sz w:val="22"/>
          <w:szCs w:val="22"/>
          <w:lang w:eastAsia="en-GB"/>
        </w:rPr>
      </w:pPr>
      <w:hyperlink w:anchor="_Toc534624850" w:history="1">
        <w:r w:rsidR="003709B2" w:rsidRPr="00B2132F">
          <w:rPr>
            <w:rStyle w:val="Hyperlink"/>
            <w:lang w:eastAsia="en-GB"/>
          </w:rPr>
          <w:t>7.1</w:t>
        </w:r>
        <w:r w:rsidR="003709B2">
          <w:rPr>
            <w:rFonts w:eastAsiaTheme="minorEastAsia" w:cstheme="minorBidi"/>
            <w:sz w:val="22"/>
            <w:szCs w:val="22"/>
            <w:lang w:eastAsia="en-GB"/>
          </w:rPr>
          <w:tab/>
        </w:r>
        <w:r w:rsidR="003709B2" w:rsidRPr="00B2132F">
          <w:rPr>
            <w:rStyle w:val="Hyperlink"/>
            <w:lang w:eastAsia="en-GB"/>
          </w:rPr>
          <w:t>Non-Inclusion in the Pipelines Safety Regulations 1996</w:t>
        </w:r>
        <w:r w:rsidR="003709B2">
          <w:rPr>
            <w:webHidden/>
          </w:rPr>
          <w:tab/>
        </w:r>
        <w:r w:rsidR="003709B2">
          <w:rPr>
            <w:webHidden/>
          </w:rPr>
          <w:fldChar w:fldCharType="begin"/>
        </w:r>
        <w:r w:rsidR="003709B2">
          <w:rPr>
            <w:webHidden/>
          </w:rPr>
          <w:instrText xml:space="preserve"> PAGEREF _Toc534624850 \h </w:instrText>
        </w:r>
        <w:r w:rsidR="003709B2">
          <w:rPr>
            <w:webHidden/>
          </w:rPr>
        </w:r>
        <w:r w:rsidR="003709B2">
          <w:rPr>
            <w:webHidden/>
          </w:rPr>
          <w:fldChar w:fldCharType="separate"/>
        </w:r>
        <w:r w:rsidR="003709B2">
          <w:rPr>
            <w:webHidden/>
          </w:rPr>
          <w:t>13</w:t>
        </w:r>
        <w:r w:rsidR="003709B2">
          <w:rPr>
            <w:webHidden/>
          </w:rPr>
          <w:fldChar w:fldCharType="end"/>
        </w:r>
      </w:hyperlink>
    </w:p>
    <w:p w14:paraId="324016FD" w14:textId="2BB073E4" w:rsidR="003709B2" w:rsidRDefault="00826AB9">
      <w:pPr>
        <w:pStyle w:val="TOC2"/>
        <w:rPr>
          <w:rFonts w:eastAsiaTheme="minorEastAsia" w:cstheme="minorBidi"/>
          <w:sz w:val="22"/>
          <w:szCs w:val="22"/>
          <w:lang w:eastAsia="en-GB"/>
        </w:rPr>
      </w:pPr>
      <w:hyperlink w:anchor="_Toc534624851" w:history="1">
        <w:r w:rsidR="003709B2" w:rsidRPr="00B2132F">
          <w:rPr>
            <w:rStyle w:val="Hyperlink"/>
            <w:lang w:eastAsia="en-GB"/>
          </w:rPr>
          <w:t>7.2</w:t>
        </w:r>
        <w:r w:rsidR="003709B2">
          <w:rPr>
            <w:rFonts w:eastAsiaTheme="minorEastAsia" w:cstheme="minorBidi"/>
            <w:sz w:val="22"/>
            <w:szCs w:val="22"/>
            <w:lang w:eastAsia="en-GB"/>
          </w:rPr>
          <w:tab/>
        </w:r>
        <w:r w:rsidR="003709B2" w:rsidRPr="00B2132F">
          <w:rPr>
            <w:rStyle w:val="Hyperlink"/>
            <w:lang w:eastAsia="en-GB"/>
          </w:rPr>
          <w:t>Joint HSE-UKOPA Discussions 2003-4</w:t>
        </w:r>
        <w:r w:rsidR="003709B2">
          <w:rPr>
            <w:webHidden/>
          </w:rPr>
          <w:tab/>
        </w:r>
        <w:r w:rsidR="003709B2">
          <w:rPr>
            <w:webHidden/>
          </w:rPr>
          <w:fldChar w:fldCharType="begin"/>
        </w:r>
        <w:r w:rsidR="003709B2">
          <w:rPr>
            <w:webHidden/>
          </w:rPr>
          <w:instrText xml:space="preserve"> PAGEREF _Toc534624851 \h </w:instrText>
        </w:r>
        <w:r w:rsidR="003709B2">
          <w:rPr>
            <w:webHidden/>
          </w:rPr>
        </w:r>
        <w:r w:rsidR="003709B2">
          <w:rPr>
            <w:webHidden/>
          </w:rPr>
          <w:fldChar w:fldCharType="separate"/>
        </w:r>
        <w:r w:rsidR="003709B2">
          <w:rPr>
            <w:webHidden/>
          </w:rPr>
          <w:t>13</w:t>
        </w:r>
        <w:r w:rsidR="003709B2">
          <w:rPr>
            <w:webHidden/>
          </w:rPr>
          <w:fldChar w:fldCharType="end"/>
        </w:r>
      </w:hyperlink>
    </w:p>
    <w:p w14:paraId="5FBEC75E" w14:textId="7A34FF5B" w:rsidR="003709B2" w:rsidRDefault="00826AB9">
      <w:pPr>
        <w:pStyle w:val="TOC2"/>
        <w:rPr>
          <w:rFonts w:eastAsiaTheme="minorEastAsia" w:cstheme="minorBidi"/>
          <w:sz w:val="22"/>
          <w:szCs w:val="22"/>
          <w:lang w:eastAsia="en-GB"/>
        </w:rPr>
      </w:pPr>
      <w:hyperlink w:anchor="_Toc534624852" w:history="1">
        <w:r w:rsidR="003709B2" w:rsidRPr="00B2132F">
          <w:rPr>
            <w:rStyle w:val="Hyperlink"/>
            <w:lang w:eastAsia="en-GB"/>
          </w:rPr>
          <w:t>7.3</w:t>
        </w:r>
        <w:r w:rsidR="003709B2">
          <w:rPr>
            <w:rFonts w:eastAsiaTheme="minorEastAsia" w:cstheme="minorBidi"/>
            <w:sz w:val="22"/>
            <w:szCs w:val="22"/>
            <w:lang w:eastAsia="en-GB"/>
          </w:rPr>
          <w:tab/>
        </w:r>
        <w:r w:rsidR="003709B2" w:rsidRPr="00B2132F">
          <w:rPr>
            <w:rStyle w:val="Hyperlink"/>
            <w:lang w:eastAsia="en-GB"/>
          </w:rPr>
          <w:t>Post-Buncefield Intention to Include Gasoline in PSR Amendments 2010</w:t>
        </w:r>
        <w:r w:rsidR="003709B2">
          <w:rPr>
            <w:webHidden/>
          </w:rPr>
          <w:tab/>
        </w:r>
        <w:r w:rsidR="003709B2">
          <w:rPr>
            <w:webHidden/>
          </w:rPr>
          <w:fldChar w:fldCharType="begin"/>
        </w:r>
        <w:r w:rsidR="003709B2">
          <w:rPr>
            <w:webHidden/>
          </w:rPr>
          <w:instrText xml:space="preserve"> PAGEREF _Toc534624852 \h </w:instrText>
        </w:r>
        <w:r w:rsidR="003709B2">
          <w:rPr>
            <w:webHidden/>
          </w:rPr>
        </w:r>
        <w:r w:rsidR="003709B2">
          <w:rPr>
            <w:webHidden/>
          </w:rPr>
          <w:fldChar w:fldCharType="separate"/>
        </w:r>
        <w:r w:rsidR="003709B2">
          <w:rPr>
            <w:webHidden/>
          </w:rPr>
          <w:t>13</w:t>
        </w:r>
        <w:r w:rsidR="003709B2">
          <w:rPr>
            <w:webHidden/>
          </w:rPr>
          <w:fldChar w:fldCharType="end"/>
        </w:r>
      </w:hyperlink>
    </w:p>
    <w:p w14:paraId="34F34AB9" w14:textId="009BAECE" w:rsidR="003709B2" w:rsidRDefault="00826AB9">
      <w:pPr>
        <w:pStyle w:val="TOC2"/>
        <w:rPr>
          <w:rFonts w:eastAsiaTheme="minorEastAsia" w:cstheme="minorBidi"/>
          <w:sz w:val="22"/>
          <w:szCs w:val="22"/>
          <w:lang w:eastAsia="en-GB"/>
        </w:rPr>
      </w:pPr>
      <w:hyperlink w:anchor="_Toc534624853" w:history="1">
        <w:r w:rsidR="003709B2" w:rsidRPr="00B2132F">
          <w:rPr>
            <w:rStyle w:val="Hyperlink"/>
            <w:lang w:eastAsia="en-GB"/>
          </w:rPr>
          <w:t>7.4</w:t>
        </w:r>
        <w:r w:rsidR="003709B2">
          <w:rPr>
            <w:rFonts w:eastAsiaTheme="minorEastAsia" w:cstheme="minorBidi"/>
            <w:sz w:val="22"/>
            <w:szCs w:val="22"/>
            <w:lang w:eastAsia="en-GB"/>
          </w:rPr>
          <w:tab/>
        </w:r>
        <w:r w:rsidR="003709B2" w:rsidRPr="00B2132F">
          <w:rPr>
            <w:rStyle w:val="Hyperlink"/>
            <w:lang w:eastAsia="en-GB"/>
          </w:rPr>
          <w:t>UKOPA Develops Robust Methodology for Calculating LUP Zones</w:t>
        </w:r>
        <w:r w:rsidR="003709B2">
          <w:rPr>
            <w:webHidden/>
          </w:rPr>
          <w:tab/>
        </w:r>
        <w:r w:rsidR="003709B2">
          <w:rPr>
            <w:webHidden/>
          </w:rPr>
          <w:fldChar w:fldCharType="begin"/>
        </w:r>
        <w:r w:rsidR="003709B2">
          <w:rPr>
            <w:webHidden/>
          </w:rPr>
          <w:instrText xml:space="preserve"> PAGEREF _Toc534624853 \h </w:instrText>
        </w:r>
        <w:r w:rsidR="003709B2">
          <w:rPr>
            <w:webHidden/>
          </w:rPr>
        </w:r>
        <w:r w:rsidR="003709B2">
          <w:rPr>
            <w:webHidden/>
          </w:rPr>
          <w:fldChar w:fldCharType="separate"/>
        </w:r>
        <w:r w:rsidR="003709B2">
          <w:rPr>
            <w:webHidden/>
          </w:rPr>
          <w:t>14</w:t>
        </w:r>
        <w:r w:rsidR="003709B2">
          <w:rPr>
            <w:webHidden/>
          </w:rPr>
          <w:fldChar w:fldCharType="end"/>
        </w:r>
      </w:hyperlink>
    </w:p>
    <w:p w14:paraId="7486726C" w14:textId="5CFB4544" w:rsidR="003709B2" w:rsidRDefault="00826AB9">
      <w:pPr>
        <w:pStyle w:val="TOC2"/>
        <w:rPr>
          <w:rFonts w:eastAsiaTheme="minorEastAsia" w:cstheme="minorBidi"/>
          <w:sz w:val="22"/>
          <w:szCs w:val="22"/>
          <w:lang w:eastAsia="en-GB"/>
        </w:rPr>
      </w:pPr>
      <w:hyperlink w:anchor="_Toc534624854" w:history="1">
        <w:r w:rsidR="003709B2" w:rsidRPr="00B2132F">
          <w:rPr>
            <w:rStyle w:val="Hyperlink"/>
            <w:lang w:eastAsia="en-GB"/>
          </w:rPr>
          <w:t>7.5</w:t>
        </w:r>
        <w:r w:rsidR="003709B2">
          <w:rPr>
            <w:rFonts w:eastAsiaTheme="minorEastAsia" w:cstheme="minorBidi"/>
            <w:sz w:val="22"/>
            <w:szCs w:val="22"/>
            <w:lang w:eastAsia="en-GB"/>
          </w:rPr>
          <w:tab/>
        </w:r>
        <w:r w:rsidR="003709B2" w:rsidRPr="00B2132F">
          <w:rPr>
            <w:rStyle w:val="Hyperlink"/>
            <w:lang w:eastAsia="en-GB"/>
          </w:rPr>
          <w:t>HSE Decision Not to Proceed 2012</w:t>
        </w:r>
        <w:r w:rsidR="003709B2">
          <w:rPr>
            <w:webHidden/>
          </w:rPr>
          <w:tab/>
        </w:r>
        <w:r w:rsidR="003709B2">
          <w:rPr>
            <w:webHidden/>
          </w:rPr>
          <w:fldChar w:fldCharType="begin"/>
        </w:r>
        <w:r w:rsidR="003709B2">
          <w:rPr>
            <w:webHidden/>
          </w:rPr>
          <w:instrText xml:space="preserve"> PAGEREF _Toc534624854 \h </w:instrText>
        </w:r>
        <w:r w:rsidR="003709B2">
          <w:rPr>
            <w:webHidden/>
          </w:rPr>
        </w:r>
        <w:r w:rsidR="003709B2">
          <w:rPr>
            <w:webHidden/>
          </w:rPr>
          <w:fldChar w:fldCharType="separate"/>
        </w:r>
        <w:r w:rsidR="003709B2">
          <w:rPr>
            <w:webHidden/>
          </w:rPr>
          <w:t>14</w:t>
        </w:r>
        <w:r w:rsidR="003709B2">
          <w:rPr>
            <w:webHidden/>
          </w:rPr>
          <w:fldChar w:fldCharType="end"/>
        </w:r>
      </w:hyperlink>
    </w:p>
    <w:p w14:paraId="64E0838E" w14:textId="6D0AB9A8" w:rsidR="003709B2" w:rsidRDefault="00826AB9">
      <w:pPr>
        <w:pStyle w:val="TOC2"/>
        <w:rPr>
          <w:rFonts w:eastAsiaTheme="minorEastAsia" w:cstheme="minorBidi"/>
          <w:sz w:val="22"/>
          <w:szCs w:val="22"/>
          <w:lang w:eastAsia="en-GB"/>
        </w:rPr>
      </w:pPr>
      <w:hyperlink w:anchor="_Toc534624855" w:history="1">
        <w:r w:rsidR="003709B2" w:rsidRPr="00B2132F">
          <w:rPr>
            <w:rStyle w:val="Hyperlink"/>
            <w:lang w:eastAsia="en-GB"/>
          </w:rPr>
          <w:t>7.6</w:t>
        </w:r>
        <w:r w:rsidR="003709B2">
          <w:rPr>
            <w:rFonts w:eastAsiaTheme="minorEastAsia" w:cstheme="minorBidi"/>
            <w:sz w:val="22"/>
            <w:szCs w:val="22"/>
            <w:lang w:eastAsia="en-GB"/>
          </w:rPr>
          <w:tab/>
        </w:r>
        <w:r w:rsidR="003709B2" w:rsidRPr="00B2132F">
          <w:rPr>
            <w:rStyle w:val="Hyperlink"/>
            <w:lang w:eastAsia="en-GB"/>
          </w:rPr>
          <w:t>Current Situation</w:t>
        </w:r>
        <w:r w:rsidR="003709B2">
          <w:rPr>
            <w:webHidden/>
          </w:rPr>
          <w:tab/>
        </w:r>
        <w:r w:rsidR="003709B2">
          <w:rPr>
            <w:webHidden/>
          </w:rPr>
          <w:fldChar w:fldCharType="begin"/>
        </w:r>
        <w:r w:rsidR="003709B2">
          <w:rPr>
            <w:webHidden/>
          </w:rPr>
          <w:instrText xml:space="preserve"> PAGEREF _Toc534624855 \h </w:instrText>
        </w:r>
        <w:r w:rsidR="003709B2">
          <w:rPr>
            <w:webHidden/>
          </w:rPr>
        </w:r>
        <w:r w:rsidR="003709B2">
          <w:rPr>
            <w:webHidden/>
          </w:rPr>
          <w:fldChar w:fldCharType="separate"/>
        </w:r>
        <w:r w:rsidR="003709B2">
          <w:rPr>
            <w:webHidden/>
          </w:rPr>
          <w:t>14</w:t>
        </w:r>
        <w:r w:rsidR="003709B2">
          <w:rPr>
            <w:webHidden/>
          </w:rPr>
          <w:fldChar w:fldCharType="end"/>
        </w:r>
      </w:hyperlink>
    </w:p>
    <w:p w14:paraId="1423D533" w14:textId="75F43B40" w:rsidR="003709B2" w:rsidRDefault="00826AB9">
      <w:pPr>
        <w:pStyle w:val="TOC1"/>
        <w:rPr>
          <w:rFonts w:eastAsiaTheme="minorEastAsia" w:cstheme="minorBidi"/>
          <w:b w:val="0"/>
          <w:sz w:val="22"/>
          <w:szCs w:val="22"/>
          <w:lang w:eastAsia="en-GB"/>
        </w:rPr>
      </w:pPr>
      <w:hyperlink w:anchor="_Toc534624856" w:history="1">
        <w:r w:rsidR="003709B2" w:rsidRPr="00B2132F">
          <w:rPr>
            <w:rStyle w:val="Hyperlink"/>
          </w:rPr>
          <w:t>8.</w:t>
        </w:r>
        <w:r w:rsidR="003709B2">
          <w:rPr>
            <w:rFonts w:eastAsiaTheme="minorEastAsia" w:cstheme="minorBidi"/>
            <w:b w:val="0"/>
            <w:sz w:val="22"/>
            <w:szCs w:val="22"/>
            <w:lang w:eastAsia="en-GB"/>
          </w:rPr>
          <w:tab/>
        </w:r>
        <w:r w:rsidR="003709B2" w:rsidRPr="00B2132F">
          <w:rPr>
            <w:rStyle w:val="Hyperlink"/>
          </w:rPr>
          <w:t>Development of Risk Standards 2005-2011</w:t>
        </w:r>
        <w:r w:rsidR="003709B2">
          <w:rPr>
            <w:webHidden/>
          </w:rPr>
          <w:tab/>
        </w:r>
        <w:r w:rsidR="003709B2">
          <w:rPr>
            <w:webHidden/>
          </w:rPr>
          <w:fldChar w:fldCharType="begin"/>
        </w:r>
        <w:r w:rsidR="003709B2">
          <w:rPr>
            <w:webHidden/>
          </w:rPr>
          <w:instrText xml:space="preserve"> PAGEREF _Toc534624856 \h </w:instrText>
        </w:r>
        <w:r w:rsidR="003709B2">
          <w:rPr>
            <w:webHidden/>
          </w:rPr>
        </w:r>
        <w:r w:rsidR="003709B2">
          <w:rPr>
            <w:webHidden/>
          </w:rPr>
          <w:fldChar w:fldCharType="separate"/>
        </w:r>
        <w:r w:rsidR="003709B2">
          <w:rPr>
            <w:webHidden/>
          </w:rPr>
          <w:t>15</w:t>
        </w:r>
        <w:r w:rsidR="003709B2">
          <w:rPr>
            <w:webHidden/>
          </w:rPr>
          <w:fldChar w:fldCharType="end"/>
        </w:r>
      </w:hyperlink>
    </w:p>
    <w:p w14:paraId="3DB6CD9C" w14:textId="37A34992" w:rsidR="003709B2" w:rsidRDefault="00826AB9">
      <w:pPr>
        <w:pStyle w:val="TOC2"/>
        <w:rPr>
          <w:rFonts w:eastAsiaTheme="minorEastAsia" w:cstheme="minorBidi"/>
          <w:sz w:val="22"/>
          <w:szCs w:val="22"/>
          <w:lang w:eastAsia="en-GB"/>
        </w:rPr>
      </w:pPr>
      <w:hyperlink w:anchor="_Toc534624857" w:history="1">
        <w:r w:rsidR="003709B2" w:rsidRPr="00B2132F">
          <w:rPr>
            <w:rStyle w:val="Hyperlink"/>
          </w:rPr>
          <w:t>8.1</w:t>
        </w:r>
        <w:r w:rsidR="003709B2">
          <w:rPr>
            <w:rFonts w:eastAsiaTheme="minorEastAsia" w:cstheme="minorBidi"/>
            <w:sz w:val="22"/>
            <w:szCs w:val="22"/>
            <w:lang w:eastAsia="en-GB"/>
          </w:rPr>
          <w:tab/>
        </w:r>
        <w:r w:rsidR="003709B2" w:rsidRPr="00B2132F">
          <w:rPr>
            <w:rStyle w:val="Hyperlink"/>
          </w:rPr>
          <w:t>Decision to Proceed with Code Supplements</w:t>
        </w:r>
        <w:r w:rsidR="003709B2">
          <w:rPr>
            <w:webHidden/>
          </w:rPr>
          <w:tab/>
        </w:r>
        <w:r w:rsidR="003709B2">
          <w:rPr>
            <w:webHidden/>
          </w:rPr>
          <w:fldChar w:fldCharType="begin"/>
        </w:r>
        <w:r w:rsidR="003709B2">
          <w:rPr>
            <w:webHidden/>
          </w:rPr>
          <w:instrText xml:space="preserve"> PAGEREF _Toc534624857 \h </w:instrText>
        </w:r>
        <w:r w:rsidR="003709B2">
          <w:rPr>
            <w:webHidden/>
          </w:rPr>
        </w:r>
        <w:r w:rsidR="003709B2">
          <w:rPr>
            <w:webHidden/>
          </w:rPr>
          <w:fldChar w:fldCharType="separate"/>
        </w:r>
        <w:r w:rsidR="003709B2">
          <w:rPr>
            <w:webHidden/>
          </w:rPr>
          <w:t>15</w:t>
        </w:r>
        <w:r w:rsidR="003709B2">
          <w:rPr>
            <w:webHidden/>
          </w:rPr>
          <w:fldChar w:fldCharType="end"/>
        </w:r>
      </w:hyperlink>
    </w:p>
    <w:p w14:paraId="28FAA979" w14:textId="5B9E8B5D" w:rsidR="003709B2" w:rsidRDefault="00826AB9">
      <w:pPr>
        <w:pStyle w:val="TOC2"/>
        <w:rPr>
          <w:rFonts w:eastAsiaTheme="minorEastAsia" w:cstheme="minorBidi"/>
          <w:sz w:val="22"/>
          <w:szCs w:val="22"/>
          <w:lang w:eastAsia="en-GB"/>
        </w:rPr>
      </w:pPr>
      <w:hyperlink w:anchor="_Toc534624858" w:history="1">
        <w:r w:rsidR="003709B2" w:rsidRPr="00B2132F">
          <w:rPr>
            <w:rStyle w:val="Hyperlink"/>
          </w:rPr>
          <w:t>8.2</w:t>
        </w:r>
        <w:r w:rsidR="003709B2">
          <w:rPr>
            <w:rFonts w:eastAsiaTheme="minorEastAsia" w:cstheme="minorBidi"/>
            <w:sz w:val="22"/>
            <w:szCs w:val="22"/>
            <w:lang w:eastAsia="en-GB"/>
          </w:rPr>
          <w:tab/>
        </w:r>
        <w:r w:rsidR="003709B2" w:rsidRPr="00B2132F">
          <w:rPr>
            <w:rStyle w:val="Hyperlink"/>
          </w:rPr>
          <w:t>Progress on Producing the Code Supplements</w:t>
        </w:r>
        <w:r w:rsidR="003709B2">
          <w:rPr>
            <w:webHidden/>
          </w:rPr>
          <w:tab/>
        </w:r>
        <w:r w:rsidR="003709B2">
          <w:rPr>
            <w:webHidden/>
          </w:rPr>
          <w:fldChar w:fldCharType="begin"/>
        </w:r>
        <w:r w:rsidR="003709B2">
          <w:rPr>
            <w:webHidden/>
          </w:rPr>
          <w:instrText xml:space="preserve"> PAGEREF _Toc534624858 \h </w:instrText>
        </w:r>
        <w:r w:rsidR="003709B2">
          <w:rPr>
            <w:webHidden/>
          </w:rPr>
        </w:r>
        <w:r w:rsidR="003709B2">
          <w:rPr>
            <w:webHidden/>
          </w:rPr>
          <w:fldChar w:fldCharType="separate"/>
        </w:r>
        <w:r w:rsidR="003709B2">
          <w:rPr>
            <w:webHidden/>
          </w:rPr>
          <w:t>15</w:t>
        </w:r>
        <w:r w:rsidR="003709B2">
          <w:rPr>
            <w:webHidden/>
          </w:rPr>
          <w:fldChar w:fldCharType="end"/>
        </w:r>
      </w:hyperlink>
    </w:p>
    <w:p w14:paraId="33444B98" w14:textId="0CC74303" w:rsidR="003709B2" w:rsidRDefault="00826AB9">
      <w:pPr>
        <w:pStyle w:val="TOC2"/>
        <w:rPr>
          <w:rFonts w:eastAsiaTheme="minorEastAsia" w:cstheme="minorBidi"/>
          <w:sz w:val="22"/>
          <w:szCs w:val="22"/>
          <w:lang w:eastAsia="en-GB"/>
        </w:rPr>
      </w:pPr>
      <w:hyperlink w:anchor="_Toc534624859" w:history="1">
        <w:r w:rsidR="003709B2" w:rsidRPr="00B2132F">
          <w:rPr>
            <w:rStyle w:val="Hyperlink"/>
          </w:rPr>
          <w:t>8.3</w:t>
        </w:r>
        <w:r w:rsidR="003709B2">
          <w:rPr>
            <w:rFonts w:eastAsiaTheme="minorEastAsia" w:cstheme="minorBidi"/>
            <w:sz w:val="22"/>
            <w:szCs w:val="22"/>
            <w:lang w:eastAsia="en-GB"/>
          </w:rPr>
          <w:tab/>
        </w:r>
        <w:r w:rsidR="003709B2" w:rsidRPr="00B2132F">
          <w:rPr>
            <w:rStyle w:val="Hyperlink"/>
          </w:rPr>
          <w:t>Timescale and Milestones</w:t>
        </w:r>
        <w:r w:rsidR="003709B2">
          <w:rPr>
            <w:webHidden/>
          </w:rPr>
          <w:tab/>
        </w:r>
        <w:r w:rsidR="003709B2">
          <w:rPr>
            <w:webHidden/>
          </w:rPr>
          <w:fldChar w:fldCharType="begin"/>
        </w:r>
        <w:r w:rsidR="003709B2">
          <w:rPr>
            <w:webHidden/>
          </w:rPr>
          <w:instrText xml:space="preserve"> PAGEREF _Toc534624859 \h </w:instrText>
        </w:r>
        <w:r w:rsidR="003709B2">
          <w:rPr>
            <w:webHidden/>
          </w:rPr>
        </w:r>
        <w:r w:rsidR="003709B2">
          <w:rPr>
            <w:webHidden/>
          </w:rPr>
          <w:fldChar w:fldCharType="separate"/>
        </w:r>
        <w:r w:rsidR="003709B2">
          <w:rPr>
            <w:webHidden/>
          </w:rPr>
          <w:t>16</w:t>
        </w:r>
        <w:r w:rsidR="003709B2">
          <w:rPr>
            <w:webHidden/>
          </w:rPr>
          <w:fldChar w:fldCharType="end"/>
        </w:r>
      </w:hyperlink>
    </w:p>
    <w:p w14:paraId="5E14C861" w14:textId="419DEC41" w:rsidR="003709B2" w:rsidRDefault="00826AB9">
      <w:pPr>
        <w:pStyle w:val="TOC2"/>
        <w:rPr>
          <w:rFonts w:eastAsiaTheme="minorEastAsia" w:cstheme="minorBidi"/>
          <w:sz w:val="22"/>
          <w:szCs w:val="22"/>
          <w:lang w:eastAsia="en-GB"/>
        </w:rPr>
      </w:pPr>
      <w:hyperlink w:anchor="_Toc534624860" w:history="1">
        <w:r w:rsidR="003709B2" w:rsidRPr="00B2132F">
          <w:rPr>
            <w:rStyle w:val="Hyperlink"/>
          </w:rPr>
          <w:t>8.4</w:t>
        </w:r>
        <w:r w:rsidR="003709B2">
          <w:rPr>
            <w:rFonts w:eastAsiaTheme="minorEastAsia" w:cstheme="minorBidi"/>
            <w:sz w:val="22"/>
            <w:szCs w:val="22"/>
            <w:lang w:eastAsia="en-GB"/>
          </w:rPr>
          <w:tab/>
        </w:r>
        <w:r w:rsidR="003709B2" w:rsidRPr="00B2132F">
          <w:rPr>
            <w:rStyle w:val="Hyperlink"/>
          </w:rPr>
          <w:t>2012 Update</w:t>
        </w:r>
        <w:r w:rsidR="003709B2">
          <w:rPr>
            <w:webHidden/>
          </w:rPr>
          <w:tab/>
        </w:r>
        <w:r w:rsidR="003709B2">
          <w:rPr>
            <w:webHidden/>
          </w:rPr>
          <w:fldChar w:fldCharType="begin"/>
        </w:r>
        <w:r w:rsidR="003709B2">
          <w:rPr>
            <w:webHidden/>
          </w:rPr>
          <w:instrText xml:space="preserve"> PAGEREF _Toc534624860 \h </w:instrText>
        </w:r>
        <w:r w:rsidR="003709B2">
          <w:rPr>
            <w:webHidden/>
          </w:rPr>
        </w:r>
        <w:r w:rsidR="003709B2">
          <w:rPr>
            <w:webHidden/>
          </w:rPr>
          <w:fldChar w:fldCharType="separate"/>
        </w:r>
        <w:r w:rsidR="003709B2">
          <w:rPr>
            <w:webHidden/>
          </w:rPr>
          <w:t>16</w:t>
        </w:r>
        <w:r w:rsidR="003709B2">
          <w:rPr>
            <w:webHidden/>
          </w:rPr>
          <w:fldChar w:fldCharType="end"/>
        </w:r>
      </w:hyperlink>
    </w:p>
    <w:p w14:paraId="5E5819FD" w14:textId="5A16F809" w:rsidR="003709B2" w:rsidRDefault="00826AB9">
      <w:pPr>
        <w:pStyle w:val="TOC1"/>
        <w:rPr>
          <w:rFonts w:eastAsiaTheme="minorEastAsia" w:cstheme="minorBidi"/>
          <w:b w:val="0"/>
          <w:sz w:val="22"/>
          <w:szCs w:val="22"/>
          <w:lang w:eastAsia="en-GB"/>
        </w:rPr>
      </w:pPr>
      <w:hyperlink w:anchor="_Toc534624861" w:history="1">
        <w:r w:rsidR="003709B2" w:rsidRPr="00B2132F">
          <w:rPr>
            <w:rStyle w:val="Hyperlink"/>
          </w:rPr>
          <w:t>9.</w:t>
        </w:r>
        <w:r w:rsidR="003709B2">
          <w:rPr>
            <w:rFonts w:eastAsiaTheme="minorEastAsia" w:cstheme="minorBidi"/>
            <w:b w:val="0"/>
            <w:sz w:val="22"/>
            <w:szCs w:val="22"/>
            <w:lang w:eastAsia="en-GB"/>
          </w:rPr>
          <w:tab/>
        </w:r>
        <w:r w:rsidR="003709B2" w:rsidRPr="00B2132F">
          <w:rPr>
            <w:rStyle w:val="Hyperlink"/>
          </w:rPr>
          <w:t>Progressing Ten Issues Raised with HSE 2007-2015</w:t>
        </w:r>
        <w:r w:rsidR="003709B2">
          <w:rPr>
            <w:webHidden/>
          </w:rPr>
          <w:tab/>
        </w:r>
        <w:r w:rsidR="003709B2">
          <w:rPr>
            <w:webHidden/>
          </w:rPr>
          <w:fldChar w:fldCharType="begin"/>
        </w:r>
        <w:r w:rsidR="003709B2">
          <w:rPr>
            <w:webHidden/>
          </w:rPr>
          <w:instrText xml:space="preserve"> PAGEREF _Toc534624861 \h </w:instrText>
        </w:r>
        <w:r w:rsidR="003709B2">
          <w:rPr>
            <w:webHidden/>
          </w:rPr>
        </w:r>
        <w:r w:rsidR="003709B2">
          <w:rPr>
            <w:webHidden/>
          </w:rPr>
          <w:fldChar w:fldCharType="separate"/>
        </w:r>
        <w:r w:rsidR="003709B2">
          <w:rPr>
            <w:webHidden/>
          </w:rPr>
          <w:t>17</w:t>
        </w:r>
        <w:r w:rsidR="003709B2">
          <w:rPr>
            <w:webHidden/>
          </w:rPr>
          <w:fldChar w:fldCharType="end"/>
        </w:r>
      </w:hyperlink>
    </w:p>
    <w:p w14:paraId="74E9D633" w14:textId="01268F8F" w:rsidR="003709B2" w:rsidRDefault="00826AB9">
      <w:pPr>
        <w:pStyle w:val="TOC2"/>
        <w:rPr>
          <w:rFonts w:eastAsiaTheme="minorEastAsia" w:cstheme="minorBidi"/>
          <w:sz w:val="22"/>
          <w:szCs w:val="22"/>
          <w:lang w:eastAsia="en-GB"/>
        </w:rPr>
      </w:pPr>
      <w:hyperlink w:anchor="_Toc534624862" w:history="1">
        <w:r w:rsidR="003709B2" w:rsidRPr="00B2132F">
          <w:rPr>
            <w:rStyle w:val="Hyperlink"/>
          </w:rPr>
          <w:t>9.1</w:t>
        </w:r>
        <w:r w:rsidR="003709B2">
          <w:rPr>
            <w:rFonts w:eastAsiaTheme="minorEastAsia" w:cstheme="minorBidi"/>
            <w:sz w:val="22"/>
            <w:szCs w:val="22"/>
            <w:lang w:eastAsia="en-GB"/>
          </w:rPr>
          <w:tab/>
        </w:r>
        <w:r w:rsidR="003709B2" w:rsidRPr="00B2132F">
          <w:rPr>
            <w:rStyle w:val="Hyperlink"/>
          </w:rPr>
          <w:t>Pipeline Protection Measures</w:t>
        </w:r>
        <w:r w:rsidR="003709B2">
          <w:rPr>
            <w:webHidden/>
          </w:rPr>
          <w:tab/>
        </w:r>
        <w:r w:rsidR="003709B2">
          <w:rPr>
            <w:webHidden/>
          </w:rPr>
          <w:fldChar w:fldCharType="begin"/>
        </w:r>
        <w:r w:rsidR="003709B2">
          <w:rPr>
            <w:webHidden/>
          </w:rPr>
          <w:instrText xml:space="preserve"> PAGEREF _Toc534624862 \h </w:instrText>
        </w:r>
        <w:r w:rsidR="003709B2">
          <w:rPr>
            <w:webHidden/>
          </w:rPr>
        </w:r>
        <w:r w:rsidR="003709B2">
          <w:rPr>
            <w:webHidden/>
          </w:rPr>
          <w:fldChar w:fldCharType="separate"/>
        </w:r>
        <w:r w:rsidR="003709B2">
          <w:rPr>
            <w:webHidden/>
          </w:rPr>
          <w:t>17</w:t>
        </w:r>
        <w:r w:rsidR="003709B2">
          <w:rPr>
            <w:webHidden/>
          </w:rPr>
          <w:fldChar w:fldCharType="end"/>
        </w:r>
      </w:hyperlink>
    </w:p>
    <w:p w14:paraId="49CB53D2" w14:textId="42A2028E" w:rsidR="003709B2" w:rsidRDefault="00826AB9">
      <w:pPr>
        <w:pStyle w:val="TOC2"/>
        <w:rPr>
          <w:rFonts w:eastAsiaTheme="minorEastAsia" w:cstheme="minorBidi"/>
          <w:sz w:val="22"/>
          <w:szCs w:val="22"/>
          <w:lang w:eastAsia="en-GB"/>
        </w:rPr>
      </w:pPr>
      <w:hyperlink w:anchor="_Toc534624863" w:history="1">
        <w:r w:rsidR="003709B2" w:rsidRPr="00B2132F">
          <w:rPr>
            <w:rStyle w:val="Hyperlink"/>
          </w:rPr>
          <w:t>9.2</w:t>
        </w:r>
        <w:r w:rsidR="003709B2">
          <w:rPr>
            <w:rFonts w:eastAsiaTheme="minorEastAsia" w:cstheme="minorBidi"/>
            <w:sz w:val="22"/>
            <w:szCs w:val="22"/>
            <w:lang w:eastAsia="en-GB"/>
          </w:rPr>
          <w:tab/>
        </w:r>
        <w:r w:rsidR="003709B2" w:rsidRPr="00B2132F">
          <w:rPr>
            <w:rStyle w:val="Hyperlink"/>
          </w:rPr>
          <w:t>Ground Movement Failure Rate</w:t>
        </w:r>
        <w:r w:rsidR="003709B2">
          <w:rPr>
            <w:webHidden/>
          </w:rPr>
          <w:tab/>
        </w:r>
        <w:r w:rsidR="003709B2">
          <w:rPr>
            <w:webHidden/>
          </w:rPr>
          <w:fldChar w:fldCharType="begin"/>
        </w:r>
        <w:r w:rsidR="003709B2">
          <w:rPr>
            <w:webHidden/>
          </w:rPr>
          <w:instrText xml:space="preserve"> PAGEREF _Toc534624863 \h </w:instrText>
        </w:r>
        <w:r w:rsidR="003709B2">
          <w:rPr>
            <w:webHidden/>
          </w:rPr>
        </w:r>
        <w:r w:rsidR="003709B2">
          <w:rPr>
            <w:webHidden/>
          </w:rPr>
          <w:fldChar w:fldCharType="separate"/>
        </w:r>
        <w:r w:rsidR="003709B2">
          <w:rPr>
            <w:webHidden/>
          </w:rPr>
          <w:t>17</w:t>
        </w:r>
        <w:r w:rsidR="003709B2">
          <w:rPr>
            <w:webHidden/>
          </w:rPr>
          <w:fldChar w:fldCharType="end"/>
        </w:r>
      </w:hyperlink>
    </w:p>
    <w:p w14:paraId="185B6B58" w14:textId="7DA1AEA7" w:rsidR="003709B2" w:rsidRDefault="00826AB9">
      <w:pPr>
        <w:pStyle w:val="TOC2"/>
        <w:rPr>
          <w:rFonts w:eastAsiaTheme="minorEastAsia" w:cstheme="minorBidi"/>
          <w:sz w:val="22"/>
          <w:szCs w:val="22"/>
          <w:lang w:eastAsia="en-GB"/>
        </w:rPr>
      </w:pPr>
      <w:hyperlink w:anchor="_Toc534624864" w:history="1">
        <w:r w:rsidR="003709B2" w:rsidRPr="00B2132F">
          <w:rPr>
            <w:rStyle w:val="Hyperlink"/>
          </w:rPr>
          <w:t>9.3</w:t>
        </w:r>
        <w:r w:rsidR="003709B2">
          <w:rPr>
            <w:rFonts w:eastAsiaTheme="minorEastAsia" w:cstheme="minorBidi"/>
            <w:sz w:val="22"/>
            <w:szCs w:val="22"/>
            <w:lang w:eastAsia="en-GB"/>
          </w:rPr>
          <w:tab/>
        </w:r>
        <w:r w:rsidR="003709B2" w:rsidRPr="00B2132F">
          <w:rPr>
            <w:rStyle w:val="Hyperlink"/>
          </w:rPr>
          <w:t>Use of UKOPA-based Failure Rate Data for Ethylene Pipelines</w:t>
        </w:r>
        <w:r w:rsidR="003709B2">
          <w:rPr>
            <w:webHidden/>
          </w:rPr>
          <w:tab/>
        </w:r>
        <w:r w:rsidR="003709B2">
          <w:rPr>
            <w:webHidden/>
          </w:rPr>
          <w:fldChar w:fldCharType="begin"/>
        </w:r>
        <w:r w:rsidR="003709B2">
          <w:rPr>
            <w:webHidden/>
          </w:rPr>
          <w:instrText xml:space="preserve"> PAGEREF _Toc534624864 \h </w:instrText>
        </w:r>
        <w:r w:rsidR="003709B2">
          <w:rPr>
            <w:webHidden/>
          </w:rPr>
        </w:r>
        <w:r w:rsidR="003709B2">
          <w:rPr>
            <w:webHidden/>
          </w:rPr>
          <w:fldChar w:fldCharType="separate"/>
        </w:r>
        <w:r w:rsidR="003709B2">
          <w:rPr>
            <w:webHidden/>
          </w:rPr>
          <w:t>17</w:t>
        </w:r>
        <w:r w:rsidR="003709B2">
          <w:rPr>
            <w:webHidden/>
          </w:rPr>
          <w:fldChar w:fldCharType="end"/>
        </w:r>
      </w:hyperlink>
    </w:p>
    <w:p w14:paraId="0631D076" w14:textId="07A5E212" w:rsidR="003709B2" w:rsidRDefault="00826AB9">
      <w:pPr>
        <w:pStyle w:val="TOC2"/>
        <w:rPr>
          <w:rFonts w:eastAsiaTheme="minorEastAsia" w:cstheme="minorBidi"/>
          <w:sz w:val="22"/>
          <w:szCs w:val="22"/>
          <w:lang w:eastAsia="en-GB"/>
        </w:rPr>
      </w:pPr>
      <w:hyperlink w:anchor="_Toc534624865" w:history="1">
        <w:r w:rsidR="003709B2" w:rsidRPr="00B2132F">
          <w:rPr>
            <w:rStyle w:val="Hyperlink"/>
          </w:rPr>
          <w:t>9.4</w:t>
        </w:r>
        <w:r w:rsidR="003709B2">
          <w:rPr>
            <w:rFonts w:eastAsiaTheme="minorEastAsia" w:cstheme="minorBidi"/>
            <w:sz w:val="22"/>
            <w:szCs w:val="22"/>
            <w:lang w:eastAsia="en-GB"/>
          </w:rPr>
          <w:tab/>
        </w:r>
        <w:r w:rsidR="003709B2" w:rsidRPr="00B2132F">
          <w:rPr>
            <w:rStyle w:val="Hyperlink"/>
          </w:rPr>
          <w:t>Reduction in Corrosion Failure Rates for Non-Natural Gas Thicker Wall Pipelines</w:t>
        </w:r>
        <w:r w:rsidR="003709B2">
          <w:rPr>
            <w:webHidden/>
          </w:rPr>
          <w:tab/>
        </w:r>
        <w:r w:rsidR="003709B2">
          <w:rPr>
            <w:webHidden/>
          </w:rPr>
          <w:fldChar w:fldCharType="begin"/>
        </w:r>
        <w:r w:rsidR="003709B2">
          <w:rPr>
            <w:webHidden/>
          </w:rPr>
          <w:instrText xml:space="preserve"> PAGEREF _Toc534624865 \h </w:instrText>
        </w:r>
        <w:r w:rsidR="003709B2">
          <w:rPr>
            <w:webHidden/>
          </w:rPr>
        </w:r>
        <w:r w:rsidR="003709B2">
          <w:rPr>
            <w:webHidden/>
          </w:rPr>
          <w:fldChar w:fldCharType="separate"/>
        </w:r>
        <w:r w:rsidR="003709B2">
          <w:rPr>
            <w:webHidden/>
          </w:rPr>
          <w:t>18</w:t>
        </w:r>
        <w:r w:rsidR="003709B2">
          <w:rPr>
            <w:webHidden/>
          </w:rPr>
          <w:fldChar w:fldCharType="end"/>
        </w:r>
      </w:hyperlink>
    </w:p>
    <w:p w14:paraId="4016E8E7" w14:textId="334644CD" w:rsidR="003709B2" w:rsidRDefault="00826AB9">
      <w:pPr>
        <w:pStyle w:val="TOC2"/>
        <w:rPr>
          <w:rFonts w:eastAsiaTheme="minorEastAsia" w:cstheme="minorBidi"/>
          <w:sz w:val="22"/>
          <w:szCs w:val="22"/>
          <w:lang w:eastAsia="en-GB"/>
        </w:rPr>
      </w:pPr>
      <w:hyperlink w:anchor="_Toc534624866" w:history="1">
        <w:r w:rsidR="003709B2" w:rsidRPr="00B2132F">
          <w:rPr>
            <w:rStyle w:val="Hyperlink"/>
          </w:rPr>
          <w:t>9.5</w:t>
        </w:r>
        <w:r w:rsidR="003709B2">
          <w:rPr>
            <w:rFonts w:eastAsiaTheme="minorEastAsia" w:cstheme="minorBidi"/>
            <w:sz w:val="22"/>
            <w:szCs w:val="22"/>
            <w:lang w:eastAsia="en-GB"/>
          </w:rPr>
          <w:tab/>
        </w:r>
        <w:r w:rsidR="003709B2" w:rsidRPr="00B2132F">
          <w:rPr>
            <w:rStyle w:val="Hyperlink"/>
          </w:rPr>
          <w:t>HSE 3</w:t>
        </w:r>
        <w:r w:rsidR="003709B2" w:rsidRPr="00B2132F">
          <w:rPr>
            <w:rStyle w:val="Hyperlink"/>
            <w:vertAlign w:val="superscript"/>
          </w:rPr>
          <w:t>rd</w:t>
        </w:r>
        <w:r w:rsidR="003709B2" w:rsidRPr="00B2132F">
          <w:rPr>
            <w:rStyle w:val="Hyperlink"/>
          </w:rPr>
          <w:t xml:space="preserve"> Party Predictive Modelling for Smaller Diameter Pipelines</w:t>
        </w:r>
        <w:r w:rsidR="003709B2">
          <w:rPr>
            <w:webHidden/>
          </w:rPr>
          <w:tab/>
        </w:r>
        <w:r w:rsidR="003709B2">
          <w:rPr>
            <w:webHidden/>
          </w:rPr>
          <w:fldChar w:fldCharType="begin"/>
        </w:r>
        <w:r w:rsidR="003709B2">
          <w:rPr>
            <w:webHidden/>
          </w:rPr>
          <w:instrText xml:space="preserve"> PAGEREF _Toc534624866 \h </w:instrText>
        </w:r>
        <w:r w:rsidR="003709B2">
          <w:rPr>
            <w:webHidden/>
          </w:rPr>
        </w:r>
        <w:r w:rsidR="003709B2">
          <w:rPr>
            <w:webHidden/>
          </w:rPr>
          <w:fldChar w:fldCharType="separate"/>
        </w:r>
        <w:r w:rsidR="003709B2">
          <w:rPr>
            <w:webHidden/>
          </w:rPr>
          <w:t>18</w:t>
        </w:r>
        <w:r w:rsidR="003709B2">
          <w:rPr>
            <w:webHidden/>
          </w:rPr>
          <w:fldChar w:fldCharType="end"/>
        </w:r>
      </w:hyperlink>
    </w:p>
    <w:p w14:paraId="49F1BBEF" w14:textId="590662A8" w:rsidR="003709B2" w:rsidRDefault="00826AB9">
      <w:pPr>
        <w:pStyle w:val="TOC2"/>
        <w:rPr>
          <w:rFonts w:eastAsiaTheme="minorEastAsia" w:cstheme="minorBidi"/>
          <w:sz w:val="22"/>
          <w:szCs w:val="22"/>
          <w:lang w:eastAsia="en-GB"/>
        </w:rPr>
      </w:pPr>
      <w:hyperlink w:anchor="_Toc534624867" w:history="1">
        <w:r w:rsidR="003709B2" w:rsidRPr="00B2132F">
          <w:rPr>
            <w:rStyle w:val="Hyperlink"/>
          </w:rPr>
          <w:t>9.6</w:t>
        </w:r>
        <w:r w:rsidR="003709B2">
          <w:rPr>
            <w:rFonts w:eastAsiaTheme="minorEastAsia" w:cstheme="minorBidi"/>
            <w:sz w:val="22"/>
            <w:szCs w:val="22"/>
            <w:lang w:eastAsia="en-GB"/>
          </w:rPr>
          <w:tab/>
        </w:r>
        <w:r w:rsidR="003709B2" w:rsidRPr="00B2132F">
          <w:rPr>
            <w:rStyle w:val="Hyperlink"/>
          </w:rPr>
          <w:t>Effect of Depth of Cover on 3</w:t>
        </w:r>
        <w:r w:rsidR="003709B2" w:rsidRPr="00B2132F">
          <w:rPr>
            <w:rStyle w:val="Hyperlink"/>
            <w:vertAlign w:val="superscript"/>
          </w:rPr>
          <w:t>rd</w:t>
        </w:r>
        <w:r w:rsidR="003709B2" w:rsidRPr="00B2132F">
          <w:rPr>
            <w:rStyle w:val="Hyperlink"/>
          </w:rPr>
          <w:t xml:space="preserve"> Party Failure Rates</w:t>
        </w:r>
        <w:r w:rsidR="003709B2">
          <w:rPr>
            <w:webHidden/>
          </w:rPr>
          <w:tab/>
        </w:r>
        <w:r w:rsidR="003709B2">
          <w:rPr>
            <w:webHidden/>
          </w:rPr>
          <w:fldChar w:fldCharType="begin"/>
        </w:r>
        <w:r w:rsidR="003709B2">
          <w:rPr>
            <w:webHidden/>
          </w:rPr>
          <w:instrText xml:space="preserve"> PAGEREF _Toc534624867 \h </w:instrText>
        </w:r>
        <w:r w:rsidR="003709B2">
          <w:rPr>
            <w:webHidden/>
          </w:rPr>
        </w:r>
        <w:r w:rsidR="003709B2">
          <w:rPr>
            <w:webHidden/>
          </w:rPr>
          <w:fldChar w:fldCharType="separate"/>
        </w:r>
        <w:r w:rsidR="003709B2">
          <w:rPr>
            <w:webHidden/>
          </w:rPr>
          <w:t>18</w:t>
        </w:r>
        <w:r w:rsidR="003709B2">
          <w:rPr>
            <w:webHidden/>
          </w:rPr>
          <w:fldChar w:fldCharType="end"/>
        </w:r>
      </w:hyperlink>
    </w:p>
    <w:p w14:paraId="59C3ADBE" w14:textId="0CB9FD87" w:rsidR="003709B2" w:rsidRDefault="00826AB9">
      <w:pPr>
        <w:pStyle w:val="TOC2"/>
        <w:rPr>
          <w:rFonts w:eastAsiaTheme="minorEastAsia" w:cstheme="minorBidi"/>
          <w:sz w:val="22"/>
          <w:szCs w:val="22"/>
          <w:lang w:eastAsia="en-GB"/>
        </w:rPr>
      </w:pPr>
      <w:hyperlink w:anchor="_Toc534624868" w:history="1">
        <w:r w:rsidR="003709B2" w:rsidRPr="00B2132F">
          <w:rPr>
            <w:rStyle w:val="Hyperlink"/>
          </w:rPr>
          <w:t>9.7</w:t>
        </w:r>
        <w:r w:rsidR="003709B2">
          <w:rPr>
            <w:rFonts w:eastAsiaTheme="minorEastAsia" w:cstheme="minorBidi"/>
            <w:sz w:val="22"/>
            <w:szCs w:val="22"/>
            <w:lang w:eastAsia="en-GB"/>
          </w:rPr>
          <w:tab/>
        </w:r>
        <w:r w:rsidR="003709B2" w:rsidRPr="00B2132F">
          <w:rPr>
            <w:rStyle w:val="Hyperlink"/>
          </w:rPr>
          <w:t>Event Trees for Non-Natural Gas Pipelines</w:t>
        </w:r>
        <w:r w:rsidR="003709B2">
          <w:rPr>
            <w:webHidden/>
          </w:rPr>
          <w:tab/>
        </w:r>
        <w:r w:rsidR="003709B2">
          <w:rPr>
            <w:webHidden/>
          </w:rPr>
          <w:fldChar w:fldCharType="begin"/>
        </w:r>
        <w:r w:rsidR="003709B2">
          <w:rPr>
            <w:webHidden/>
          </w:rPr>
          <w:instrText xml:space="preserve"> PAGEREF _Toc534624868 \h </w:instrText>
        </w:r>
        <w:r w:rsidR="003709B2">
          <w:rPr>
            <w:webHidden/>
          </w:rPr>
        </w:r>
        <w:r w:rsidR="003709B2">
          <w:rPr>
            <w:webHidden/>
          </w:rPr>
          <w:fldChar w:fldCharType="separate"/>
        </w:r>
        <w:r w:rsidR="003709B2">
          <w:rPr>
            <w:webHidden/>
          </w:rPr>
          <w:t>19</w:t>
        </w:r>
        <w:r w:rsidR="003709B2">
          <w:rPr>
            <w:webHidden/>
          </w:rPr>
          <w:fldChar w:fldCharType="end"/>
        </w:r>
      </w:hyperlink>
    </w:p>
    <w:p w14:paraId="42ED3DC5" w14:textId="203695B1" w:rsidR="003709B2" w:rsidRDefault="00826AB9">
      <w:pPr>
        <w:pStyle w:val="TOC2"/>
        <w:rPr>
          <w:rFonts w:eastAsiaTheme="minorEastAsia" w:cstheme="minorBidi"/>
          <w:sz w:val="22"/>
          <w:szCs w:val="22"/>
          <w:lang w:eastAsia="en-GB"/>
        </w:rPr>
      </w:pPr>
      <w:hyperlink w:anchor="_Toc534624869" w:history="1">
        <w:r w:rsidR="003709B2" w:rsidRPr="00B2132F">
          <w:rPr>
            <w:rStyle w:val="Hyperlink"/>
          </w:rPr>
          <w:t>9.8</w:t>
        </w:r>
        <w:r w:rsidR="003709B2">
          <w:rPr>
            <w:rFonts w:eastAsiaTheme="minorEastAsia" w:cstheme="minorBidi"/>
            <w:sz w:val="22"/>
            <w:szCs w:val="22"/>
            <w:lang w:eastAsia="en-GB"/>
          </w:rPr>
          <w:tab/>
        </w:r>
        <w:r w:rsidR="003709B2" w:rsidRPr="00B2132F">
          <w:rPr>
            <w:rStyle w:val="Hyperlink"/>
          </w:rPr>
          <w:t>Update to CONCAWE Data for HSE’s PIPIN Assessments</w:t>
        </w:r>
        <w:r w:rsidR="003709B2">
          <w:rPr>
            <w:webHidden/>
          </w:rPr>
          <w:tab/>
        </w:r>
        <w:r w:rsidR="003709B2">
          <w:rPr>
            <w:webHidden/>
          </w:rPr>
          <w:fldChar w:fldCharType="begin"/>
        </w:r>
        <w:r w:rsidR="003709B2">
          <w:rPr>
            <w:webHidden/>
          </w:rPr>
          <w:instrText xml:space="preserve"> PAGEREF _Toc534624869 \h </w:instrText>
        </w:r>
        <w:r w:rsidR="003709B2">
          <w:rPr>
            <w:webHidden/>
          </w:rPr>
        </w:r>
        <w:r w:rsidR="003709B2">
          <w:rPr>
            <w:webHidden/>
          </w:rPr>
          <w:fldChar w:fldCharType="separate"/>
        </w:r>
        <w:r w:rsidR="003709B2">
          <w:rPr>
            <w:webHidden/>
          </w:rPr>
          <w:t>19</w:t>
        </w:r>
        <w:r w:rsidR="003709B2">
          <w:rPr>
            <w:webHidden/>
          </w:rPr>
          <w:fldChar w:fldCharType="end"/>
        </w:r>
      </w:hyperlink>
    </w:p>
    <w:p w14:paraId="2267900D" w14:textId="7D3CA0F3" w:rsidR="003709B2" w:rsidRDefault="00826AB9">
      <w:pPr>
        <w:pStyle w:val="TOC2"/>
        <w:rPr>
          <w:rFonts w:eastAsiaTheme="minorEastAsia" w:cstheme="minorBidi"/>
          <w:sz w:val="22"/>
          <w:szCs w:val="22"/>
          <w:lang w:eastAsia="en-GB"/>
        </w:rPr>
      </w:pPr>
      <w:hyperlink w:anchor="_Toc534624870" w:history="1">
        <w:r w:rsidR="003709B2" w:rsidRPr="00B2132F">
          <w:rPr>
            <w:rStyle w:val="Hyperlink"/>
          </w:rPr>
          <w:t>9.9</w:t>
        </w:r>
        <w:r w:rsidR="003709B2">
          <w:rPr>
            <w:rFonts w:eastAsiaTheme="minorEastAsia" w:cstheme="minorBidi"/>
            <w:sz w:val="22"/>
            <w:szCs w:val="22"/>
            <w:lang w:eastAsia="en-GB"/>
          </w:rPr>
          <w:tab/>
        </w:r>
        <w:r w:rsidR="003709B2" w:rsidRPr="00B2132F">
          <w:rPr>
            <w:rStyle w:val="Hyperlink"/>
          </w:rPr>
          <w:t>Methodology to Assess Gasoline Land Use Planning Zones</w:t>
        </w:r>
        <w:r w:rsidR="003709B2">
          <w:rPr>
            <w:webHidden/>
          </w:rPr>
          <w:tab/>
        </w:r>
        <w:r w:rsidR="003709B2">
          <w:rPr>
            <w:webHidden/>
          </w:rPr>
          <w:fldChar w:fldCharType="begin"/>
        </w:r>
        <w:r w:rsidR="003709B2">
          <w:rPr>
            <w:webHidden/>
          </w:rPr>
          <w:instrText xml:space="preserve"> PAGEREF _Toc534624870 \h </w:instrText>
        </w:r>
        <w:r w:rsidR="003709B2">
          <w:rPr>
            <w:webHidden/>
          </w:rPr>
        </w:r>
        <w:r w:rsidR="003709B2">
          <w:rPr>
            <w:webHidden/>
          </w:rPr>
          <w:fldChar w:fldCharType="separate"/>
        </w:r>
        <w:r w:rsidR="003709B2">
          <w:rPr>
            <w:webHidden/>
          </w:rPr>
          <w:t>20</w:t>
        </w:r>
        <w:r w:rsidR="003709B2">
          <w:rPr>
            <w:webHidden/>
          </w:rPr>
          <w:fldChar w:fldCharType="end"/>
        </w:r>
      </w:hyperlink>
    </w:p>
    <w:p w14:paraId="7A0E0242" w14:textId="750C569E" w:rsidR="003709B2" w:rsidRDefault="00826AB9">
      <w:pPr>
        <w:pStyle w:val="TOC2"/>
        <w:rPr>
          <w:rFonts w:eastAsiaTheme="minorEastAsia" w:cstheme="minorBidi"/>
          <w:sz w:val="22"/>
          <w:szCs w:val="22"/>
          <w:lang w:eastAsia="en-GB"/>
        </w:rPr>
      </w:pPr>
      <w:hyperlink w:anchor="_Toc534624871" w:history="1">
        <w:r w:rsidR="003709B2" w:rsidRPr="00B2132F">
          <w:rPr>
            <w:rStyle w:val="Hyperlink"/>
          </w:rPr>
          <w:t>9.10</w:t>
        </w:r>
        <w:r w:rsidR="003709B2">
          <w:rPr>
            <w:rFonts w:eastAsiaTheme="minorEastAsia" w:cstheme="minorBidi"/>
            <w:sz w:val="22"/>
            <w:szCs w:val="22"/>
            <w:lang w:eastAsia="en-GB"/>
          </w:rPr>
          <w:tab/>
        </w:r>
        <w:r w:rsidR="003709B2" w:rsidRPr="00B2132F">
          <w:rPr>
            <w:rStyle w:val="Hyperlink"/>
          </w:rPr>
          <w:t>Natural Gas Fireball Consequence Distances</w:t>
        </w:r>
        <w:r w:rsidR="003709B2">
          <w:rPr>
            <w:webHidden/>
          </w:rPr>
          <w:tab/>
        </w:r>
        <w:r w:rsidR="003709B2">
          <w:rPr>
            <w:webHidden/>
          </w:rPr>
          <w:fldChar w:fldCharType="begin"/>
        </w:r>
        <w:r w:rsidR="003709B2">
          <w:rPr>
            <w:webHidden/>
          </w:rPr>
          <w:instrText xml:space="preserve"> PAGEREF _Toc534624871 \h </w:instrText>
        </w:r>
        <w:r w:rsidR="003709B2">
          <w:rPr>
            <w:webHidden/>
          </w:rPr>
        </w:r>
        <w:r w:rsidR="003709B2">
          <w:rPr>
            <w:webHidden/>
          </w:rPr>
          <w:fldChar w:fldCharType="separate"/>
        </w:r>
        <w:r w:rsidR="003709B2">
          <w:rPr>
            <w:webHidden/>
          </w:rPr>
          <w:t>20</w:t>
        </w:r>
        <w:r w:rsidR="003709B2">
          <w:rPr>
            <w:webHidden/>
          </w:rPr>
          <w:fldChar w:fldCharType="end"/>
        </w:r>
      </w:hyperlink>
    </w:p>
    <w:p w14:paraId="06799F62" w14:textId="1EDD15B9" w:rsidR="003709B2" w:rsidRDefault="00826AB9">
      <w:pPr>
        <w:pStyle w:val="TOC2"/>
        <w:rPr>
          <w:rFonts w:eastAsiaTheme="minorEastAsia" w:cstheme="minorBidi"/>
          <w:sz w:val="22"/>
          <w:szCs w:val="22"/>
          <w:lang w:eastAsia="en-GB"/>
        </w:rPr>
      </w:pPr>
      <w:hyperlink w:anchor="_Toc534624872" w:history="1">
        <w:r w:rsidR="003709B2" w:rsidRPr="00B2132F">
          <w:rPr>
            <w:rStyle w:val="Hyperlink"/>
          </w:rPr>
          <w:t>9.11</w:t>
        </w:r>
        <w:r w:rsidR="003709B2">
          <w:rPr>
            <w:rFonts w:eastAsiaTheme="minorEastAsia" w:cstheme="minorBidi"/>
            <w:sz w:val="22"/>
            <w:szCs w:val="22"/>
            <w:lang w:eastAsia="en-GB"/>
          </w:rPr>
          <w:tab/>
        </w:r>
        <w:r w:rsidR="003709B2" w:rsidRPr="00B2132F">
          <w:rPr>
            <w:rStyle w:val="Hyperlink"/>
          </w:rPr>
          <w:t>Conclusions from this Work Programme</w:t>
        </w:r>
        <w:r w:rsidR="003709B2">
          <w:rPr>
            <w:webHidden/>
          </w:rPr>
          <w:tab/>
        </w:r>
        <w:r w:rsidR="003709B2">
          <w:rPr>
            <w:webHidden/>
          </w:rPr>
          <w:fldChar w:fldCharType="begin"/>
        </w:r>
        <w:r w:rsidR="003709B2">
          <w:rPr>
            <w:webHidden/>
          </w:rPr>
          <w:instrText xml:space="preserve"> PAGEREF _Toc534624872 \h </w:instrText>
        </w:r>
        <w:r w:rsidR="003709B2">
          <w:rPr>
            <w:webHidden/>
          </w:rPr>
        </w:r>
        <w:r w:rsidR="003709B2">
          <w:rPr>
            <w:webHidden/>
          </w:rPr>
          <w:fldChar w:fldCharType="separate"/>
        </w:r>
        <w:r w:rsidR="003709B2">
          <w:rPr>
            <w:webHidden/>
          </w:rPr>
          <w:t>20</w:t>
        </w:r>
        <w:r w:rsidR="003709B2">
          <w:rPr>
            <w:webHidden/>
          </w:rPr>
          <w:fldChar w:fldCharType="end"/>
        </w:r>
      </w:hyperlink>
    </w:p>
    <w:p w14:paraId="02E41A64" w14:textId="573F79E1" w:rsidR="003709B2" w:rsidRDefault="00826AB9">
      <w:pPr>
        <w:pStyle w:val="TOC1"/>
        <w:rPr>
          <w:rFonts w:eastAsiaTheme="minorEastAsia" w:cstheme="minorBidi"/>
          <w:b w:val="0"/>
          <w:sz w:val="22"/>
          <w:szCs w:val="22"/>
          <w:lang w:eastAsia="en-GB"/>
        </w:rPr>
      </w:pPr>
      <w:hyperlink w:anchor="_Toc534624873" w:history="1">
        <w:r w:rsidR="003709B2" w:rsidRPr="00B2132F">
          <w:rPr>
            <w:rStyle w:val="Hyperlink"/>
          </w:rPr>
          <w:t>10.</w:t>
        </w:r>
        <w:r w:rsidR="003709B2">
          <w:rPr>
            <w:rFonts w:eastAsiaTheme="minorEastAsia" w:cstheme="minorBidi"/>
            <w:b w:val="0"/>
            <w:sz w:val="22"/>
            <w:szCs w:val="22"/>
            <w:lang w:eastAsia="en-GB"/>
          </w:rPr>
          <w:tab/>
        </w:r>
        <w:r w:rsidR="003709B2" w:rsidRPr="00B2132F">
          <w:rPr>
            <w:rStyle w:val="Hyperlink"/>
          </w:rPr>
          <w:t>HSE Revised Approach &amp; Changes to LUP Zones 2008-2015</w:t>
        </w:r>
        <w:r w:rsidR="003709B2">
          <w:rPr>
            <w:webHidden/>
          </w:rPr>
          <w:tab/>
        </w:r>
        <w:r w:rsidR="003709B2">
          <w:rPr>
            <w:webHidden/>
          </w:rPr>
          <w:fldChar w:fldCharType="begin"/>
        </w:r>
        <w:r w:rsidR="003709B2">
          <w:rPr>
            <w:webHidden/>
          </w:rPr>
          <w:instrText xml:space="preserve"> PAGEREF _Toc534624873 \h </w:instrText>
        </w:r>
        <w:r w:rsidR="003709B2">
          <w:rPr>
            <w:webHidden/>
          </w:rPr>
        </w:r>
        <w:r w:rsidR="003709B2">
          <w:rPr>
            <w:webHidden/>
          </w:rPr>
          <w:fldChar w:fldCharType="separate"/>
        </w:r>
        <w:r w:rsidR="003709B2">
          <w:rPr>
            <w:webHidden/>
          </w:rPr>
          <w:t>21</w:t>
        </w:r>
        <w:r w:rsidR="003709B2">
          <w:rPr>
            <w:webHidden/>
          </w:rPr>
          <w:fldChar w:fldCharType="end"/>
        </w:r>
      </w:hyperlink>
    </w:p>
    <w:p w14:paraId="03D5331E" w14:textId="2C2EEE5F" w:rsidR="003709B2" w:rsidRDefault="00826AB9">
      <w:pPr>
        <w:pStyle w:val="TOC2"/>
        <w:rPr>
          <w:rFonts w:eastAsiaTheme="minorEastAsia" w:cstheme="minorBidi"/>
          <w:sz w:val="22"/>
          <w:szCs w:val="22"/>
          <w:lang w:eastAsia="en-GB"/>
        </w:rPr>
      </w:pPr>
      <w:hyperlink w:anchor="_Toc534624874" w:history="1">
        <w:r w:rsidR="003709B2" w:rsidRPr="00B2132F">
          <w:rPr>
            <w:rStyle w:val="Hyperlink"/>
          </w:rPr>
          <w:t>10.1</w:t>
        </w:r>
        <w:r w:rsidR="003709B2">
          <w:rPr>
            <w:rFonts w:eastAsiaTheme="minorEastAsia" w:cstheme="minorBidi"/>
            <w:sz w:val="22"/>
            <w:szCs w:val="22"/>
            <w:lang w:eastAsia="en-GB"/>
          </w:rPr>
          <w:tab/>
        </w:r>
        <w:r w:rsidR="003709B2" w:rsidRPr="00B2132F">
          <w:rPr>
            <w:rStyle w:val="Hyperlink"/>
          </w:rPr>
          <w:t>Revision of Ethylene LUP Zones 2014-15</w:t>
        </w:r>
        <w:r w:rsidR="003709B2">
          <w:rPr>
            <w:webHidden/>
          </w:rPr>
          <w:tab/>
        </w:r>
        <w:r w:rsidR="003709B2">
          <w:rPr>
            <w:webHidden/>
          </w:rPr>
          <w:fldChar w:fldCharType="begin"/>
        </w:r>
        <w:r w:rsidR="003709B2">
          <w:rPr>
            <w:webHidden/>
          </w:rPr>
          <w:instrText xml:space="preserve"> PAGEREF _Toc534624874 \h </w:instrText>
        </w:r>
        <w:r w:rsidR="003709B2">
          <w:rPr>
            <w:webHidden/>
          </w:rPr>
        </w:r>
        <w:r w:rsidR="003709B2">
          <w:rPr>
            <w:webHidden/>
          </w:rPr>
          <w:fldChar w:fldCharType="separate"/>
        </w:r>
        <w:r w:rsidR="003709B2">
          <w:rPr>
            <w:webHidden/>
          </w:rPr>
          <w:t>21</w:t>
        </w:r>
        <w:r w:rsidR="003709B2">
          <w:rPr>
            <w:webHidden/>
          </w:rPr>
          <w:fldChar w:fldCharType="end"/>
        </w:r>
      </w:hyperlink>
    </w:p>
    <w:p w14:paraId="2516AFA3" w14:textId="12D5E952" w:rsidR="003709B2" w:rsidRDefault="00826AB9">
      <w:pPr>
        <w:pStyle w:val="TOC1"/>
        <w:rPr>
          <w:rFonts w:eastAsiaTheme="minorEastAsia" w:cstheme="minorBidi"/>
          <w:b w:val="0"/>
          <w:sz w:val="22"/>
          <w:szCs w:val="22"/>
          <w:lang w:eastAsia="en-GB"/>
        </w:rPr>
      </w:pPr>
      <w:hyperlink w:anchor="_Toc534624875" w:history="1">
        <w:r w:rsidR="003709B2" w:rsidRPr="00B2132F">
          <w:rPr>
            <w:rStyle w:val="Hyperlink"/>
          </w:rPr>
          <w:t>11.</w:t>
        </w:r>
        <w:r w:rsidR="003709B2">
          <w:rPr>
            <w:rFonts w:eastAsiaTheme="minorEastAsia" w:cstheme="minorBidi"/>
            <w:b w:val="0"/>
            <w:sz w:val="22"/>
            <w:szCs w:val="22"/>
            <w:lang w:eastAsia="en-GB"/>
          </w:rPr>
          <w:tab/>
        </w:r>
        <w:r w:rsidR="003709B2" w:rsidRPr="00B2132F">
          <w:rPr>
            <w:rStyle w:val="Hyperlink"/>
          </w:rPr>
          <w:t>Remaining Issue – HSE Definition of “Other” Failures</w:t>
        </w:r>
        <w:r w:rsidR="003709B2">
          <w:rPr>
            <w:webHidden/>
          </w:rPr>
          <w:tab/>
        </w:r>
        <w:r w:rsidR="003709B2">
          <w:rPr>
            <w:webHidden/>
          </w:rPr>
          <w:fldChar w:fldCharType="begin"/>
        </w:r>
        <w:r w:rsidR="003709B2">
          <w:rPr>
            <w:webHidden/>
          </w:rPr>
          <w:instrText xml:space="preserve"> PAGEREF _Toc534624875 \h </w:instrText>
        </w:r>
        <w:r w:rsidR="003709B2">
          <w:rPr>
            <w:webHidden/>
          </w:rPr>
        </w:r>
        <w:r w:rsidR="003709B2">
          <w:rPr>
            <w:webHidden/>
          </w:rPr>
          <w:fldChar w:fldCharType="separate"/>
        </w:r>
        <w:r w:rsidR="003709B2">
          <w:rPr>
            <w:webHidden/>
          </w:rPr>
          <w:t>23</w:t>
        </w:r>
        <w:r w:rsidR="003709B2">
          <w:rPr>
            <w:webHidden/>
          </w:rPr>
          <w:fldChar w:fldCharType="end"/>
        </w:r>
      </w:hyperlink>
    </w:p>
    <w:p w14:paraId="725CD15A" w14:textId="618A2136" w:rsidR="003709B2" w:rsidRDefault="00826AB9">
      <w:pPr>
        <w:pStyle w:val="TOC2"/>
        <w:rPr>
          <w:rFonts w:eastAsiaTheme="minorEastAsia" w:cstheme="minorBidi"/>
          <w:sz w:val="22"/>
          <w:szCs w:val="22"/>
          <w:lang w:eastAsia="en-GB"/>
        </w:rPr>
      </w:pPr>
      <w:hyperlink w:anchor="_Toc534624876" w:history="1">
        <w:r w:rsidR="003709B2" w:rsidRPr="00B2132F">
          <w:rPr>
            <w:rStyle w:val="Hyperlink"/>
          </w:rPr>
          <w:t>11.1</w:t>
        </w:r>
        <w:r w:rsidR="003709B2">
          <w:rPr>
            <w:rFonts w:eastAsiaTheme="minorEastAsia" w:cstheme="minorBidi"/>
            <w:sz w:val="22"/>
            <w:szCs w:val="22"/>
            <w:lang w:eastAsia="en-GB"/>
          </w:rPr>
          <w:tab/>
        </w:r>
        <w:r w:rsidR="003709B2" w:rsidRPr="00B2132F">
          <w:rPr>
            <w:rStyle w:val="Hyperlink"/>
          </w:rPr>
          <w:t>Re-Assessment of LUP Zones by HSE 2001-2</w:t>
        </w:r>
        <w:r w:rsidR="003709B2">
          <w:rPr>
            <w:webHidden/>
          </w:rPr>
          <w:tab/>
        </w:r>
        <w:r w:rsidR="003709B2">
          <w:rPr>
            <w:webHidden/>
          </w:rPr>
          <w:fldChar w:fldCharType="begin"/>
        </w:r>
        <w:r w:rsidR="003709B2">
          <w:rPr>
            <w:webHidden/>
          </w:rPr>
          <w:instrText xml:space="preserve"> PAGEREF _Toc534624876 \h </w:instrText>
        </w:r>
        <w:r w:rsidR="003709B2">
          <w:rPr>
            <w:webHidden/>
          </w:rPr>
        </w:r>
        <w:r w:rsidR="003709B2">
          <w:rPr>
            <w:webHidden/>
          </w:rPr>
          <w:fldChar w:fldCharType="separate"/>
        </w:r>
        <w:r w:rsidR="003709B2">
          <w:rPr>
            <w:webHidden/>
          </w:rPr>
          <w:t>23</w:t>
        </w:r>
        <w:r w:rsidR="003709B2">
          <w:rPr>
            <w:webHidden/>
          </w:rPr>
          <w:fldChar w:fldCharType="end"/>
        </w:r>
      </w:hyperlink>
    </w:p>
    <w:p w14:paraId="6DD84FC8" w14:textId="4C3364B7" w:rsidR="003709B2" w:rsidRDefault="00826AB9">
      <w:pPr>
        <w:pStyle w:val="TOC2"/>
        <w:rPr>
          <w:rFonts w:eastAsiaTheme="minorEastAsia" w:cstheme="minorBidi"/>
          <w:sz w:val="22"/>
          <w:szCs w:val="22"/>
          <w:lang w:eastAsia="en-GB"/>
        </w:rPr>
      </w:pPr>
      <w:hyperlink w:anchor="_Toc534624877" w:history="1">
        <w:r w:rsidR="003709B2" w:rsidRPr="00B2132F">
          <w:rPr>
            <w:rStyle w:val="Hyperlink"/>
          </w:rPr>
          <w:t>11.2</w:t>
        </w:r>
        <w:r w:rsidR="003709B2">
          <w:rPr>
            <w:rFonts w:eastAsiaTheme="minorEastAsia" w:cstheme="minorBidi"/>
            <w:sz w:val="22"/>
            <w:szCs w:val="22"/>
            <w:lang w:eastAsia="en-GB"/>
          </w:rPr>
          <w:tab/>
        </w:r>
        <w:r w:rsidR="003709B2" w:rsidRPr="00B2132F">
          <w:rPr>
            <w:rStyle w:val="Hyperlink"/>
          </w:rPr>
          <w:t>Further Development by HSL in 2009</w:t>
        </w:r>
        <w:r w:rsidR="003709B2">
          <w:rPr>
            <w:webHidden/>
          </w:rPr>
          <w:tab/>
        </w:r>
        <w:r w:rsidR="003709B2">
          <w:rPr>
            <w:webHidden/>
          </w:rPr>
          <w:fldChar w:fldCharType="begin"/>
        </w:r>
        <w:r w:rsidR="003709B2">
          <w:rPr>
            <w:webHidden/>
          </w:rPr>
          <w:instrText xml:space="preserve"> PAGEREF _Toc534624877 \h </w:instrText>
        </w:r>
        <w:r w:rsidR="003709B2">
          <w:rPr>
            <w:webHidden/>
          </w:rPr>
        </w:r>
        <w:r w:rsidR="003709B2">
          <w:rPr>
            <w:webHidden/>
          </w:rPr>
          <w:fldChar w:fldCharType="separate"/>
        </w:r>
        <w:r w:rsidR="003709B2">
          <w:rPr>
            <w:webHidden/>
          </w:rPr>
          <w:t>23</w:t>
        </w:r>
        <w:r w:rsidR="003709B2">
          <w:rPr>
            <w:webHidden/>
          </w:rPr>
          <w:fldChar w:fldCharType="end"/>
        </w:r>
      </w:hyperlink>
    </w:p>
    <w:p w14:paraId="1E79AB69" w14:textId="7486C7C5" w:rsidR="003709B2" w:rsidRDefault="00826AB9">
      <w:pPr>
        <w:pStyle w:val="TOC2"/>
        <w:rPr>
          <w:rFonts w:eastAsiaTheme="minorEastAsia" w:cstheme="minorBidi"/>
          <w:sz w:val="22"/>
          <w:szCs w:val="22"/>
          <w:lang w:eastAsia="en-GB"/>
        </w:rPr>
      </w:pPr>
      <w:hyperlink w:anchor="_Toc534624878" w:history="1">
        <w:r w:rsidR="003709B2" w:rsidRPr="00B2132F">
          <w:rPr>
            <w:rStyle w:val="Hyperlink"/>
          </w:rPr>
          <w:t>11.3</w:t>
        </w:r>
        <w:r w:rsidR="003709B2">
          <w:rPr>
            <w:rFonts w:eastAsiaTheme="minorEastAsia" w:cstheme="minorBidi"/>
            <w:sz w:val="22"/>
            <w:szCs w:val="22"/>
            <w:lang w:eastAsia="en-GB"/>
          </w:rPr>
          <w:tab/>
        </w:r>
        <w:r w:rsidR="003709B2" w:rsidRPr="00B2132F">
          <w:rPr>
            <w:rStyle w:val="Hyperlink"/>
          </w:rPr>
          <w:t>Issues Caused by the “Other” Failure Rate</w:t>
        </w:r>
        <w:r w:rsidR="003709B2">
          <w:rPr>
            <w:webHidden/>
          </w:rPr>
          <w:tab/>
        </w:r>
        <w:r w:rsidR="003709B2">
          <w:rPr>
            <w:webHidden/>
          </w:rPr>
          <w:fldChar w:fldCharType="begin"/>
        </w:r>
        <w:r w:rsidR="003709B2">
          <w:rPr>
            <w:webHidden/>
          </w:rPr>
          <w:instrText xml:space="preserve"> PAGEREF _Toc534624878 \h </w:instrText>
        </w:r>
        <w:r w:rsidR="003709B2">
          <w:rPr>
            <w:webHidden/>
          </w:rPr>
        </w:r>
        <w:r w:rsidR="003709B2">
          <w:rPr>
            <w:webHidden/>
          </w:rPr>
          <w:fldChar w:fldCharType="separate"/>
        </w:r>
        <w:r w:rsidR="003709B2">
          <w:rPr>
            <w:webHidden/>
          </w:rPr>
          <w:t>24</w:t>
        </w:r>
        <w:r w:rsidR="003709B2">
          <w:rPr>
            <w:webHidden/>
          </w:rPr>
          <w:fldChar w:fldCharType="end"/>
        </w:r>
      </w:hyperlink>
    </w:p>
    <w:p w14:paraId="3CB1A972" w14:textId="7855D84C" w:rsidR="003709B2" w:rsidRDefault="00826AB9">
      <w:pPr>
        <w:pStyle w:val="TOC1"/>
        <w:rPr>
          <w:rFonts w:eastAsiaTheme="minorEastAsia" w:cstheme="minorBidi"/>
          <w:b w:val="0"/>
          <w:sz w:val="22"/>
          <w:szCs w:val="22"/>
          <w:lang w:eastAsia="en-GB"/>
        </w:rPr>
      </w:pPr>
      <w:hyperlink w:anchor="_Toc534624879" w:history="1">
        <w:r w:rsidR="003709B2" w:rsidRPr="00B2132F">
          <w:rPr>
            <w:rStyle w:val="Hyperlink"/>
          </w:rPr>
          <w:t>12.</w:t>
        </w:r>
        <w:r w:rsidR="003709B2">
          <w:rPr>
            <w:rFonts w:eastAsiaTheme="minorEastAsia" w:cstheme="minorBidi"/>
            <w:b w:val="0"/>
            <w:sz w:val="22"/>
            <w:szCs w:val="22"/>
            <w:lang w:eastAsia="en-GB"/>
          </w:rPr>
          <w:tab/>
        </w:r>
        <w:r w:rsidR="003709B2" w:rsidRPr="00B2132F">
          <w:rPr>
            <w:rStyle w:val="Hyperlink"/>
          </w:rPr>
          <w:t>Conclusions</w:t>
        </w:r>
        <w:r w:rsidR="003709B2">
          <w:rPr>
            <w:webHidden/>
          </w:rPr>
          <w:tab/>
        </w:r>
        <w:r w:rsidR="003709B2">
          <w:rPr>
            <w:webHidden/>
          </w:rPr>
          <w:fldChar w:fldCharType="begin"/>
        </w:r>
        <w:r w:rsidR="003709B2">
          <w:rPr>
            <w:webHidden/>
          </w:rPr>
          <w:instrText xml:space="preserve"> PAGEREF _Toc534624879 \h </w:instrText>
        </w:r>
        <w:r w:rsidR="003709B2">
          <w:rPr>
            <w:webHidden/>
          </w:rPr>
        </w:r>
        <w:r w:rsidR="003709B2">
          <w:rPr>
            <w:webHidden/>
          </w:rPr>
          <w:fldChar w:fldCharType="separate"/>
        </w:r>
        <w:r w:rsidR="003709B2">
          <w:rPr>
            <w:webHidden/>
          </w:rPr>
          <w:t>25</w:t>
        </w:r>
        <w:r w:rsidR="003709B2">
          <w:rPr>
            <w:webHidden/>
          </w:rPr>
          <w:fldChar w:fldCharType="end"/>
        </w:r>
      </w:hyperlink>
    </w:p>
    <w:p w14:paraId="06BE4D24" w14:textId="72D64268" w:rsidR="003709B2" w:rsidRDefault="00826AB9">
      <w:pPr>
        <w:pStyle w:val="TOC1"/>
        <w:rPr>
          <w:rFonts w:eastAsiaTheme="minorEastAsia" w:cstheme="minorBidi"/>
          <w:b w:val="0"/>
          <w:sz w:val="22"/>
          <w:szCs w:val="22"/>
          <w:lang w:eastAsia="en-GB"/>
        </w:rPr>
      </w:pPr>
      <w:hyperlink w:anchor="_Toc534624880" w:history="1">
        <w:r w:rsidR="003709B2" w:rsidRPr="00B2132F">
          <w:rPr>
            <w:rStyle w:val="Hyperlink"/>
          </w:rPr>
          <w:t>13.</w:t>
        </w:r>
        <w:r w:rsidR="003709B2">
          <w:rPr>
            <w:rFonts w:eastAsiaTheme="minorEastAsia" w:cstheme="minorBidi"/>
            <w:b w:val="0"/>
            <w:sz w:val="22"/>
            <w:szCs w:val="22"/>
            <w:lang w:eastAsia="en-GB"/>
          </w:rPr>
          <w:tab/>
        </w:r>
        <w:r w:rsidR="003709B2" w:rsidRPr="00B2132F">
          <w:rPr>
            <w:rStyle w:val="Hyperlink"/>
          </w:rPr>
          <w:t>References</w:t>
        </w:r>
        <w:r w:rsidR="003709B2">
          <w:rPr>
            <w:webHidden/>
          </w:rPr>
          <w:tab/>
        </w:r>
        <w:r w:rsidR="003709B2">
          <w:rPr>
            <w:webHidden/>
          </w:rPr>
          <w:fldChar w:fldCharType="begin"/>
        </w:r>
        <w:r w:rsidR="003709B2">
          <w:rPr>
            <w:webHidden/>
          </w:rPr>
          <w:instrText xml:space="preserve"> PAGEREF _Toc534624880 \h </w:instrText>
        </w:r>
        <w:r w:rsidR="003709B2">
          <w:rPr>
            <w:webHidden/>
          </w:rPr>
        </w:r>
        <w:r w:rsidR="003709B2">
          <w:rPr>
            <w:webHidden/>
          </w:rPr>
          <w:fldChar w:fldCharType="separate"/>
        </w:r>
        <w:r w:rsidR="003709B2">
          <w:rPr>
            <w:webHidden/>
          </w:rPr>
          <w:t>26</w:t>
        </w:r>
        <w:r w:rsidR="003709B2">
          <w:rPr>
            <w:webHidden/>
          </w:rPr>
          <w:fldChar w:fldCharType="end"/>
        </w:r>
      </w:hyperlink>
    </w:p>
    <w:p w14:paraId="75185FF3" w14:textId="55AEDE50" w:rsidR="00F97F6F" w:rsidRDefault="0095301A" w:rsidP="00805A9C">
      <w:r>
        <w:rPr>
          <w:noProof/>
        </w:rPr>
        <w:fldChar w:fldCharType="end"/>
      </w:r>
    </w:p>
    <w:p w14:paraId="4325EC95" w14:textId="77777777" w:rsidR="00B16B51" w:rsidRPr="00805A9C" w:rsidRDefault="00B16B51" w:rsidP="00805A9C">
      <w:pPr>
        <w:sectPr w:rsidR="00B16B51" w:rsidRPr="00805A9C" w:rsidSect="007D70C0">
          <w:footerReference w:type="default" r:id="rId17"/>
          <w:endnotePr>
            <w:numFmt w:val="decimal"/>
          </w:endnotePr>
          <w:pgSz w:w="11909" w:h="16834" w:code="9"/>
          <w:pgMar w:top="1952" w:right="1418" w:bottom="709" w:left="1418" w:header="709" w:footer="706" w:gutter="0"/>
          <w:cols w:space="720"/>
          <w:formProt w:val="0"/>
          <w:docGrid w:linePitch="272"/>
        </w:sectPr>
      </w:pPr>
    </w:p>
    <w:p w14:paraId="20F1DAFC" w14:textId="3C5661A9" w:rsidR="005968BD" w:rsidRDefault="007F29C4">
      <w:pPr>
        <w:pStyle w:val="Heading1"/>
      </w:pPr>
      <w:bookmarkStart w:id="0" w:name="_Toc534624832"/>
      <w:r>
        <w:lastRenderedPageBreak/>
        <w:t>Executive Summary</w:t>
      </w:r>
      <w:bookmarkEnd w:id="0"/>
    </w:p>
    <w:p w14:paraId="59AB931F" w14:textId="1271A9A7" w:rsidR="002E08CE" w:rsidRDefault="00A32D09" w:rsidP="002E08CE">
      <w:pPr>
        <w:pStyle w:val="BodyText"/>
      </w:pPr>
      <w:r>
        <w:t xml:space="preserve">Land use planning </w:t>
      </w:r>
      <w:r w:rsidR="00305E7B">
        <w:t xml:space="preserve">(LUP) </w:t>
      </w:r>
      <w:r>
        <w:t xml:space="preserve">zones were imposed on Major Accident Hazard Pipelines by the Health &amp; Safety Executive </w:t>
      </w:r>
      <w:r w:rsidR="00305E7B">
        <w:t xml:space="preserve">(HSE) </w:t>
      </w:r>
      <w:r>
        <w:t>in 1989-90.</w:t>
      </w:r>
      <w:r w:rsidR="00FB3531">
        <w:t xml:space="preserve"> </w:t>
      </w:r>
      <w:r>
        <w:t>For natural gas the zones were based on multiples of the pipeline Building Proximity Distance (BPD) and for other pipelines (ethylene, LPGs, spiked crude) the zones were based on risk assessment methodologies published by HSE.</w:t>
      </w:r>
      <w:r w:rsidR="00FB3531">
        <w:t xml:space="preserve"> </w:t>
      </w:r>
      <w:r w:rsidR="00C15BBB">
        <w:t>These zones caus</w:t>
      </w:r>
      <w:r w:rsidR="0018353E">
        <w:t>ed</w:t>
      </w:r>
      <w:r w:rsidR="00C15BBB">
        <w:t xml:space="preserve"> significant planning issues in areas adjacent to some pipelines due to the large size of the zones and the rigid way the planning advice was applied by HSE. </w:t>
      </w:r>
    </w:p>
    <w:p w14:paraId="39582C4C" w14:textId="7C860298" w:rsidR="00A32D09" w:rsidRDefault="00C15BBB" w:rsidP="002E08CE">
      <w:pPr>
        <w:pStyle w:val="BodyText"/>
      </w:pPr>
      <w:r>
        <w:t xml:space="preserve">Although </w:t>
      </w:r>
      <w:r w:rsidR="00317976">
        <w:t xml:space="preserve">some </w:t>
      </w:r>
      <w:r>
        <w:t>operators had direct discussions with HSE, particularly Transco, t</w:t>
      </w:r>
      <w:r w:rsidR="00A32D09">
        <w:t>he main reason for the formation of UKOPA in 1997 by pipeline operators was to provide a common</w:t>
      </w:r>
      <w:r>
        <w:t xml:space="preserve"> industry</w:t>
      </w:r>
      <w:r w:rsidR="00A32D09">
        <w:t xml:space="preserve"> group to lobby and discuss land use planning zones with HSE.</w:t>
      </w:r>
    </w:p>
    <w:p w14:paraId="45848590" w14:textId="09212710" w:rsidR="00C15BBB" w:rsidRDefault="00A32D09" w:rsidP="00CF14EC">
      <w:pPr>
        <w:pStyle w:val="BodyText"/>
      </w:pPr>
      <w:r>
        <w:t>Major progress was made in 2002-</w:t>
      </w:r>
      <w:r w:rsidR="00C15BBB">
        <w:t>3</w:t>
      </w:r>
      <w:r>
        <w:t xml:space="preserve"> with the formation of </w:t>
      </w:r>
      <w:r w:rsidR="00CF14EC">
        <w:t>Working Group on Pipelines as part of HSE’s Fundamental review of Land Use Planning.</w:t>
      </w:r>
      <w:r w:rsidR="00FB3531">
        <w:t xml:space="preserve"> </w:t>
      </w:r>
      <w:r w:rsidR="00CF14EC">
        <w:t>In particular a small Work Group, Risk Assessment</w:t>
      </w:r>
      <w:r w:rsidR="00305E7B">
        <w:t>,</w:t>
      </w:r>
      <w:r w:rsidR="00CF14EC">
        <w:t xml:space="preserve"> met numerous times during this period and </w:t>
      </w:r>
      <w:r w:rsidR="00317976">
        <w:t xml:space="preserve">as a result </w:t>
      </w:r>
      <w:r w:rsidR="00CF14EC">
        <w:t>HSE developed and implemented risk-based land use planning zone</w:t>
      </w:r>
      <w:r w:rsidR="00317976">
        <w:t>s</w:t>
      </w:r>
      <w:r w:rsidR="00CF14EC">
        <w:t xml:space="preserve"> for natural gas based on </w:t>
      </w:r>
      <w:r w:rsidR="00AF0EBF">
        <w:t xml:space="preserve">some aspects of </w:t>
      </w:r>
      <w:r w:rsidR="00CF14EC">
        <w:t>UKOPA fault and failure data using their software called MISHAP.</w:t>
      </w:r>
      <w:r w:rsidR="00FB3531">
        <w:t xml:space="preserve"> </w:t>
      </w:r>
      <w:r w:rsidR="00C15BBB">
        <w:t xml:space="preserve">In addition HSE were proposing to set land use planning zones for gasoline pipelines, and UKOPA were involved in formulating how the size of these zones should be calculated. </w:t>
      </w:r>
      <w:r w:rsidR="00CF14EC">
        <w:t>However</w:t>
      </w:r>
      <w:r w:rsidR="009850E1">
        <w:t>,</w:t>
      </w:r>
      <w:r w:rsidR="00CF14EC">
        <w:t xml:space="preserve"> </w:t>
      </w:r>
      <w:r w:rsidR="00C15BBB">
        <w:t>at the end of this process (2004) HSE withdrew from further development work and decided not to progress gasoline LUP zones.</w:t>
      </w:r>
    </w:p>
    <w:p w14:paraId="0217D7C2" w14:textId="2351A06E" w:rsidR="00AF0EBF" w:rsidRDefault="00C15BBB" w:rsidP="00CF14EC">
      <w:pPr>
        <w:pStyle w:val="BodyText"/>
      </w:pPr>
      <w:r>
        <w:t>S</w:t>
      </w:r>
      <w:r w:rsidR="00CF14EC">
        <w:t xml:space="preserve">everal significant aspects </w:t>
      </w:r>
      <w:r>
        <w:t xml:space="preserve">of risk assessment methodology remained </w:t>
      </w:r>
      <w:r w:rsidR="00CF14EC">
        <w:t xml:space="preserve">unresolved </w:t>
      </w:r>
      <w:r>
        <w:t>so UKOPA decided to develop and publish pipeline risk assessment supplements</w:t>
      </w:r>
      <w:r w:rsidR="00317976">
        <w:t xml:space="preserve"> </w:t>
      </w:r>
      <w:r w:rsidR="00414BDC">
        <w:t>to the pipeline codes IGEM/TD/1 and PD 8010</w:t>
      </w:r>
      <w:r w:rsidR="00305E7B">
        <w:t>-</w:t>
      </w:r>
      <w:r w:rsidR="00414BDC">
        <w:t xml:space="preserve">1 </w:t>
      </w:r>
      <w:r w:rsidR="00317976">
        <w:t>through the Institute of Gas Engineers and Managers</w:t>
      </w:r>
      <w:r w:rsidR="00414BDC">
        <w:t xml:space="preserve"> (IGEM)</w:t>
      </w:r>
      <w:r w:rsidR="00FB3531">
        <w:t xml:space="preserve"> </w:t>
      </w:r>
      <w:r w:rsidR="00317976">
        <w:t>and the British Standards Institution</w:t>
      </w:r>
      <w:r w:rsidR="00414BDC">
        <w:t>.</w:t>
      </w:r>
      <w:r w:rsidR="00FB3531">
        <w:t xml:space="preserve"> </w:t>
      </w:r>
      <w:r w:rsidR="00317976">
        <w:t xml:space="preserve">This involved an extensive amount of work by the Risk Assessment Work Group and the </w:t>
      </w:r>
      <w:r w:rsidR="00414BDC">
        <w:t>documents</w:t>
      </w:r>
      <w:r w:rsidR="00317976">
        <w:t xml:space="preserve"> were published in 20</w:t>
      </w:r>
      <w:r w:rsidR="00AF0EBF">
        <w:t>09</w:t>
      </w:r>
      <w:r w:rsidR="00414BDC">
        <w:t xml:space="preserve"> as the standard IGEM/TD/2 and the code PD 8010</w:t>
      </w:r>
      <w:r w:rsidR="00305E7B">
        <w:t>-</w:t>
      </w:r>
      <w:r w:rsidR="00414BDC">
        <w:t>3</w:t>
      </w:r>
      <w:r w:rsidR="00317976">
        <w:t>.</w:t>
      </w:r>
      <w:r w:rsidR="00FB3531">
        <w:t xml:space="preserve"> </w:t>
      </w:r>
    </w:p>
    <w:p w14:paraId="0CEE6997" w14:textId="0A80485C" w:rsidR="00805B93" w:rsidRDefault="00AF0EBF" w:rsidP="00CF14EC">
      <w:pPr>
        <w:pStyle w:val="BodyText"/>
      </w:pPr>
      <w:r>
        <w:t>During this process HSE were kept involved, and briefing notes for ten specific issues were submitted and discussed with HSE including allowance for pipeline depth of cover</w:t>
      </w:r>
      <w:r w:rsidR="00C15BBB">
        <w:t xml:space="preserve"> </w:t>
      </w:r>
      <w:r w:rsidR="00805B93">
        <w:t xml:space="preserve">and </w:t>
      </w:r>
      <w:r>
        <w:t>concrete slabbing protection.</w:t>
      </w:r>
      <w:r w:rsidR="00FB3531">
        <w:t xml:space="preserve"> </w:t>
      </w:r>
      <w:r w:rsidR="00805B93">
        <w:t xml:space="preserve">HSE initiated </w:t>
      </w:r>
      <w:r w:rsidR="006253AF">
        <w:t xml:space="preserve">a </w:t>
      </w:r>
      <w:r w:rsidR="00805B93">
        <w:t xml:space="preserve">programme of development work with the Health &amp; Safety Laboratory </w:t>
      </w:r>
      <w:r w:rsidR="00305E7B">
        <w:t xml:space="preserve">(HSL) </w:t>
      </w:r>
      <w:r w:rsidR="00805B93">
        <w:t>at Buxton, and UKOPA representatives met regularly with HSL staff to progress</w:t>
      </w:r>
      <w:r w:rsidR="00414BDC">
        <w:t xml:space="preserve"> the</w:t>
      </w:r>
      <w:r w:rsidR="00805B93">
        <w:t xml:space="preserve"> ten significant issues raised with HSE.</w:t>
      </w:r>
    </w:p>
    <w:p w14:paraId="1C10DF35" w14:textId="6CC8730A" w:rsidR="00FD17E9" w:rsidRDefault="00AF0EBF" w:rsidP="00CF14EC">
      <w:pPr>
        <w:pStyle w:val="BodyText"/>
      </w:pPr>
      <w:r>
        <w:t xml:space="preserve">Eventually </w:t>
      </w:r>
      <w:r w:rsidR="00C15BBB">
        <w:t>HSE</w:t>
      </w:r>
      <w:r>
        <w:t xml:space="preserve"> accepted most of the </w:t>
      </w:r>
      <w:r w:rsidR="00FD17E9">
        <w:t xml:space="preserve">arguments put forward by UKOPA, and reassessment of failure rates and methodologies by the Health &amp; Safety Laboratory specialists </w:t>
      </w:r>
      <w:r w:rsidR="00305E7B">
        <w:t xml:space="preserve">occurred </w:t>
      </w:r>
      <w:r w:rsidR="00FD17E9">
        <w:t>during 2010-</w:t>
      </w:r>
      <w:r w:rsidR="00805B93">
        <w:t>5</w:t>
      </w:r>
      <w:r w:rsidR="00FD17E9">
        <w:t xml:space="preserve"> result</w:t>
      </w:r>
      <w:r w:rsidR="006253AF">
        <w:t>ing</w:t>
      </w:r>
      <w:r w:rsidR="00FD17E9">
        <w:t xml:space="preserve"> in changes to HSE’s methodology. In 2014-5 HSE reassessed many LUP zones based on the new data and methodologies.</w:t>
      </w:r>
      <w:r w:rsidR="00FB3531">
        <w:t xml:space="preserve"> </w:t>
      </w:r>
      <w:r w:rsidR="00FD17E9">
        <w:t>The most significant reduction of LUP zones was for ethylene pipelines.</w:t>
      </w:r>
      <w:r w:rsidR="00FB3531">
        <w:t xml:space="preserve"> </w:t>
      </w:r>
    </w:p>
    <w:p w14:paraId="210C503C" w14:textId="0DF3C12D" w:rsidR="00CF14EC" w:rsidRDefault="00FD17E9" w:rsidP="00FD17E9">
      <w:pPr>
        <w:pStyle w:val="BodyText"/>
      </w:pPr>
      <w:r>
        <w:t>Overall the close liaison between UKOPA</w:t>
      </w:r>
      <w:r w:rsidR="00A545CF">
        <w:t xml:space="preserve"> and</w:t>
      </w:r>
      <w:r>
        <w:t xml:space="preserve"> the HSE has proved fruitful resulting in </w:t>
      </w:r>
      <w:r w:rsidR="00A545CF">
        <w:t xml:space="preserve">a </w:t>
      </w:r>
      <w:r w:rsidR="006253AF">
        <w:t>realistic</w:t>
      </w:r>
      <w:r w:rsidR="00A545CF">
        <w:t>,</w:t>
      </w:r>
      <w:r w:rsidR="006253AF">
        <w:t xml:space="preserve"> </w:t>
      </w:r>
      <w:r>
        <w:t>and generally agreed</w:t>
      </w:r>
      <w:r w:rsidR="00A545CF">
        <w:t>,</w:t>
      </w:r>
      <w:r>
        <w:t xml:space="preserve"> appr</w:t>
      </w:r>
      <w:r w:rsidR="00805B93">
        <w:t xml:space="preserve">oach to risk-based calculations to assess </w:t>
      </w:r>
      <w:r w:rsidR="00070EDB">
        <w:t>l</w:t>
      </w:r>
      <w:r w:rsidR="00805B93">
        <w:t xml:space="preserve">and </w:t>
      </w:r>
      <w:r w:rsidR="00070EDB">
        <w:t>u</w:t>
      </w:r>
      <w:r w:rsidR="00805B93">
        <w:t xml:space="preserve">se </w:t>
      </w:r>
      <w:r w:rsidR="00070EDB">
        <w:t>p</w:t>
      </w:r>
      <w:r w:rsidR="00805B93">
        <w:t>lanning zones</w:t>
      </w:r>
      <w:r w:rsidR="00A545CF">
        <w:t>.</w:t>
      </w:r>
      <w:r w:rsidR="00FB3531">
        <w:t xml:space="preserve"> </w:t>
      </w:r>
      <w:r w:rsidR="006253AF">
        <w:t xml:space="preserve">Pipeline Operators working collaboratively with the Regulator </w:t>
      </w:r>
      <w:r w:rsidR="00805B93">
        <w:t xml:space="preserve">can be </w:t>
      </w:r>
      <w:r w:rsidR="00070EDB">
        <w:t>considered to be</w:t>
      </w:r>
      <w:r w:rsidR="00805B93">
        <w:t xml:space="preserve"> a major success resulting from the formation of UKOPA.</w:t>
      </w:r>
    </w:p>
    <w:p w14:paraId="0F80B8C1" w14:textId="7F3F525F" w:rsidR="00A545CF" w:rsidRDefault="00C838D1" w:rsidP="00FD17E9">
      <w:pPr>
        <w:pStyle w:val="BodyText"/>
      </w:pPr>
      <w:r>
        <w:t>This TBN documents the history of UKOPA’s involvement in the development of LUP zones for Major Accident Hazard Pipelines between 1997 and 2015.</w:t>
      </w:r>
    </w:p>
    <w:p w14:paraId="0C14AB5E" w14:textId="61E40557" w:rsidR="00A545CF" w:rsidRDefault="00A545CF" w:rsidP="00A545CF">
      <w:pPr>
        <w:pStyle w:val="Heading1"/>
      </w:pPr>
      <w:bookmarkStart w:id="1" w:name="_Toc534624833"/>
      <w:r>
        <w:lastRenderedPageBreak/>
        <w:t>Intro</w:t>
      </w:r>
      <w:r w:rsidR="007F29C4">
        <w:t>d</w:t>
      </w:r>
      <w:r>
        <w:t>uction</w:t>
      </w:r>
      <w:bookmarkEnd w:id="1"/>
    </w:p>
    <w:p w14:paraId="3616DAD9" w14:textId="242C098D" w:rsidR="0018353E" w:rsidRDefault="00070EDB" w:rsidP="0018353E">
      <w:pPr>
        <w:pStyle w:val="BodyText"/>
      </w:pPr>
      <w:r>
        <w:t>The Pipeline</w:t>
      </w:r>
      <w:r w:rsidR="00085E3B">
        <w:t>s</w:t>
      </w:r>
      <w:bookmarkStart w:id="2" w:name="_GoBack"/>
      <w:bookmarkEnd w:id="2"/>
      <w:r>
        <w:t xml:space="preserve"> Safety Regulations</w:t>
      </w:r>
      <w:r w:rsidR="0018353E">
        <w:t xml:space="preserve"> </w:t>
      </w:r>
      <w:r>
        <w:t>1996</w:t>
      </w:r>
      <w:sdt>
        <w:sdtPr>
          <w:id w:val="-1357804280"/>
          <w:citation/>
        </w:sdtPr>
        <w:sdtEndPr/>
        <w:sdtContent>
          <w:r w:rsidR="0018353E">
            <w:fldChar w:fldCharType="begin"/>
          </w:r>
          <w:r w:rsidR="0018353E">
            <w:instrText xml:space="preserve"> CITATION PSR96 \l 2057 </w:instrText>
          </w:r>
          <w:r w:rsidR="0018353E">
            <w:fldChar w:fldCharType="separate"/>
          </w:r>
          <w:r w:rsidR="00C8658D">
            <w:rPr>
              <w:noProof/>
            </w:rPr>
            <w:t xml:space="preserve"> [1]</w:t>
          </w:r>
          <w:r w:rsidR="0018353E">
            <w:fldChar w:fldCharType="end"/>
          </w:r>
        </w:sdtContent>
      </w:sdt>
      <w:r>
        <w:t xml:space="preserve"> defines a “major accident hazard pipeline” (MAHP) as one which conveys a dangerous fluid. Schedule 2 describes “dangerous fluids” which includes flammable gases above 8 bar absolute, flammable liquids with a boiling point below 5</w:t>
      </w:r>
      <w:r w:rsidR="0018353E" w:rsidRPr="0018353E">
        <w:rPr>
          <w:rFonts w:cstheme="minorHAnsi"/>
        </w:rPr>
        <w:t>°</w:t>
      </w:r>
      <w:r>
        <w:t>C at 1 bar absolute, a liquid which has a vapour pressure greater than 1.5 bara at 20</w:t>
      </w:r>
      <w:r w:rsidR="0018353E" w:rsidRPr="0018353E">
        <w:rPr>
          <w:rFonts w:cstheme="minorHAnsi"/>
        </w:rPr>
        <w:t>°</w:t>
      </w:r>
      <w:r>
        <w:t>C, and other defined categories including toxic or very toxic fluids</w:t>
      </w:r>
      <w:r w:rsidRPr="00273DB5">
        <w:t>.</w:t>
      </w:r>
      <w:r>
        <w:t xml:space="preserve"> The pipelines defined as major accident hazard pipelines include natural gas, ethylene, NGLs, LPGs, and spiked crude</w:t>
      </w:r>
      <w:r w:rsidR="0018353E">
        <w:t xml:space="preserve"> but not currently gasoline</w:t>
      </w:r>
      <w:r>
        <w:t>.</w:t>
      </w:r>
    </w:p>
    <w:p w14:paraId="1DC8EFA3" w14:textId="2253049F" w:rsidR="0018353E" w:rsidRDefault="0018353E" w:rsidP="0018353E">
      <w:pPr>
        <w:pStyle w:val="BodyText"/>
      </w:pPr>
      <w:r>
        <w:t>Land use planning (LUP) zones were imposed on Major Accident Hazard Pipelines by the Health &amp; Safety Executive (HSE) in 1989-90. For natural gas the zones were based on multiples of the pipeline Building Proximity Distance (BPD) and for other pipelines (ethylene, LPGs, spiked crude) the zones were based on risk assessment methodologies published by HSE. These zones caused significant planning issues in areas adjacent to some pipelines due to their large size and the rigid way the planning advice was applied by HSE.</w:t>
      </w:r>
    </w:p>
    <w:p w14:paraId="3D15DC02" w14:textId="545900A5" w:rsidR="002E08CE" w:rsidRDefault="0018353E" w:rsidP="0018353E">
      <w:pPr>
        <w:pStyle w:val="BodyText"/>
      </w:pPr>
      <w:r>
        <w:t xml:space="preserve">The main reason for the formation of UKOPA in 1997 by pipeline operators was to provide a common industry group to lobby and discuss land use planning zones with HSE. </w:t>
      </w:r>
      <w:r w:rsidR="002E08CE" w:rsidRPr="00273DB5">
        <w:t xml:space="preserve">The objective of this </w:t>
      </w:r>
      <w:r w:rsidR="00070EDB">
        <w:t xml:space="preserve">TBN </w:t>
      </w:r>
      <w:r w:rsidR="002E08CE" w:rsidRPr="00273DB5">
        <w:t xml:space="preserve">is </w:t>
      </w:r>
      <w:r w:rsidR="00070EDB">
        <w:t>to</w:t>
      </w:r>
      <w:r w:rsidR="002E08CE" w:rsidRPr="00273DB5">
        <w:t xml:space="preserve"> highlight the </w:t>
      </w:r>
      <w:r w:rsidR="00577FEC">
        <w:t xml:space="preserve">history of UKOPA’s involvement in the development of </w:t>
      </w:r>
      <w:r w:rsidR="00AA6021">
        <w:t xml:space="preserve">realistic and quantifiably demonstrable </w:t>
      </w:r>
      <w:r w:rsidR="00577FEC">
        <w:t>Land Use Planning Zones for Major Accident Hazard Pipelines</w:t>
      </w:r>
      <w:r w:rsidR="002E08CE" w:rsidRPr="00273DB5">
        <w:t>.</w:t>
      </w:r>
    </w:p>
    <w:p w14:paraId="614AB135" w14:textId="38F215A7" w:rsidR="00C838D1" w:rsidRDefault="00C838D1" w:rsidP="00C838D1">
      <w:pPr>
        <w:pStyle w:val="Heading2"/>
      </w:pPr>
      <w:bookmarkStart w:id="3" w:name="_Toc534624834"/>
      <w:r>
        <w:t>Abbreviations</w:t>
      </w:r>
      <w:bookmarkEnd w:id="3"/>
    </w:p>
    <w:tbl>
      <w:tblPr>
        <w:tblStyle w:val="Abbreviations"/>
        <w:tblW w:w="0" w:type="auto"/>
        <w:tblInd w:w="959" w:type="dxa"/>
        <w:tblLook w:val="0600" w:firstRow="0" w:lastRow="0" w:firstColumn="0" w:lastColumn="0" w:noHBand="1" w:noVBand="1"/>
      </w:tblPr>
      <w:tblGrid>
        <w:gridCol w:w="1254"/>
        <w:gridCol w:w="6898"/>
      </w:tblGrid>
      <w:tr w:rsidR="0030283C" w:rsidRPr="0018353E" w14:paraId="2B756A2D" w14:textId="77777777" w:rsidTr="0030283C">
        <w:tc>
          <w:tcPr>
            <w:tcW w:w="1254" w:type="dxa"/>
          </w:tcPr>
          <w:p w14:paraId="19332A9A" w14:textId="147A5767" w:rsidR="0030283C" w:rsidRPr="0018353E" w:rsidRDefault="0030283C" w:rsidP="006C4BFC">
            <w:pPr>
              <w:rPr>
                <w:rFonts w:cstheme="minorHAnsi"/>
              </w:rPr>
            </w:pPr>
            <w:r>
              <w:rPr>
                <w:rFonts w:cstheme="minorHAnsi"/>
              </w:rPr>
              <w:t>ACDS</w:t>
            </w:r>
          </w:p>
        </w:tc>
        <w:tc>
          <w:tcPr>
            <w:tcW w:w="6898" w:type="dxa"/>
          </w:tcPr>
          <w:p w14:paraId="5AF606F2" w14:textId="42714B96" w:rsidR="0030283C" w:rsidRPr="0018353E" w:rsidRDefault="0030283C" w:rsidP="006C4BFC">
            <w:pPr>
              <w:rPr>
                <w:rFonts w:cstheme="minorHAnsi"/>
              </w:rPr>
            </w:pPr>
            <w:r>
              <w:rPr>
                <w:rFonts w:cstheme="minorHAnsi"/>
              </w:rPr>
              <w:t>Advisory Committee on Dangerous Substances</w:t>
            </w:r>
          </w:p>
        </w:tc>
      </w:tr>
      <w:tr w:rsidR="00C838D1" w:rsidRPr="0018353E" w14:paraId="54DFD088" w14:textId="77777777" w:rsidTr="0030283C">
        <w:tc>
          <w:tcPr>
            <w:tcW w:w="1254" w:type="dxa"/>
          </w:tcPr>
          <w:p w14:paraId="1F96129B" w14:textId="776300A5" w:rsidR="00C838D1" w:rsidRPr="0018353E" w:rsidRDefault="00C838D1" w:rsidP="006C4BFC">
            <w:pPr>
              <w:rPr>
                <w:rFonts w:cstheme="minorHAnsi"/>
              </w:rPr>
            </w:pPr>
            <w:r w:rsidRPr="0018353E">
              <w:rPr>
                <w:rFonts w:cstheme="minorHAnsi"/>
              </w:rPr>
              <w:t>ACMH</w:t>
            </w:r>
          </w:p>
        </w:tc>
        <w:tc>
          <w:tcPr>
            <w:tcW w:w="6898" w:type="dxa"/>
          </w:tcPr>
          <w:p w14:paraId="5B548785" w14:textId="1A75A859" w:rsidR="00C838D1" w:rsidRPr="0018353E" w:rsidRDefault="00C838D1" w:rsidP="006C4BFC">
            <w:pPr>
              <w:rPr>
                <w:rFonts w:cstheme="minorHAnsi"/>
              </w:rPr>
            </w:pPr>
            <w:r w:rsidRPr="0018353E">
              <w:rPr>
                <w:rFonts w:cstheme="minorHAnsi"/>
              </w:rPr>
              <w:t>Advisory Committee on Major Hazards</w:t>
            </w:r>
          </w:p>
        </w:tc>
      </w:tr>
      <w:tr w:rsidR="00C838D1" w:rsidRPr="0018353E" w14:paraId="0FBC92F7" w14:textId="77777777" w:rsidTr="0030283C">
        <w:tc>
          <w:tcPr>
            <w:tcW w:w="1254" w:type="dxa"/>
          </w:tcPr>
          <w:p w14:paraId="1272A7DF" w14:textId="77777777" w:rsidR="00C838D1" w:rsidRPr="0018353E" w:rsidRDefault="00C838D1" w:rsidP="006C4BFC">
            <w:pPr>
              <w:rPr>
                <w:rFonts w:cstheme="minorHAnsi"/>
              </w:rPr>
            </w:pPr>
            <w:r w:rsidRPr="0018353E">
              <w:rPr>
                <w:rFonts w:cstheme="minorHAnsi"/>
              </w:rPr>
              <w:t>ALARP</w:t>
            </w:r>
          </w:p>
        </w:tc>
        <w:tc>
          <w:tcPr>
            <w:tcW w:w="6898" w:type="dxa"/>
          </w:tcPr>
          <w:p w14:paraId="539ED775" w14:textId="77777777" w:rsidR="00C838D1" w:rsidRPr="0018353E" w:rsidRDefault="00C838D1" w:rsidP="006C4BFC">
            <w:pPr>
              <w:rPr>
                <w:rFonts w:cstheme="minorHAnsi"/>
              </w:rPr>
            </w:pPr>
            <w:r w:rsidRPr="0018353E">
              <w:rPr>
                <w:rFonts w:cstheme="minorHAnsi"/>
              </w:rPr>
              <w:t>As Low as Reasonably Practicable</w:t>
            </w:r>
          </w:p>
        </w:tc>
      </w:tr>
      <w:tr w:rsidR="0018353E" w:rsidRPr="0018353E" w14:paraId="057C5542" w14:textId="77777777" w:rsidTr="0030283C">
        <w:tc>
          <w:tcPr>
            <w:tcW w:w="1254" w:type="dxa"/>
          </w:tcPr>
          <w:p w14:paraId="55C48D17" w14:textId="671864A3" w:rsidR="0018353E" w:rsidRPr="0018353E" w:rsidRDefault="0018353E" w:rsidP="006C4BFC">
            <w:pPr>
              <w:rPr>
                <w:rFonts w:cstheme="minorHAnsi"/>
              </w:rPr>
            </w:pPr>
            <w:r w:rsidRPr="0018353E">
              <w:rPr>
                <w:rFonts w:cstheme="minorHAnsi"/>
              </w:rPr>
              <w:t>BPD</w:t>
            </w:r>
          </w:p>
        </w:tc>
        <w:tc>
          <w:tcPr>
            <w:tcW w:w="6898" w:type="dxa"/>
          </w:tcPr>
          <w:p w14:paraId="70659E71" w14:textId="70949603" w:rsidR="0018353E" w:rsidRPr="0018353E" w:rsidRDefault="0018353E" w:rsidP="006C4BFC">
            <w:pPr>
              <w:rPr>
                <w:rFonts w:cstheme="minorHAnsi"/>
              </w:rPr>
            </w:pPr>
            <w:r w:rsidRPr="0018353E">
              <w:rPr>
                <w:rFonts w:cstheme="minorHAnsi"/>
              </w:rPr>
              <w:t>Building Proximity Distance</w:t>
            </w:r>
          </w:p>
        </w:tc>
      </w:tr>
      <w:tr w:rsidR="0081391A" w:rsidRPr="0018353E" w14:paraId="6B7EDF6E" w14:textId="77777777" w:rsidTr="0030283C">
        <w:tc>
          <w:tcPr>
            <w:tcW w:w="1254" w:type="dxa"/>
          </w:tcPr>
          <w:p w14:paraId="5A3EF32A" w14:textId="4D5B5BA0" w:rsidR="0081391A" w:rsidRPr="0018353E" w:rsidRDefault="0081391A" w:rsidP="006C4BFC">
            <w:pPr>
              <w:rPr>
                <w:rFonts w:cstheme="minorHAnsi"/>
              </w:rPr>
            </w:pPr>
            <w:r>
              <w:rPr>
                <w:rFonts w:cstheme="minorHAnsi"/>
              </w:rPr>
              <w:t>BSI</w:t>
            </w:r>
          </w:p>
        </w:tc>
        <w:tc>
          <w:tcPr>
            <w:tcW w:w="6898" w:type="dxa"/>
          </w:tcPr>
          <w:p w14:paraId="3C0373D1" w14:textId="0D698ADC" w:rsidR="0081391A" w:rsidRPr="0018353E" w:rsidRDefault="0081391A" w:rsidP="006C4BFC">
            <w:pPr>
              <w:rPr>
                <w:rFonts w:cstheme="minorHAnsi"/>
              </w:rPr>
            </w:pPr>
            <w:r>
              <w:rPr>
                <w:rFonts w:cstheme="minorHAnsi"/>
              </w:rPr>
              <w:t>British Standards Institut</w:t>
            </w:r>
            <w:r w:rsidR="0053354C">
              <w:rPr>
                <w:rFonts w:cstheme="minorHAnsi"/>
              </w:rPr>
              <w:t>ion</w:t>
            </w:r>
          </w:p>
        </w:tc>
      </w:tr>
      <w:tr w:rsidR="006C4BFC" w:rsidRPr="0018353E" w14:paraId="36B3532B" w14:textId="77777777" w:rsidTr="0030283C">
        <w:tc>
          <w:tcPr>
            <w:tcW w:w="1254" w:type="dxa"/>
          </w:tcPr>
          <w:p w14:paraId="255326EE" w14:textId="14DB9333" w:rsidR="006C4BFC" w:rsidRPr="0018353E" w:rsidRDefault="006C4BFC" w:rsidP="006C4BFC">
            <w:pPr>
              <w:rPr>
                <w:rFonts w:cstheme="minorHAnsi"/>
              </w:rPr>
            </w:pPr>
            <w:r>
              <w:rPr>
                <w:rFonts w:cstheme="minorHAnsi"/>
              </w:rPr>
              <w:t>CIMAH</w:t>
            </w:r>
          </w:p>
        </w:tc>
        <w:tc>
          <w:tcPr>
            <w:tcW w:w="6898" w:type="dxa"/>
          </w:tcPr>
          <w:p w14:paraId="020937EE" w14:textId="04E8ABFE" w:rsidR="006C4BFC" w:rsidRPr="0018353E" w:rsidRDefault="006C4BFC" w:rsidP="006C4BFC">
            <w:pPr>
              <w:rPr>
                <w:rFonts w:cstheme="minorHAnsi"/>
              </w:rPr>
            </w:pPr>
            <w:r>
              <w:rPr>
                <w:rFonts w:cstheme="minorHAnsi"/>
              </w:rPr>
              <w:t>Control of Industrial Major Accident Hazards</w:t>
            </w:r>
          </w:p>
        </w:tc>
      </w:tr>
      <w:tr w:rsidR="00CF7B91" w:rsidRPr="0018353E" w14:paraId="1FB21D61" w14:textId="77777777" w:rsidTr="0030283C">
        <w:tc>
          <w:tcPr>
            <w:tcW w:w="1254" w:type="dxa"/>
          </w:tcPr>
          <w:p w14:paraId="6D6F58DE" w14:textId="2B44CA50" w:rsidR="00CF7B91" w:rsidRDefault="00CF7B91" w:rsidP="006C4BFC">
            <w:pPr>
              <w:rPr>
                <w:rFonts w:cstheme="minorHAnsi"/>
              </w:rPr>
            </w:pPr>
            <w:r>
              <w:rPr>
                <w:rFonts w:cstheme="minorHAnsi"/>
              </w:rPr>
              <w:t>cpm</w:t>
            </w:r>
          </w:p>
        </w:tc>
        <w:tc>
          <w:tcPr>
            <w:tcW w:w="6898" w:type="dxa"/>
          </w:tcPr>
          <w:p w14:paraId="63B13103" w14:textId="6A269676" w:rsidR="00CF7B91" w:rsidRDefault="00CF7B91" w:rsidP="006C4BFC">
            <w:pPr>
              <w:rPr>
                <w:rFonts w:cstheme="minorHAnsi"/>
              </w:rPr>
            </w:pPr>
            <w:r>
              <w:rPr>
                <w:rFonts w:cstheme="minorHAnsi"/>
              </w:rPr>
              <w:t>chances per million</w:t>
            </w:r>
          </w:p>
        </w:tc>
      </w:tr>
      <w:tr w:rsidR="006C4BFC" w:rsidRPr="0018353E" w14:paraId="5DFA15B3" w14:textId="77777777" w:rsidTr="0030283C">
        <w:tc>
          <w:tcPr>
            <w:tcW w:w="1254" w:type="dxa"/>
          </w:tcPr>
          <w:p w14:paraId="2BCC8E4B" w14:textId="7622A388" w:rsidR="006C4BFC" w:rsidRDefault="006C4BFC" w:rsidP="006C4BFC">
            <w:pPr>
              <w:rPr>
                <w:rFonts w:cstheme="minorHAnsi"/>
              </w:rPr>
            </w:pPr>
            <w:r>
              <w:rPr>
                <w:rFonts w:cstheme="minorHAnsi"/>
              </w:rPr>
              <w:t>EEC</w:t>
            </w:r>
          </w:p>
        </w:tc>
        <w:tc>
          <w:tcPr>
            <w:tcW w:w="6898" w:type="dxa"/>
          </w:tcPr>
          <w:p w14:paraId="617B9B1A" w14:textId="10914946" w:rsidR="006C4BFC" w:rsidRDefault="006C4BFC" w:rsidP="006C4BFC">
            <w:pPr>
              <w:rPr>
                <w:rFonts w:cstheme="minorHAnsi"/>
              </w:rPr>
            </w:pPr>
            <w:r>
              <w:rPr>
                <w:rFonts w:cstheme="minorHAnsi"/>
              </w:rPr>
              <w:t>European Economic Community</w:t>
            </w:r>
          </w:p>
        </w:tc>
      </w:tr>
      <w:tr w:rsidR="0030283C" w:rsidRPr="0018353E" w14:paraId="2C9A3923" w14:textId="77777777" w:rsidTr="0030283C">
        <w:tc>
          <w:tcPr>
            <w:tcW w:w="1254" w:type="dxa"/>
          </w:tcPr>
          <w:p w14:paraId="6AC2F286" w14:textId="3DEDA1B6" w:rsidR="0030283C" w:rsidRDefault="0030283C" w:rsidP="006C4BFC">
            <w:pPr>
              <w:rPr>
                <w:rFonts w:cstheme="minorHAnsi"/>
              </w:rPr>
            </w:pPr>
            <w:r>
              <w:rPr>
                <w:rFonts w:cstheme="minorHAnsi"/>
              </w:rPr>
              <w:t>FORM</w:t>
            </w:r>
          </w:p>
        </w:tc>
        <w:tc>
          <w:tcPr>
            <w:tcW w:w="6898" w:type="dxa"/>
          </w:tcPr>
          <w:p w14:paraId="53DEFCEF" w14:textId="02281E4B" w:rsidR="0030283C" w:rsidRDefault="0030283C" w:rsidP="006C4BFC">
            <w:pPr>
              <w:rPr>
                <w:rFonts w:cstheme="minorHAnsi"/>
              </w:rPr>
            </w:pPr>
            <w:r>
              <w:rPr>
                <w:rFonts w:cstheme="minorHAnsi"/>
              </w:rPr>
              <w:t>First Order Reliability Method</w:t>
            </w:r>
          </w:p>
        </w:tc>
      </w:tr>
      <w:tr w:rsidR="00C838D1" w:rsidRPr="0018353E" w14:paraId="16AD9BE0" w14:textId="77777777" w:rsidTr="0030283C">
        <w:tc>
          <w:tcPr>
            <w:tcW w:w="1254" w:type="dxa"/>
          </w:tcPr>
          <w:p w14:paraId="505EB54B" w14:textId="77777777" w:rsidR="00C838D1" w:rsidRPr="0018353E" w:rsidRDefault="00C838D1" w:rsidP="006C4BFC">
            <w:pPr>
              <w:rPr>
                <w:rFonts w:cstheme="minorHAnsi"/>
              </w:rPr>
            </w:pPr>
            <w:r w:rsidRPr="0018353E">
              <w:rPr>
                <w:rFonts w:cstheme="minorHAnsi"/>
              </w:rPr>
              <w:t>HSE</w:t>
            </w:r>
          </w:p>
        </w:tc>
        <w:tc>
          <w:tcPr>
            <w:tcW w:w="6898" w:type="dxa"/>
          </w:tcPr>
          <w:p w14:paraId="5C5DD47D" w14:textId="77777777" w:rsidR="00C838D1" w:rsidRPr="0018353E" w:rsidRDefault="00C838D1" w:rsidP="006C4BFC">
            <w:pPr>
              <w:rPr>
                <w:rFonts w:cstheme="minorHAnsi"/>
              </w:rPr>
            </w:pPr>
            <w:r w:rsidRPr="0018353E">
              <w:rPr>
                <w:rFonts w:cstheme="minorHAnsi"/>
              </w:rPr>
              <w:t>Health and Safety Executive</w:t>
            </w:r>
          </w:p>
        </w:tc>
      </w:tr>
      <w:tr w:rsidR="0018353E" w:rsidRPr="0018353E" w14:paraId="36E81E2A" w14:textId="77777777" w:rsidTr="0030283C">
        <w:tc>
          <w:tcPr>
            <w:tcW w:w="1254" w:type="dxa"/>
          </w:tcPr>
          <w:p w14:paraId="716DBE17" w14:textId="4854C4C4" w:rsidR="0018353E" w:rsidRPr="0018353E" w:rsidRDefault="0018353E" w:rsidP="006C4BFC">
            <w:pPr>
              <w:rPr>
                <w:rFonts w:cstheme="minorHAnsi"/>
              </w:rPr>
            </w:pPr>
            <w:r w:rsidRPr="0018353E">
              <w:rPr>
                <w:rFonts w:cstheme="minorHAnsi"/>
              </w:rPr>
              <w:t>HSL</w:t>
            </w:r>
          </w:p>
        </w:tc>
        <w:tc>
          <w:tcPr>
            <w:tcW w:w="6898" w:type="dxa"/>
          </w:tcPr>
          <w:p w14:paraId="1A2274D0" w14:textId="6020FBF3" w:rsidR="0018353E" w:rsidRPr="0018353E" w:rsidRDefault="0018353E" w:rsidP="006C4BFC">
            <w:pPr>
              <w:rPr>
                <w:rFonts w:cstheme="minorHAnsi"/>
              </w:rPr>
            </w:pPr>
            <w:r w:rsidRPr="0018353E">
              <w:rPr>
                <w:rFonts w:cstheme="minorHAnsi"/>
              </w:rPr>
              <w:t>Health &amp; Safety Laboratory</w:t>
            </w:r>
          </w:p>
        </w:tc>
      </w:tr>
      <w:tr w:rsidR="00C838D1" w:rsidRPr="0018353E" w14:paraId="2A7A30F3" w14:textId="77777777" w:rsidTr="0030283C">
        <w:tc>
          <w:tcPr>
            <w:tcW w:w="1254" w:type="dxa"/>
          </w:tcPr>
          <w:p w14:paraId="1D419966" w14:textId="77777777" w:rsidR="00C838D1" w:rsidRPr="0018353E" w:rsidRDefault="00C838D1" w:rsidP="006C4BFC">
            <w:pPr>
              <w:rPr>
                <w:rFonts w:cstheme="minorHAnsi"/>
              </w:rPr>
            </w:pPr>
            <w:r w:rsidRPr="0018353E">
              <w:rPr>
                <w:rFonts w:cstheme="minorHAnsi"/>
              </w:rPr>
              <w:t>IGEM</w:t>
            </w:r>
          </w:p>
        </w:tc>
        <w:tc>
          <w:tcPr>
            <w:tcW w:w="6898" w:type="dxa"/>
          </w:tcPr>
          <w:p w14:paraId="78A69A4B" w14:textId="77777777" w:rsidR="00C838D1" w:rsidRPr="0018353E" w:rsidRDefault="00C838D1" w:rsidP="006C4BFC">
            <w:pPr>
              <w:rPr>
                <w:rFonts w:cstheme="minorHAnsi"/>
              </w:rPr>
            </w:pPr>
            <w:r w:rsidRPr="0018353E">
              <w:rPr>
                <w:rFonts w:cstheme="minorHAnsi"/>
              </w:rPr>
              <w:t xml:space="preserve">Institution of Gas Engineers &amp; Managers </w:t>
            </w:r>
          </w:p>
        </w:tc>
      </w:tr>
      <w:tr w:rsidR="0030283C" w:rsidRPr="0018353E" w14:paraId="63D4E9AF" w14:textId="77777777" w:rsidTr="0030283C">
        <w:tc>
          <w:tcPr>
            <w:tcW w:w="1254" w:type="dxa"/>
          </w:tcPr>
          <w:p w14:paraId="2D4E2814" w14:textId="480D7D4A" w:rsidR="0030283C" w:rsidRPr="0018353E" w:rsidRDefault="0030283C" w:rsidP="006C4BFC">
            <w:pPr>
              <w:rPr>
                <w:rFonts w:cstheme="minorHAnsi"/>
              </w:rPr>
            </w:pPr>
            <w:r>
              <w:t>IPFRLUP</w:t>
            </w:r>
          </w:p>
        </w:tc>
        <w:tc>
          <w:tcPr>
            <w:tcW w:w="6898" w:type="dxa"/>
          </w:tcPr>
          <w:p w14:paraId="2A6445C2" w14:textId="3BAF8BEA" w:rsidR="0030283C" w:rsidRPr="0018353E" w:rsidRDefault="0030283C" w:rsidP="006C4BFC">
            <w:pPr>
              <w:rPr>
                <w:rFonts w:cstheme="minorHAnsi"/>
              </w:rPr>
            </w:pPr>
            <w:r>
              <w:t>Implementation Project for the Fundamental Review of Land Use Planning</w:t>
            </w:r>
          </w:p>
        </w:tc>
      </w:tr>
      <w:tr w:rsidR="0018353E" w:rsidRPr="0018353E" w14:paraId="1DEC960E" w14:textId="77777777" w:rsidTr="0030283C">
        <w:tc>
          <w:tcPr>
            <w:tcW w:w="1254" w:type="dxa"/>
          </w:tcPr>
          <w:p w14:paraId="40F0DB03" w14:textId="454423F1" w:rsidR="0018353E" w:rsidRPr="0018353E" w:rsidRDefault="0018353E" w:rsidP="006C4BFC">
            <w:pPr>
              <w:rPr>
                <w:rFonts w:cstheme="minorHAnsi"/>
              </w:rPr>
            </w:pPr>
            <w:r w:rsidRPr="0018353E">
              <w:rPr>
                <w:rFonts w:cstheme="minorHAnsi"/>
              </w:rPr>
              <w:t>LPG</w:t>
            </w:r>
          </w:p>
        </w:tc>
        <w:tc>
          <w:tcPr>
            <w:tcW w:w="6898" w:type="dxa"/>
          </w:tcPr>
          <w:p w14:paraId="730EE824" w14:textId="2B8A77B3" w:rsidR="0018353E" w:rsidRPr="0018353E" w:rsidRDefault="0018353E" w:rsidP="006C4BFC">
            <w:pPr>
              <w:rPr>
                <w:rFonts w:cstheme="minorHAnsi"/>
              </w:rPr>
            </w:pPr>
            <w:r w:rsidRPr="0018353E">
              <w:rPr>
                <w:rFonts w:cstheme="minorHAnsi"/>
              </w:rPr>
              <w:t>Liquid Petroleum Gas</w:t>
            </w:r>
          </w:p>
        </w:tc>
      </w:tr>
      <w:tr w:rsidR="00C838D1" w:rsidRPr="0018353E" w14:paraId="1634DFC7" w14:textId="77777777" w:rsidTr="0030283C">
        <w:tc>
          <w:tcPr>
            <w:tcW w:w="1254" w:type="dxa"/>
          </w:tcPr>
          <w:p w14:paraId="3EDD512F" w14:textId="02968BC5" w:rsidR="00C838D1" w:rsidRPr="0018353E" w:rsidRDefault="00C838D1" w:rsidP="006C4BFC">
            <w:pPr>
              <w:rPr>
                <w:rFonts w:cstheme="minorHAnsi"/>
              </w:rPr>
            </w:pPr>
            <w:r w:rsidRPr="0018353E">
              <w:rPr>
                <w:rFonts w:cstheme="minorHAnsi"/>
              </w:rPr>
              <w:t>LUP</w:t>
            </w:r>
          </w:p>
        </w:tc>
        <w:tc>
          <w:tcPr>
            <w:tcW w:w="6898" w:type="dxa"/>
          </w:tcPr>
          <w:p w14:paraId="4B805B21" w14:textId="0BD85847" w:rsidR="00C838D1" w:rsidRPr="0018353E" w:rsidRDefault="00C838D1" w:rsidP="006C4BFC">
            <w:pPr>
              <w:rPr>
                <w:rFonts w:cstheme="minorHAnsi"/>
              </w:rPr>
            </w:pPr>
            <w:r w:rsidRPr="0018353E">
              <w:rPr>
                <w:rFonts w:cstheme="minorHAnsi"/>
              </w:rPr>
              <w:t>Land Use Planning</w:t>
            </w:r>
          </w:p>
        </w:tc>
      </w:tr>
      <w:tr w:rsidR="00C838D1" w:rsidRPr="0018353E" w14:paraId="4FA7AECB" w14:textId="77777777" w:rsidTr="0030283C">
        <w:tc>
          <w:tcPr>
            <w:tcW w:w="1254" w:type="dxa"/>
          </w:tcPr>
          <w:p w14:paraId="2CB49DF0" w14:textId="77777777" w:rsidR="00C838D1" w:rsidRPr="0018353E" w:rsidRDefault="00C838D1" w:rsidP="006C4BFC">
            <w:pPr>
              <w:rPr>
                <w:rFonts w:cstheme="minorHAnsi"/>
              </w:rPr>
            </w:pPr>
            <w:r w:rsidRPr="0018353E">
              <w:rPr>
                <w:rFonts w:cstheme="minorHAnsi"/>
              </w:rPr>
              <w:t>MAHP</w:t>
            </w:r>
          </w:p>
        </w:tc>
        <w:tc>
          <w:tcPr>
            <w:tcW w:w="6898" w:type="dxa"/>
          </w:tcPr>
          <w:p w14:paraId="281BDADA" w14:textId="77777777" w:rsidR="00C838D1" w:rsidRPr="0018353E" w:rsidRDefault="00C838D1" w:rsidP="006C4BFC">
            <w:pPr>
              <w:rPr>
                <w:rFonts w:cstheme="minorHAnsi"/>
              </w:rPr>
            </w:pPr>
            <w:r w:rsidRPr="0018353E">
              <w:rPr>
                <w:rFonts w:cstheme="minorHAnsi"/>
              </w:rPr>
              <w:t>Major Accident Hazard Pipeline</w:t>
            </w:r>
          </w:p>
        </w:tc>
      </w:tr>
      <w:tr w:rsidR="00C838D1" w:rsidRPr="0018353E" w14:paraId="1BF9F757" w14:textId="77777777" w:rsidTr="0030283C">
        <w:tc>
          <w:tcPr>
            <w:tcW w:w="1254" w:type="dxa"/>
          </w:tcPr>
          <w:p w14:paraId="076BB155" w14:textId="77777777" w:rsidR="00C838D1" w:rsidRPr="0018353E" w:rsidRDefault="00C838D1" w:rsidP="006C4BFC">
            <w:pPr>
              <w:rPr>
                <w:rFonts w:cstheme="minorHAnsi"/>
              </w:rPr>
            </w:pPr>
            <w:r w:rsidRPr="0018353E">
              <w:rPr>
                <w:rFonts w:cstheme="minorHAnsi"/>
              </w:rPr>
              <w:t>MDOB</w:t>
            </w:r>
          </w:p>
        </w:tc>
        <w:tc>
          <w:tcPr>
            <w:tcW w:w="6898" w:type="dxa"/>
          </w:tcPr>
          <w:p w14:paraId="497EAE85" w14:textId="77777777" w:rsidR="00C838D1" w:rsidRPr="0018353E" w:rsidRDefault="00C838D1" w:rsidP="006C4BFC">
            <w:pPr>
              <w:rPr>
                <w:rFonts w:cstheme="minorHAnsi"/>
              </w:rPr>
            </w:pPr>
            <w:r w:rsidRPr="0018353E">
              <w:rPr>
                <w:rFonts w:cstheme="minorHAnsi"/>
              </w:rPr>
              <w:t>Maximum Distance to Occupied Buildings</w:t>
            </w:r>
          </w:p>
        </w:tc>
      </w:tr>
      <w:tr w:rsidR="007F29C4" w:rsidRPr="0018353E" w14:paraId="27571782" w14:textId="77777777" w:rsidTr="0030283C">
        <w:tc>
          <w:tcPr>
            <w:tcW w:w="1254" w:type="dxa"/>
          </w:tcPr>
          <w:p w14:paraId="1E82DDAC" w14:textId="4A947CFE" w:rsidR="007F29C4" w:rsidRPr="0018353E" w:rsidRDefault="007F29C4" w:rsidP="006C4BFC">
            <w:pPr>
              <w:rPr>
                <w:rFonts w:cstheme="minorHAnsi"/>
              </w:rPr>
            </w:pPr>
            <w:r>
              <w:rPr>
                <w:rFonts w:cstheme="minorHAnsi"/>
              </w:rPr>
              <w:t>MHI</w:t>
            </w:r>
          </w:p>
        </w:tc>
        <w:tc>
          <w:tcPr>
            <w:tcW w:w="6898" w:type="dxa"/>
          </w:tcPr>
          <w:p w14:paraId="1D7EDFA9" w14:textId="2D58B0CC" w:rsidR="007F29C4" w:rsidRPr="0018353E" w:rsidRDefault="007F29C4" w:rsidP="006C4BFC">
            <w:pPr>
              <w:rPr>
                <w:rFonts w:cstheme="minorHAnsi"/>
              </w:rPr>
            </w:pPr>
            <w:r>
              <w:rPr>
                <w:rFonts w:cstheme="minorHAnsi"/>
              </w:rPr>
              <w:t>Major Hazard Installation</w:t>
            </w:r>
          </w:p>
        </w:tc>
      </w:tr>
      <w:tr w:rsidR="00796837" w:rsidRPr="0018353E" w14:paraId="4845074B" w14:textId="77777777" w:rsidTr="0030283C">
        <w:tc>
          <w:tcPr>
            <w:tcW w:w="1254" w:type="dxa"/>
          </w:tcPr>
          <w:p w14:paraId="51B7CA80" w14:textId="3D7E5B59" w:rsidR="00796837" w:rsidRDefault="00796837" w:rsidP="006C4BFC">
            <w:pPr>
              <w:rPr>
                <w:rFonts w:cstheme="minorHAnsi"/>
              </w:rPr>
            </w:pPr>
            <w:r>
              <w:rPr>
                <w:rFonts w:cstheme="minorHAnsi"/>
              </w:rPr>
              <w:t>MSDU</w:t>
            </w:r>
          </w:p>
        </w:tc>
        <w:tc>
          <w:tcPr>
            <w:tcW w:w="6898" w:type="dxa"/>
          </w:tcPr>
          <w:p w14:paraId="12E07714" w14:textId="41602B45" w:rsidR="00796837" w:rsidRDefault="00796837" w:rsidP="006C4BFC">
            <w:pPr>
              <w:rPr>
                <w:rFonts w:cstheme="minorHAnsi"/>
              </w:rPr>
            </w:pPr>
            <w:r>
              <w:t>Methodology and Systems Development Unit</w:t>
            </w:r>
          </w:p>
        </w:tc>
      </w:tr>
      <w:tr w:rsidR="0018353E" w:rsidRPr="0018353E" w14:paraId="0761993B" w14:textId="77777777" w:rsidTr="0030283C">
        <w:tc>
          <w:tcPr>
            <w:tcW w:w="1254" w:type="dxa"/>
          </w:tcPr>
          <w:p w14:paraId="00F8609A" w14:textId="60CB31C6" w:rsidR="0018353E" w:rsidRPr="0018353E" w:rsidRDefault="0018353E" w:rsidP="006C4BFC">
            <w:pPr>
              <w:rPr>
                <w:rFonts w:cstheme="minorHAnsi"/>
              </w:rPr>
            </w:pPr>
            <w:r w:rsidRPr="0018353E">
              <w:rPr>
                <w:rFonts w:cstheme="minorHAnsi"/>
              </w:rPr>
              <w:lastRenderedPageBreak/>
              <w:t>NGL</w:t>
            </w:r>
          </w:p>
        </w:tc>
        <w:tc>
          <w:tcPr>
            <w:tcW w:w="6898" w:type="dxa"/>
          </w:tcPr>
          <w:p w14:paraId="539E9FB4" w14:textId="693B2D01" w:rsidR="0018353E" w:rsidRPr="0018353E" w:rsidRDefault="0018353E" w:rsidP="006C4BFC">
            <w:pPr>
              <w:rPr>
                <w:rFonts w:cstheme="minorHAnsi"/>
              </w:rPr>
            </w:pPr>
            <w:r w:rsidRPr="0018353E">
              <w:rPr>
                <w:rFonts w:cstheme="minorHAnsi"/>
              </w:rPr>
              <w:t>Natural Gas Liquids</w:t>
            </w:r>
          </w:p>
        </w:tc>
      </w:tr>
      <w:tr w:rsidR="0030283C" w:rsidRPr="0018353E" w14:paraId="1AA3A608" w14:textId="77777777" w:rsidTr="0030283C">
        <w:tc>
          <w:tcPr>
            <w:tcW w:w="1254" w:type="dxa"/>
          </w:tcPr>
          <w:p w14:paraId="79DD74F6" w14:textId="2BE7CE7C" w:rsidR="0030283C" w:rsidRPr="0018353E" w:rsidRDefault="0030283C" w:rsidP="006C4BFC">
            <w:pPr>
              <w:rPr>
                <w:rFonts w:cstheme="minorHAnsi"/>
              </w:rPr>
            </w:pPr>
            <w:r>
              <w:rPr>
                <w:rFonts w:cstheme="minorHAnsi"/>
              </w:rPr>
              <w:t>PADHI</w:t>
            </w:r>
          </w:p>
        </w:tc>
        <w:tc>
          <w:tcPr>
            <w:tcW w:w="6898" w:type="dxa"/>
          </w:tcPr>
          <w:p w14:paraId="3FDCF4AF" w14:textId="64BB4E14" w:rsidR="0030283C" w:rsidRPr="0018353E" w:rsidRDefault="0030283C" w:rsidP="006C4BFC">
            <w:pPr>
              <w:rPr>
                <w:rFonts w:cstheme="minorHAnsi"/>
              </w:rPr>
            </w:pPr>
            <w:r>
              <w:rPr>
                <w:rFonts w:cstheme="minorHAnsi"/>
              </w:rPr>
              <w:t>Planning Advice for Development near Hazardous Installations</w:t>
            </w:r>
          </w:p>
        </w:tc>
      </w:tr>
      <w:tr w:rsidR="00C838D1" w:rsidRPr="0018353E" w14:paraId="5F75EFEE" w14:textId="77777777" w:rsidTr="0030283C">
        <w:tc>
          <w:tcPr>
            <w:tcW w:w="1254" w:type="dxa"/>
          </w:tcPr>
          <w:p w14:paraId="5F9281F8" w14:textId="77777777" w:rsidR="00C838D1" w:rsidRPr="0018353E" w:rsidRDefault="00C838D1" w:rsidP="006C4BFC">
            <w:pPr>
              <w:rPr>
                <w:rFonts w:cstheme="minorHAnsi"/>
              </w:rPr>
            </w:pPr>
            <w:r w:rsidRPr="0018353E">
              <w:rPr>
                <w:rFonts w:cstheme="minorHAnsi"/>
              </w:rPr>
              <w:t>PD</w:t>
            </w:r>
          </w:p>
        </w:tc>
        <w:tc>
          <w:tcPr>
            <w:tcW w:w="6898" w:type="dxa"/>
          </w:tcPr>
          <w:p w14:paraId="1290FE3C" w14:textId="77777777" w:rsidR="00C838D1" w:rsidRPr="0018353E" w:rsidRDefault="00C838D1" w:rsidP="006C4BFC">
            <w:pPr>
              <w:rPr>
                <w:rFonts w:cstheme="minorHAnsi"/>
              </w:rPr>
            </w:pPr>
            <w:r w:rsidRPr="0018353E">
              <w:rPr>
                <w:rFonts w:cstheme="minorHAnsi"/>
              </w:rPr>
              <w:t>Published Document</w:t>
            </w:r>
          </w:p>
        </w:tc>
      </w:tr>
      <w:tr w:rsidR="007F29C4" w:rsidRPr="0018353E" w14:paraId="6AB597FD" w14:textId="77777777" w:rsidTr="0030283C">
        <w:tc>
          <w:tcPr>
            <w:tcW w:w="1254" w:type="dxa"/>
          </w:tcPr>
          <w:p w14:paraId="66C61E20" w14:textId="76DA3B42" w:rsidR="007F29C4" w:rsidRPr="0018353E" w:rsidRDefault="007F29C4" w:rsidP="006C4BFC">
            <w:pPr>
              <w:rPr>
                <w:rFonts w:cstheme="minorHAnsi"/>
              </w:rPr>
            </w:pPr>
            <w:r>
              <w:rPr>
                <w:rFonts w:cstheme="minorHAnsi"/>
              </w:rPr>
              <w:t>PSR</w:t>
            </w:r>
          </w:p>
        </w:tc>
        <w:tc>
          <w:tcPr>
            <w:tcW w:w="6898" w:type="dxa"/>
          </w:tcPr>
          <w:p w14:paraId="597EA610" w14:textId="40D9ECBE" w:rsidR="007F29C4" w:rsidRPr="0018353E" w:rsidRDefault="007F29C4" w:rsidP="006C4BFC">
            <w:pPr>
              <w:rPr>
                <w:rFonts w:cstheme="minorHAnsi"/>
              </w:rPr>
            </w:pPr>
            <w:r>
              <w:rPr>
                <w:rFonts w:cstheme="minorHAnsi"/>
              </w:rPr>
              <w:t>Pipelines Safety Regulations</w:t>
            </w:r>
          </w:p>
        </w:tc>
      </w:tr>
      <w:tr w:rsidR="00C838D1" w:rsidRPr="0018353E" w14:paraId="30250C19" w14:textId="77777777" w:rsidTr="0030283C">
        <w:tc>
          <w:tcPr>
            <w:tcW w:w="1254" w:type="dxa"/>
          </w:tcPr>
          <w:p w14:paraId="4A8256C6" w14:textId="77777777" w:rsidR="00C838D1" w:rsidRPr="0018353E" w:rsidRDefault="00C838D1" w:rsidP="006C4BFC">
            <w:pPr>
              <w:rPr>
                <w:rFonts w:cstheme="minorHAnsi"/>
              </w:rPr>
            </w:pPr>
            <w:r w:rsidRPr="0018353E">
              <w:rPr>
                <w:rFonts w:cstheme="minorHAnsi"/>
              </w:rPr>
              <w:t>SMYS</w:t>
            </w:r>
          </w:p>
        </w:tc>
        <w:tc>
          <w:tcPr>
            <w:tcW w:w="6898" w:type="dxa"/>
          </w:tcPr>
          <w:p w14:paraId="0547D78E" w14:textId="77777777" w:rsidR="00C838D1" w:rsidRPr="0018353E" w:rsidRDefault="00C838D1" w:rsidP="006C4BFC">
            <w:pPr>
              <w:rPr>
                <w:rFonts w:cstheme="minorHAnsi"/>
              </w:rPr>
            </w:pPr>
            <w:r w:rsidRPr="0018353E">
              <w:rPr>
                <w:rFonts w:cstheme="minorHAnsi"/>
              </w:rPr>
              <w:t>Specified Minimum Yield Strength</w:t>
            </w:r>
          </w:p>
        </w:tc>
      </w:tr>
      <w:tr w:rsidR="0030283C" w:rsidRPr="0018353E" w14:paraId="15209FF3" w14:textId="77777777" w:rsidTr="0030283C">
        <w:tc>
          <w:tcPr>
            <w:tcW w:w="1254" w:type="dxa"/>
          </w:tcPr>
          <w:p w14:paraId="5CEB718C" w14:textId="51344731" w:rsidR="0030283C" w:rsidRPr="0018353E" w:rsidRDefault="0030283C" w:rsidP="006C4BFC">
            <w:pPr>
              <w:rPr>
                <w:rFonts w:cstheme="minorHAnsi"/>
              </w:rPr>
            </w:pPr>
            <w:r>
              <w:rPr>
                <w:rFonts w:cstheme="minorHAnsi"/>
              </w:rPr>
              <w:t>SORM</w:t>
            </w:r>
          </w:p>
        </w:tc>
        <w:tc>
          <w:tcPr>
            <w:tcW w:w="6898" w:type="dxa"/>
          </w:tcPr>
          <w:p w14:paraId="4F6FF541" w14:textId="6FBE84D5" w:rsidR="0030283C" w:rsidRPr="0018353E" w:rsidRDefault="0030283C" w:rsidP="006C4BFC">
            <w:pPr>
              <w:rPr>
                <w:rFonts w:cstheme="minorHAnsi"/>
              </w:rPr>
            </w:pPr>
            <w:r>
              <w:rPr>
                <w:rFonts w:cstheme="minorHAnsi"/>
              </w:rPr>
              <w:t>Second Order Reliability Method</w:t>
            </w:r>
          </w:p>
        </w:tc>
      </w:tr>
      <w:tr w:rsidR="006C4BFC" w:rsidRPr="0018353E" w14:paraId="4126A67F" w14:textId="77777777" w:rsidTr="0030283C">
        <w:tc>
          <w:tcPr>
            <w:tcW w:w="1254" w:type="dxa"/>
          </w:tcPr>
          <w:p w14:paraId="47A0C3C8" w14:textId="3D51D47A" w:rsidR="006C4BFC" w:rsidRPr="0018353E" w:rsidRDefault="006C4BFC" w:rsidP="006C4BFC">
            <w:pPr>
              <w:rPr>
                <w:rFonts w:cstheme="minorHAnsi"/>
              </w:rPr>
            </w:pPr>
            <w:r>
              <w:rPr>
                <w:rFonts w:cstheme="minorHAnsi"/>
              </w:rPr>
              <w:t>TBN</w:t>
            </w:r>
          </w:p>
        </w:tc>
        <w:tc>
          <w:tcPr>
            <w:tcW w:w="6898" w:type="dxa"/>
          </w:tcPr>
          <w:p w14:paraId="7D83B794" w14:textId="03B01364" w:rsidR="006C4BFC" w:rsidRPr="0018353E" w:rsidRDefault="006C4BFC" w:rsidP="006C4BFC">
            <w:pPr>
              <w:rPr>
                <w:rFonts w:cstheme="minorHAnsi"/>
              </w:rPr>
            </w:pPr>
            <w:r>
              <w:rPr>
                <w:rFonts w:cstheme="minorHAnsi"/>
              </w:rPr>
              <w:t>Technical Briefing Note</w:t>
            </w:r>
          </w:p>
        </w:tc>
      </w:tr>
      <w:tr w:rsidR="00C838D1" w:rsidRPr="0018353E" w14:paraId="78AD7EF1" w14:textId="77777777" w:rsidTr="0030283C">
        <w:tc>
          <w:tcPr>
            <w:tcW w:w="1254" w:type="dxa"/>
          </w:tcPr>
          <w:p w14:paraId="184DE6B0" w14:textId="77777777" w:rsidR="00C838D1" w:rsidRPr="0018353E" w:rsidRDefault="00C838D1" w:rsidP="006C4BFC">
            <w:pPr>
              <w:rPr>
                <w:rFonts w:cstheme="minorHAnsi"/>
              </w:rPr>
            </w:pPr>
            <w:r w:rsidRPr="0018353E">
              <w:rPr>
                <w:rFonts w:cstheme="minorHAnsi"/>
              </w:rPr>
              <w:t>UKOPA</w:t>
            </w:r>
          </w:p>
        </w:tc>
        <w:tc>
          <w:tcPr>
            <w:tcW w:w="6898" w:type="dxa"/>
          </w:tcPr>
          <w:p w14:paraId="7F97ABF9" w14:textId="77777777" w:rsidR="00C838D1" w:rsidRPr="0018353E" w:rsidRDefault="00C838D1" w:rsidP="006C4BFC">
            <w:pPr>
              <w:rPr>
                <w:rFonts w:cstheme="minorHAnsi"/>
              </w:rPr>
            </w:pPr>
            <w:r w:rsidRPr="0018353E">
              <w:rPr>
                <w:rFonts w:cstheme="minorHAnsi"/>
              </w:rPr>
              <w:t xml:space="preserve">United Kingdom Onshore Pipeline Operators’ Association </w:t>
            </w:r>
          </w:p>
        </w:tc>
      </w:tr>
      <w:tr w:rsidR="0030283C" w:rsidRPr="0018353E" w14:paraId="145047A6" w14:textId="77777777" w:rsidTr="0030283C">
        <w:tc>
          <w:tcPr>
            <w:tcW w:w="1254" w:type="dxa"/>
          </w:tcPr>
          <w:p w14:paraId="74370096" w14:textId="7E7BB36A" w:rsidR="0030283C" w:rsidRPr="0018353E" w:rsidRDefault="0030283C" w:rsidP="006C4BFC">
            <w:pPr>
              <w:rPr>
                <w:rFonts w:cstheme="minorHAnsi"/>
              </w:rPr>
            </w:pPr>
            <w:r>
              <w:rPr>
                <w:rFonts w:cstheme="minorHAnsi"/>
              </w:rPr>
              <w:t>UKPIA</w:t>
            </w:r>
          </w:p>
        </w:tc>
        <w:tc>
          <w:tcPr>
            <w:tcW w:w="6898" w:type="dxa"/>
          </w:tcPr>
          <w:p w14:paraId="7D1E73E0" w14:textId="2C0F4122" w:rsidR="0030283C" w:rsidRPr="0018353E" w:rsidRDefault="0030283C" w:rsidP="006C4BFC">
            <w:pPr>
              <w:rPr>
                <w:rFonts w:cstheme="minorHAnsi"/>
              </w:rPr>
            </w:pPr>
            <w:r>
              <w:rPr>
                <w:rFonts w:cstheme="minorHAnsi"/>
              </w:rPr>
              <w:t xml:space="preserve">United Kingdom </w:t>
            </w:r>
            <w:r w:rsidR="00395DB9">
              <w:rPr>
                <w:rFonts w:cstheme="minorHAnsi"/>
              </w:rPr>
              <w:t>Petroleum Industry Association</w:t>
            </w:r>
          </w:p>
        </w:tc>
      </w:tr>
      <w:tr w:rsidR="0030283C" w:rsidRPr="0018353E" w14:paraId="32093B5B" w14:textId="77777777" w:rsidTr="0030283C">
        <w:tc>
          <w:tcPr>
            <w:tcW w:w="1254" w:type="dxa"/>
          </w:tcPr>
          <w:p w14:paraId="5CE36C6C" w14:textId="0BD1747F" w:rsidR="0030283C" w:rsidRPr="0018353E" w:rsidRDefault="0030283C" w:rsidP="006C4BFC">
            <w:pPr>
              <w:rPr>
                <w:rFonts w:cstheme="minorHAnsi"/>
              </w:rPr>
            </w:pPr>
            <w:r>
              <w:rPr>
                <w:rFonts w:cstheme="minorHAnsi"/>
              </w:rPr>
              <w:t>WGP</w:t>
            </w:r>
          </w:p>
        </w:tc>
        <w:tc>
          <w:tcPr>
            <w:tcW w:w="6898" w:type="dxa"/>
          </w:tcPr>
          <w:p w14:paraId="1BC36513" w14:textId="0BE7A64E" w:rsidR="0030283C" w:rsidRPr="0018353E" w:rsidRDefault="0030283C" w:rsidP="006C4BFC">
            <w:pPr>
              <w:rPr>
                <w:rFonts w:cstheme="minorHAnsi"/>
              </w:rPr>
            </w:pPr>
            <w:r>
              <w:rPr>
                <w:rFonts w:cstheme="minorHAnsi"/>
              </w:rPr>
              <w:t>Working Group on Pipelines</w:t>
            </w:r>
          </w:p>
        </w:tc>
      </w:tr>
    </w:tbl>
    <w:p w14:paraId="3A356E7A" w14:textId="77777777" w:rsidR="00C838D1" w:rsidRPr="00C838D1" w:rsidRDefault="00C838D1" w:rsidP="00C838D1">
      <w:pPr>
        <w:pStyle w:val="BodyText"/>
      </w:pPr>
    </w:p>
    <w:p w14:paraId="05BAD6F3" w14:textId="4709E293" w:rsidR="002E08CE" w:rsidRDefault="00070EDB" w:rsidP="002E08CE">
      <w:pPr>
        <w:pStyle w:val="Heading1"/>
      </w:pPr>
      <w:bookmarkStart w:id="4" w:name="_Toc534624835"/>
      <w:r>
        <w:lastRenderedPageBreak/>
        <w:t xml:space="preserve">Background to </w:t>
      </w:r>
      <w:r w:rsidR="007F29C4">
        <w:t>L</w:t>
      </w:r>
      <w:r w:rsidR="00107E9E">
        <w:t>and Use Planning Near Pipelines</w:t>
      </w:r>
      <w:bookmarkEnd w:id="4"/>
    </w:p>
    <w:p w14:paraId="7D7FC391" w14:textId="59028B80" w:rsidR="00107E9E" w:rsidRDefault="00107E9E" w:rsidP="00137D4F">
      <w:pPr>
        <w:pStyle w:val="BodyText"/>
      </w:pPr>
      <w:r>
        <w:t xml:space="preserve">Land Use Planning (LUP) describes the process of applying zones to Major Hazard Installations (MHI), including pipelines, inside which there are restrictions on planning. The purpose of the zones is to limit (or reduce) the number of people who might be affected by a major accident at the MHI. </w:t>
      </w:r>
    </w:p>
    <w:p w14:paraId="31A0C33F" w14:textId="31236ECD" w:rsidR="002E08CE" w:rsidRDefault="0030168C" w:rsidP="002E08CE">
      <w:pPr>
        <w:pStyle w:val="Heading2"/>
      </w:pPr>
      <w:bookmarkStart w:id="5" w:name="_Toc534624836"/>
      <w:r>
        <w:t xml:space="preserve">The Reasons for </w:t>
      </w:r>
      <w:r w:rsidR="006824E2">
        <w:t>Land Use Planning</w:t>
      </w:r>
      <w:bookmarkEnd w:id="5"/>
      <w:r w:rsidR="002E08CE" w:rsidRPr="00273DB5">
        <w:t xml:space="preserve"> </w:t>
      </w:r>
    </w:p>
    <w:p w14:paraId="46A5DCCA" w14:textId="7B9FAED2" w:rsidR="003B367A" w:rsidRDefault="0030168C" w:rsidP="00137D4F">
      <w:pPr>
        <w:pStyle w:val="BodyText"/>
      </w:pPr>
      <w:r>
        <w:t xml:space="preserve">The </w:t>
      </w:r>
      <w:proofErr w:type="spellStart"/>
      <w:r>
        <w:t>Flixborough</w:t>
      </w:r>
      <w:proofErr w:type="spellEnd"/>
      <w:r>
        <w:t xml:space="preserve"> disaster, which occurred </w:t>
      </w:r>
      <w:r w:rsidR="00C838D1">
        <w:t>on Saturday 1</w:t>
      </w:r>
      <w:r w:rsidR="00C838D1" w:rsidRPr="00C838D1">
        <w:rPr>
          <w:vertAlign w:val="superscript"/>
        </w:rPr>
        <w:t>st</w:t>
      </w:r>
      <w:r>
        <w:t xml:space="preserve"> June 1974</w:t>
      </w:r>
      <w:r w:rsidR="00305E7B">
        <w:t xml:space="preserve"> and killed 28 site workers, also </w:t>
      </w:r>
      <w:r>
        <w:t xml:space="preserve">caused damage to </w:t>
      </w:r>
      <w:proofErr w:type="gramStart"/>
      <w:r>
        <w:t>houses</w:t>
      </w:r>
      <w:proofErr w:type="gramEnd"/>
      <w:r>
        <w:t xml:space="preserve"> </w:t>
      </w:r>
      <w:r w:rsidR="003B367A">
        <w:t xml:space="preserve">up to 3 miles from </w:t>
      </w:r>
      <w:r>
        <w:t>the site, and resulted in the setting up of the Advisory Committee on Major Hazards (ACMH).</w:t>
      </w:r>
      <w:r w:rsidR="00FB3531">
        <w:t xml:space="preserve"> </w:t>
      </w:r>
      <w:r>
        <w:t>They produced 3 reports over the subsequent years</w:t>
      </w:r>
      <w:sdt>
        <w:sdtPr>
          <w:id w:val="-1850779643"/>
          <w:citation/>
        </w:sdtPr>
        <w:sdtEndPr/>
        <w:sdtContent>
          <w:r w:rsidR="00CF7B91">
            <w:fldChar w:fldCharType="begin"/>
          </w:r>
          <w:r w:rsidR="00CF7B91">
            <w:instrText xml:space="preserve">CITATION ACMH1 \l 2057 </w:instrText>
          </w:r>
          <w:r w:rsidR="00CF7B91">
            <w:fldChar w:fldCharType="separate"/>
          </w:r>
          <w:r w:rsidR="00C8658D">
            <w:rPr>
              <w:noProof/>
            </w:rPr>
            <w:t xml:space="preserve"> [2]</w:t>
          </w:r>
          <w:r w:rsidR="00CF7B91">
            <w:fldChar w:fldCharType="end"/>
          </w:r>
        </w:sdtContent>
      </w:sdt>
      <w:r w:rsidR="00CF7B91">
        <w:t>,</w:t>
      </w:r>
      <w:sdt>
        <w:sdtPr>
          <w:id w:val="528067456"/>
          <w:citation/>
        </w:sdtPr>
        <w:sdtEndPr/>
        <w:sdtContent>
          <w:r w:rsidR="00CF7B91">
            <w:fldChar w:fldCharType="begin"/>
          </w:r>
          <w:r w:rsidR="00CF7B91">
            <w:instrText xml:space="preserve">CITATION ACMH2 \l 2057 </w:instrText>
          </w:r>
          <w:r w:rsidR="00CF7B91">
            <w:fldChar w:fldCharType="separate"/>
          </w:r>
          <w:r w:rsidR="00C8658D">
            <w:rPr>
              <w:noProof/>
            </w:rPr>
            <w:t xml:space="preserve"> [3]</w:t>
          </w:r>
          <w:r w:rsidR="00CF7B91">
            <w:fldChar w:fldCharType="end"/>
          </w:r>
        </w:sdtContent>
      </w:sdt>
      <w:r w:rsidR="00CF7B91">
        <w:t>,</w:t>
      </w:r>
      <w:sdt>
        <w:sdtPr>
          <w:id w:val="-158545197"/>
          <w:citation/>
        </w:sdtPr>
        <w:sdtEndPr/>
        <w:sdtContent>
          <w:r w:rsidR="00CF7B91">
            <w:fldChar w:fldCharType="begin"/>
          </w:r>
          <w:r w:rsidR="00CF7B91">
            <w:instrText xml:space="preserve"> CITATION ACMH3 \l 2057 </w:instrText>
          </w:r>
          <w:r w:rsidR="00CF7B91">
            <w:fldChar w:fldCharType="separate"/>
          </w:r>
          <w:r w:rsidR="00C8658D">
            <w:rPr>
              <w:noProof/>
            </w:rPr>
            <w:t xml:space="preserve"> [4]</w:t>
          </w:r>
          <w:r w:rsidR="00CF7B91">
            <w:fldChar w:fldCharType="end"/>
          </w:r>
        </w:sdtContent>
      </w:sdt>
      <w:r>
        <w:t xml:space="preserve">, resulting in the CIMAH (Control of </w:t>
      </w:r>
      <w:r w:rsidR="003B367A">
        <w:t xml:space="preserve">Industrial </w:t>
      </w:r>
      <w:r>
        <w:t>Major Accident Hazards) Regulations in 1984</w:t>
      </w:r>
      <w:r w:rsidR="00CF7B91">
        <w:t xml:space="preserve"> </w:t>
      </w:r>
      <w:sdt>
        <w:sdtPr>
          <w:id w:val="-1470591349"/>
          <w:citation/>
        </w:sdtPr>
        <w:sdtEndPr/>
        <w:sdtContent>
          <w:r w:rsidR="00CF7B91">
            <w:fldChar w:fldCharType="begin"/>
          </w:r>
          <w:r w:rsidR="00CF7B91">
            <w:instrText xml:space="preserve"> CITATION CIMAH_1984 \l 2057 </w:instrText>
          </w:r>
          <w:r w:rsidR="00CF7B91">
            <w:fldChar w:fldCharType="separate"/>
          </w:r>
          <w:r w:rsidR="00C8658D">
            <w:rPr>
              <w:noProof/>
            </w:rPr>
            <w:t>[5]</w:t>
          </w:r>
          <w:r w:rsidR="00CF7B91">
            <w:fldChar w:fldCharType="end"/>
          </w:r>
        </w:sdtContent>
      </w:sdt>
      <w:r>
        <w:t>.</w:t>
      </w:r>
      <w:r w:rsidR="00FB3531">
        <w:t xml:space="preserve"> </w:t>
      </w:r>
      <w:r>
        <w:t>These regulations established a “Consultation Zone” around Major Hazard chemical sites in which new planning developments had to be sent by Local Planning Authorities to the HSE for their advice.</w:t>
      </w:r>
      <w:r w:rsidR="00FB3531">
        <w:t xml:space="preserve"> </w:t>
      </w:r>
      <w:r>
        <w:t>The process was given impetus by the</w:t>
      </w:r>
      <w:r w:rsidR="003B367A">
        <w:t xml:space="preserve"> Seveso disaster (1976) and subsequent</w:t>
      </w:r>
      <w:r>
        <w:t xml:space="preserve"> E</w:t>
      </w:r>
      <w:r w:rsidR="003B367A">
        <w:t>E</w:t>
      </w:r>
      <w:r>
        <w:t>C Seveso directive (</w:t>
      </w:r>
      <w:r w:rsidR="003B367A">
        <w:t>1982</w:t>
      </w:r>
      <w:r>
        <w:t>), the Bhopal disaster (1984) and the Mexico City disaster (1984).</w:t>
      </w:r>
      <w:r w:rsidR="00FB3531">
        <w:t xml:space="preserve"> </w:t>
      </w:r>
    </w:p>
    <w:p w14:paraId="0986D33B" w14:textId="2A240292" w:rsidR="0030168C" w:rsidRDefault="0030168C" w:rsidP="00137D4F">
      <w:pPr>
        <w:pStyle w:val="BodyText"/>
      </w:pPr>
      <w:r>
        <w:t>Zones were applied to fixed sites during the mid-1980s.</w:t>
      </w:r>
      <w:r w:rsidR="003B367A">
        <w:t xml:space="preserve"> </w:t>
      </w:r>
      <w:r>
        <w:t>Initially the purpose of the zones was to stabilise and reduce the number of people who could be harmed by a major accident.</w:t>
      </w:r>
      <w:r w:rsidR="00FB3531">
        <w:t xml:space="preserve"> </w:t>
      </w:r>
      <w:r>
        <w:t>However, pragmatism has prevailed, and stabilisation of numbers, reduction and stabilisation where possible, combined with limited increases in numbers of people in the middle and outer zones, is now accepted as a reasonable way forward for all stakeholders.</w:t>
      </w:r>
    </w:p>
    <w:p w14:paraId="552CABF6" w14:textId="27C36EEA" w:rsidR="0030168C" w:rsidRDefault="0030168C" w:rsidP="0030168C">
      <w:pPr>
        <w:pStyle w:val="Heading2"/>
      </w:pPr>
      <w:bookmarkStart w:id="6" w:name="_Toc534624837"/>
      <w:r>
        <w:t>Derivation and Definition of Land Use Planning Zones</w:t>
      </w:r>
      <w:bookmarkEnd w:id="6"/>
    </w:p>
    <w:p w14:paraId="7A28069D" w14:textId="6F3589F5" w:rsidR="001441D4" w:rsidRDefault="001441D4" w:rsidP="001441D4">
      <w:pPr>
        <w:pStyle w:val="BodyText"/>
      </w:pPr>
      <w:r>
        <w:t>At first there was a simple Consultation Zone or C</w:t>
      </w:r>
      <w:r w:rsidR="00B81A68">
        <w:t>Z</w:t>
      </w:r>
      <w:r>
        <w:t>. This was defined as the zone within which HSE were consulted if a new planning application was made which increased the number of people living or working within the zone.</w:t>
      </w:r>
      <w:r w:rsidR="00FB3531">
        <w:t xml:space="preserve"> </w:t>
      </w:r>
      <w:r>
        <w:t xml:space="preserve">Initially the zone was defined as the fireball radius for the largest accident on the site involving flammable materials like LPG, or standard distances based on toxic gas dispersion for toxic sites. </w:t>
      </w:r>
      <w:r w:rsidR="00C838D1">
        <w:t>Typically,</w:t>
      </w:r>
      <w:r>
        <w:t xml:space="preserve"> zones varied from 500 metres to 3 kilometres from Major Hazard Installations (</w:t>
      </w:r>
      <w:r w:rsidR="00E02415">
        <w:t>MHIs</w:t>
      </w:r>
      <w:r>
        <w:t>).</w:t>
      </w:r>
    </w:p>
    <w:p w14:paraId="6C92A2E1" w14:textId="12035499" w:rsidR="001441D4" w:rsidRDefault="001441D4" w:rsidP="001441D4">
      <w:pPr>
        <w:pStyle w:val="BodyText"/>
      </w:pPr>
      <w:r>
        <w:t xml:space="preserve">A notable case </w:t>
      </w:r>
      <w:r w:rsidR="00771251">
        <w:t>occurred at</w:t>
      </w:r>
      <w:r>
        <w:t xml:space="preserve"> Pheasants Wood, Fleetwood in Lancashire (1980), when a court case allowed a planning development to proceed because HSE’s case was </w:t>
      </w:r>
      <w:r w:rsidR="007E2F8F">
        <w:t xml:space="preserve">purely </w:t>
      </w:r>
      <w:r>
        <w:t xml:space="preserve">based on </w:t>
      </w:r>
      <w:r w:rsidR="007E2F8F">
        <w:t xml:space="preserve">the </w:t>
      </w:r>
      <w:r>
        <w:t>consequences of a release of toxic gas</w:t>
      </w:r>
      <w:r w:rsidR="007E2F8F">
        <w:t>.</w:t>
      </w:r>
      <w:r>
        <w:t xml:space="preserve"> </w:t>
      </w:r>
      <w:r w:rsidR="007E2F8F">
        <w:t>T</w:t>
      </w:r>
      <w:r w:rsidR="00014F29">
        <w:t xml:space="preserve">his </w:t>
      </w:r>
      <w:r>
        <w:t xml:space="preserve">forced HSE to </w:t>
      </w:r>
      <w:r w:rsidR="00771251">
        <w:t>reconsider</w:t>
      </w:r>
      <w:r>
        <w:t xml:space="preserve"> and apply a risk-based approach</w:t>
      </w:r>
      <w:r w:rsidR="007E2F8F">
        <w:t xml:space="preserve"> which</w:t>
      </w:r>
      <w:r>
        <w:t xml:space="preserve"> meant that the </w:t>
      </w:r>
      <w:r w:rsidR="007E2F8F">
        <w:t xml:space="preserve">zone </w:t>
      </w:r>
      <w:r>
        <w:t>calculation had to take into account the likelihood of a release affecting people as well the possible consequences</w:t>
      </w:r>
      <w:r w:rsidR="00771251">
        <w:t xml:space="preserve"> in the event of a release</w:t>
      </w:r>
      <w:r>
        <w:t>.</w:t>
      </w:r>
      <w:r w:rsidR="00FB3531">
        <w:t xml:space="preserve"> </w:t>
      </w:r>
    </w:p>
    <w:p w14:paraId="507F7684" w14:textId="2658270D" w:rsidR="001441D4" w:rsidRDefault="001441D4" w:rsidP="001441D4">
      <w:pPr>
        <w:pStyle w:val="BodyText"/>
      </w:pPr>
      <w:r>
        <w:t xml:space="preserve">Later development of the HSE criteria into three zones </w:t>
      </w:r>
      <w:r w:rsidR="007E2F8F">
        <w:t>(</w:t>
      </w:r>
      <w:r>
        <w:t>inner, middle and outer</w:t>
      </w:r>
      <w:r w:rsidR="007E2F8F">
        <w:t>)</w:t>
      </w:r>
      <w:r>
        <w:t xml:space="preserve"> was established by the publication in 1989 of the document “Risk Criteria for Land Use Planning in the Vicinity of Major Industrial Hazards”</w:t>
      </w:r>
      <w:sdt>
        <w:sdtPr>
          <w:id w:val="172465989"/>
          <w:citation/>
        </w:sdtPr>
        <w:sdtEndPr/>
        <w:sdtContent>
          <w:r w:rsidR="00B81A68">
            <w:fldChar w:fldCharType="begin"/>
          </w:r>
          <w:r w:rsidR="00B81A68">
            <w:instrText xml:space="preserve"> CITATION HSE_LUP_risk_criteria \l 2057 </w:instrText>
          </w:r>
          <w:r w:rsidR="00B81A68">
            <w:fldChar w:fldCharType="separate"/>
          </w:r>
          <w:r w:rsidR="00C8658D">
            <w:rPr>
              <w:noProof/>
            </w:rPr>
            <w:t xml:space="preserve"> [6]</w:t>
          </w:r>
          <w:r w:rsidR="00B81A68">
            <w:fldChar w:fldCharType="end"/>
          </w:r>
        </w:sdtContent>
      </w:sdt>
      <w:r w:rsidR="00FB3531">
        <w:t xml:space="preserve"> </w:t>
      </w:r>
      <w:r>
        <w:t>This detailed the equivalent risk levels for the 3</w:t>
      </w:r>
      <w:r w:rsidR="00B81A68">
        <w:t> </w:t>
      </w:r>
      <w:r>
        <w:t>zone boundaries as follows:</w:t>
      </w:r>
    </w:p>
    <w:p w14:paraId="44F28BA1" w14:textId="35CCEDF8" w:rsidR="001441D4" w:rsidRDefault="001441D4" w:rsidP="00C838D1">
      <w:pPr>
        <w:pStyle w:val="BodyText"/>
        <w:numPr>
          <w:ilvl w:val="0"/>
          <w:numId w:val="38"/>
        </w:numPr>
      </w:pPr>
      <w:r>
        <w:t>the inner zone</w:t>
      </w:r>
      <w:r w:rsidR="00E02415">
        <w:t xml:space="preserve">, closest to the MHI – </w:t>
      </w:r>
      <w:r>
        <w:t>risk level greater than 10 in a million per year of a dangerous dose (approximately equivalent to 1% of the population suffering fatal injuries), also shown as 10</w:t>
      </w:r>
      <w:r w:rsidRPr="001441D4">
        <w:rPr>
          <w:vertAlign w:val="superscript"/>
        </w:rPr>
        <w:t>-5</w:t>
      </w:r>
      <w:r>
        <w:t xml:space="preserve"> per year, or 10 cpm (chances per million per year)</w:t>
      </w:r>
      <w:r w:rsidR="00771251">
        <w:t>;</w:t>
      </w:r>
    </w:p>
    <w:p w14:paraId="27E38BFC" w14:textId="2CE6E72B" w:rsidR="001441D4" w:rsidRDefault="001441D4" w:rsidP="00C838D1">
      <w:pPr>
        <w:pStyle w:val="BodyText"/>
        <w:numPr>
          <w:ilvl w:val="0"/>
          <w:numId w:val="38"/>
        </w:numPr>
      </w:pPr>
      <w:r>
        <w:t>the middle zone – risk level between 10 in a million per year and 1 in a million per year 10</w:t>
      </w:r>
      <w:r w:rsidRPr="007E2F8F">
        <w:rPr>
          <w:vertAlign w:val="superscript"/>
        </w:rPr>
        <w:t>-6</w:t>
      </w:r>
      <w:r>
        <w:t xml:space="preserve"> (or between 10 cpm and 1 cpm)</w:t>
      </w:r>
      <w:r w:rsidR="00771251">
        <w:t>;</w:t>
      </w:r>
    </w:p>
    <w:p w14:paraId="2DCDDED3" w14:textId="5FF3EBBB" w:rsidR="0030168C" w:rsidRDefault="001441D4" w:rsidP="00C838D1">
      <w:pPr>
        <w:pStyle w:val="BodyText"/>
        <w:numPr>
          <w:ilvl w:val="0"/>
          <w:numId w:val="38"/>
        </w:numPr>
      </w:pPr>
      <w:r>
        <w:lastRenderedPageBreak/>
        <w:t>the outer zone – risk level between 1 in a million per year and 0.3 in a million per year 3 x 10</w:t>
      </w:r>
      <w:r w:rsidRPr="007E2F8F">
        <w:rPr>
          <w:vertAlign w:val="superscript"/>
        </w:rPr>
        <w:t>-7</w:t>
      </w:r>
      <w:r>
        <w:t xml:space="preserve"> (or between 1 cpm and 0.3 cpm).</w:t>
      </w:r>
      <w:r w:rsidR="00FB3531">
        <w:t xml:space="preserve"> </w:t>
      </w:r>
      <w:r>
        <w:t>Outside this zone there are no restrictions.</w:t>
      </w:r>
    </w:p>
    <w:p w14:paraId="4D338925" w14:textId="21978C54" w:rsidR="001441D4" w:rsidRDefault="001441D4" w:rsidP="001441D4">
      <w:pPr>
        <w:pStyle w:val="Heading2"/>
      </w:pPr>
      <w:bookmarkStart w:id="7" w:name="_Toc534624838"/>
      <w:r>
        <w:t>History and Basis for Applying Zones to Pipelines</w:t>
      </w:r>
      <w:bookmarkEnd w:id="7"/>
    </w:p>
    <w:p w14:paraId="3808B308" w14:textId="0BAB45C7" w:rsidR="001441D4" w:rsidRDefault="001441D4" w:rsidP="001441D4">
      <w:pPr>
        <w:pStyle w:val="BodyText"/>
      </w:pPr>
      <w:r>
        <w:t>Pipelines were not covered by the CIMAH regulations and so were not initially classified a</w:t>
      </w:r>
      <w:r w:rsidR="00014F29">
        <w:t>s</w:t>
      </w:r>
      <w:r>
        <w:t xml:space="preserve"> MHIs.</w:t>
      </w:r>
      <w:r w:rsidR="00FB3531">
        <w:t xml:space="preserve"> </w:t>
      </w:r>
      <w:r>
        <w:t xml:space="preserve">However, in the late 1980s, papers were presented by HSE inspectors at pipeline conferences describing how they had developed a risk-based methodology to be applied to ethylene </w:t>
      </w:r>
      <w:r w:rsidR="00A659A1">
        <w:t>pipelines</w:t>
      </w:r>
      <w:r w:rsidR="00014F29">
        <w:t>.</w:t>
      </w:r>
      <w:r w:rsidR="00FB3531">
        <w:t xml:space="preserve"> </w:t>
      </w:r>
      <w:r w:rsidR="00014F29">
        <w:t>I</w:t>
      </w:r>
      <w:r>
        <w:t>n 1989, operators of ethylene and some other pipelines received notification that LUP zones would be applied to their pipelines.</w:t>
      </w:r>
      <w:r w:rsidR="00FB3531">
        <w:t xml:space="preserve"> </w:t>
      </w:r>
    </w:p>
    <w:p w14:paraId="40C90AAE" w14:textId="25A04FA7" w:rsidR="001441D4" w:rsidRDefault="001441D4" w:rsidP="001441D4">
      <w:pPr>
        <w:pStyle w:val="BodyText"/>
      </w:pPr>
      <w:r>
        <w:t xml:space="preserve">The published papers are somewhat unclear on the authority for imposing these zones on existing pipelines, for example they </w:t>
      </w:r>
      <w:r w:rsidR="007F29C4">
        <w:t>stated,</w:t>
      </w:r>
      <w:r>
        <w:t xml:space="preserve"> “subsequent proposals for development in the vicinity of such pipelines (i.e. notified under NIHHS regulations</w:t>
      </w:r>
      <w:r w:rsidR="00E02415">
        <w:t xml:space="preserve"> </w:t>
      </w:r>
      <w:sdt>
        <w:sdtPr>
          <w:id w:val="-1581518601"/>
          <w:citation/>
        </w:sdtPr>
        <w:sdtEndPr/>
        <w:sdtContent>
          <w:r w:rsidR="00E02415">
            <w:fldChar w:fldCharType="begin"/>
          </w:r>
          <w:r w:rsidR="00E02415">
            <w:instrText xml:space="preserve"> CITATION NIHHS_1982 \l 2057 </w:instrText>
          </w:r>
          <w:r w:rsidR="00E02415">
            <w:fldChar w:fldCharType="separate"/>
          </w:r>
          <w:r w:rsidR="00C8658D">
            <w:rPr>
              <w:noProof/>
            </w:rPr>
            <w:t>[7]</w:t>
          </w:r>
          <w:r w:rsidR="00E02415">
            <w:fldChar w:fldCharType="end"/>
          </w:r>
        </w:sdtContent>
      </w:sdt>
      <w:r>
        <w:t>) are subject to planning controls on the grounds of safety” (Carter 1989).</w:t>
      </w:r>
      <w:r w:rsidR="00FB3531">
        <w:t xml:space="preserve"> </w:t>
      </w:r>
      <w:r>
        <w:t>When later challenged on their authority for applying LUP zones to pipelines (during 1998-9) HSE quoted Town and Country Planning acts, and their statutory duty for safety in the UK.</w:t>
      </w:r>
    </w:p>
    <w:p w14:paraId="7BAB87B4" w14:textId="58A1AE6D" w:rsidR="001441D4" w:rsidRDefault="001441D4" w:rsidP="001441D4">
      <w:pPr>
        <w:pStyle w:val="BodyText"/>
      </w:pPr>
      <w:r>
        <w:t>Gas transmission pipelines were covered by the Gas Act</w:t>
      </w:r>
      <w:r w:rsidR="007F29C4">
        <w:t xml:space="preserve"> 1995 </w:t>
      </w:r>
      <w:sdt>
        <w:sdtPr>
          <w:id w:val="736130865"/>
          <w:citation/>
        </w:sdtPr>
        <w:sdtEndPr/>
        <w:sdtContent>
          <w:r w:rsidR="007F29C4">
            <w:fldChar w:fldCharType="begin"/>
          </w:r>
          <w:r w:rsidR="007F29C4">
            <w:instrText xml:space="preserve"> CITATION GasAct_1995 \l 2057 </w:instrText>
          </w:r>
          <w:r w:rsidR="007F29C4">
            <w:fldChar w:fldCharType="separate"/>
          </w:r>
          <w:r w:rsidR="00C8658D">
            <w:rPr>
              <w:noProof/>
            </w:rPr>
            <w:t>[8]</w:t>
          </w:r>
          <w:r w:rsidR="007F29C4">
            <w:fldChar w:fldCharType="end"/>
          </w:r>
        </w:sdtContent>
      </w:sdt>
      <w:r w:rsidR="007F29C4">
        <w:t xml:space="preserve"> </w:t>
      </w:r>
      <w:r>
        <w:t>and when the Pipeline Safety Regulations</w:t>
      </w:r>
      <w:sdt>
        <w:sdtPr>
          <w:id w:val="1956361937"/>
          <w:citation/>
        </w:sdtPr>
        <w:sdtEndPr/>
        <w:sdtContent>
          <w:r w:rsidR="003E6CCE">
            <w:fldChar w:fldCharType="begin"/>
          </w:r>
          <w:r w:rsidR="003E6CCE">
            <w:instrText xml:space="preserve"> CITATION PSR96 \l 2057 </w:instrText>
          </w:r>
          <w:r w:rsidR="003E6CCE">
            <w:fldChar w:fldCharType="separate"/>
          </w:r>
          <w:r w:rsidR="00C8658D">
            <w:rPr>
              <w:noProof/>
            </w:rPr>
            <w:t xml:space="preserve"> [1]</w:t>
          </w:r>
          <w:r w:rsidR="003E6CCE">
            <w:fldChar w:fldCharType="end"/>
          </w:r>
        </w:sdtContent>
      </w:sdt>
      <w:r>
        <w:t xml:space="preserve"> came into force in 1996, the HSE initially imposed LUP zones based on multiples of Building Proximity Distances (BPDs).</w:t>
      </w:r>
      <w:r w:rsidR="00FB3531">
        <w:t xml:space="preserve"> </w:t>
      </w:r>
      <w:r>
        <w:t xml:space="preserve">These are distances specified in the </w:t>
      </w:r>
      <w:r w:rsidR="00771251">
        <w:t>IGEM</w:t>
      </w:r>
      <w:r w:rsidR="00FB3531">
        <w:t xml:space="preserve"> </w:t>
      </w:r>
      <w:r w:rsidR="00771251">
        <w:t xml:space="preserve">standard </w:t>
      </w:r>
      <w:r>
        <w:t>IG</w:t>
      </w:r>
      <w:r w:rsidR="00B34BA0">
        <w:t>E</w:t>
      </w:r>
      <w:r w:rsidR="00771251">
        <w:t>M</w:t>
      </w:r>
      <w:r>
        <w:t>/TD/1</w:t>
      </w:r>
      <w:sdt>
        <w:sdtPr>
          <w:id w:val="1482191324"/>
          <w:citation/>
        </w:sdtPr>
        <w:sdtEndPr/>
        <w:sdtContent>
          <w:r w:rsidR="003E6CCE">
            <w:fldChar w:fldCharType="begin"/>
          </w:r>
          <w:r w:rsidR="003E6CCE">
            <w:instrText xml:space="preserve"> CITATION TD1_Ed5 \l 2057 </w:instrText>
          </w:r>
          <w:r w:rsidR="003E6CCE">
            <w:fldChar w:fldCharType="separate"/>
          </w:r>
          <w:r w:rsidR="00C8658D">
            <w:rPr>
              <w:noProof/>
            </w:rPr>
            <w:t xml:space="preserve"> [9]</w:t>
          </w:r>
          <w:r w:rsidR="003E6CCE">
            <w:fldChar w:fldCharType="end"/>
          </w:r>
        </w:sdtContent>
      </w:sdt>
      <w:r>
        <w:t xml:space="preserve"> for the minimum proximity of pipelines to normally occupied buildings.</w:t>
      </w:r>
      <w:r w:rsidR="00FB3531">
        <w:t xml:space="preserve"> </w:t>
      </w:r>
      <w:r>
        <w:t xml:space="preserve">For a 24” diameter pipeline, </w:t>
      </w:r>
      <w:r w:rsidR="003E6CCE">
        <w:t xml:space="preserve">with a </w:t>
      </w:r>
      <w:r>
        <w:t>design factor 0.72</w:t>
      </w:r>
      <w:r w:rsidR="003E6CCE">
        <w:t xml:space="preserve"> and a</w:t>
      </w:r>
      <w:r>
        <w:t xml:space="preserve"> maximum operating pressure </w:t>
      </w:r>
      <w:r w:rsidR="003E6CCE">
        <w:t xml:space="preserve">of </w:t>
      </w:r>
      <w:r>
        <w:t xml:space="preserve">70 bar in a rural area, the BPD is 77 metres. </w:t>
      </w:r>
      <w:r w:rsidR="003E6CCE">
        <w:t xml:space="preserve">Therefore, </w:t>
      </w:r>
      <w:r>
        <w:t>HSE typically defined the LUP</w:t>
      </w:r>
      <w:r w:rsidR="003E6CCE">
        <w:t xml:space="preserve"> zone</w:t>
      </w:r>
      <w:r>
        <w:t>s as follows:</w:t>
      </w:r>
    </w:p>
    <w:p w14:paraId="7E820411" w14:textId="78909987" w:rsidR="001441D4" w:rsidRDefault="001441D4" w:rsidP="003E6CCE">
      <w:pPr>
        <w:pStyle w:val="BodyText"/>
        <w:numPr>
          <w:ilvl w:val="0"/>
          <w:numId w:val="38"/>
        </w:numPr>
      </w:pPr>
      <w:r>
        <w:t>inner zone</w:t>
      </w:r>
      <w:r w:rsidR="003E6CCE">
        <w:t xml:space="preserve"> =</w:t>
      </w:r>
      <w:r>
        <w:t xml:space="preserve"> 2 x BPD = 154 metres</w:t>
      </w:r>
    </w:p>
    <w:p w14:paraId="5CE2EDCB" w14:textId="18791FB3" w:rsidR="001441D4" w:rsidRDefault="001441D4" w:rsidP="003E6CCE">
      <w:pPr>
        <w:pStyle w:val="BodyText"/>
        <w:numPr>
          <w:ilvl w:val="0"/>
          <w:numId w:val="38"/>
        </w:numPr>
      </w:pPr>
      <w:r>
        <w:t>middle zone</w:t>
      </w:r>
      <w:r w:rsidR="003E6CCE">
        <w:t xml:space="preserve"> =</w:t>
      </w:r>
      <w:r>
        <w:t xml:space="preserve"> 3 x BPD = 231 metres</w:t>
      </w:r>
    </w:p>
    <w:p w14:paraId="08C97B10" w14:textId="5A3B23E1" w:rsidR="001441D4" w:rsidRDefault="001441D4" w:rsidP="003E6CCE">
      <w:pPr>
        <w:pStyle w:val="BodyText"/>
        <w:numPr>
          <w:ilvl w:val="0"/>
          <w:numId w:val="38"/>
        </w:numPr>
      </w:pPr>
      <w:r>
        <w:t xml:space="preserve">outer zone </w:t>
      </w:r>
      <w:r w:rsidR="003E6CCE">
        <w:t xml:space="preserve">= </w:t>
      </w:r>
      <w:r>
        <w:t>4 x BPD = 308 metres</w:t>
      </w:r>
    </w:p>
    <w:p w14:paraId="0C8FD04E" w14:textId="6E87CD72" w:rsidR="004A1D4A" w:rsidRDefault="001441D4" w:rsidP="001441D4">
      <w:pPr>
        <w:pStyle w:val="BodyText"/>
      </w:pPr>
      <w:r>
        <w:t xml:space="preserve">The Pipelines Safety Regulations </w:t>
      </w:r>
      <w:sdt>
        <w:sdtPr>
          <w:id w:val="-1049995989"/>
          <w:citation/>
        </w:sdtPr>
        <w:sdtEndPr/>
        <w:sdtContent>
          <w:r w:rsidR="003E6CCE">
            <w:fldChar w:fldCharType="begin"/>
          </w:r>
          <w:r w:rsidR="003E6CCE">
            <w:instrText xml:space="preserve"> CITATION PSR96 \l 2057 </w:instrText>
          </w:r>
          <w:r w:rsidR="003E6CCE">
            <w:fldChar w:fldCharType="separate"/>
          </w:r>
          <w:r w:rsidR="00C8658D">
            <w:rPr>
              <w:noProof/>
            </w:rPr>
            <w:t>[1]</w:t>
          </w:r>
          <w:r w:rsidR="003E6CCE">
            <w:fldChar w:fldCharType="end"/>
          </w:r>
        </w:sdtContent>
      </w:sdt>
      <w:r w:rsidR="003E6CCE">
        <w:t xml:space="preserve"> </w:t>
      </w:r>
      <w:r>
        <w:t>define</w:t>
      </w:r>
      <w:r w:rsidR="007F29C4">
        <w:t>s</w:t>
      </w:r>
      <w:r>
        <w:t xml:space="preserve"> Major Accident Hazard Pipelines (MAHP) and also reiterates the Department of Trade and Industry’s responsibilities</w:t>
      </w:r>
      <w:r w:rsidR="007F29C4">
        <w:t>,</w:t>
      </w:r>
      <w:r>
        <w:t xml:space="preserve"> under the Pipelines Act 1962</w:t>
      </w:r>
      <w:r w:rsidR="007F29C4">
        <w:t xml:space="preserve"> </w:t>
      </w:r>
      <w:sdt>
        <w:sdtPr>
          <w:id w:val="-1590220335"/>
          <w:citation/>
        </w:sdtPr>
        <w:sdtEndPr/>
        <w:sdtContent>
          <w:r w:rsidR="007F29C4">
            <w:fldChar w:fldCharType="begin"/>
          </w:r>
          <w:r w:rsidR="007F29C4">
            <w:instrText xml:space="preserve"> CITATION PipelinesAct_1962 \l 2057 </w:instrText>
          </w:r>
          <w:r w:rsidR="007F29C4">
            <w:fldChar w:fldCharType="separate"/>
          </w:r>
          <w:r w:rsidR="00C8658D">
            <w:rPr>
              <w:noProof/>
            </w:rPr>
            <w:t>[10]</w:t>
          </w:r>
          <w:r w:rsidR="007F29C4">
            <w:fldChar w:fldCharType="end"/>
          </w:r>
        </w:sdtContent>
      </w:sdt>
      <w:r>
        <w:t>, to consult HSE on the route of new cross-country pipelines. However, no mention is made of LUP zones adjacent to Major Accident Hazard Pipelines, or HSE’s role as Statutory Consultee for developments near existing pipelines.</w:t>
      </w:r>
      <w:r w:rsidR="00E5635E">
        <w:t xml:space="preserve"> </w:t>
      </w:r>
    </w:p>
    <w:p w14:paraId="4DEF4157" w14:textId="7E958C0E" w:rsidR="001441D4" w:rsidRDefault="00E5635E" w:rsidP="001441D4">
      <w:pPr>
        <w:pStyle w:val="BodyText"/>
      </w:pPr>
      <w:r>
        <w:t xml:space="preserve">PSR 96 Regulation 20 places duties on MAHP operators to notify HSE of the pipeline details (defined in Schedule 4 </w:t>
      </w:r>
      <w:r w:rsidR="00B34BA0">
        <w:t>o</w:t>
      </w:r>
      <w:r>
        <w:t>f PSR</w:t>
      </w:r>
      <w:r w:rsidR="007F29C4">
        <w:t xml:space="preserve"> 96</w:t>
      </w:r>
      <w:r>
        <w:t>). This duty was applied retrospectively to all operating MAHPs. On receipt of the pipeline notification details, HSE then notified Local Authorities of the presence of the pipeline for inclusion in the L</w:t>
      </w:r>
      <w:r w:rsidR="000C0130">
        <w:t xml:space="preserve">ocal </w:t>
      </w:r>
      <w:r>
        <w:t>A</w:t>
      </w:r>
      <w:r w:rsidR="000C0130">
        <w:t>uthority</w:t>
      </w:r>
      <w:r>
        <w:t xml:space="preserve"> emergency plan and provided LUP consultation distances</w:t>
      </w:r>
      <w:r w:rsidR="00FB3531">
        <w:t xml:space="preserve"> </w:t>
      </w:r>
      <w:r>
        <w:t>for the pipelines.</w:t>
      </w:r>
    </w:p>
    <w:p w14:paraId="51928AED" w14:textId="1EFB0549" w:rsidR="00A659A1" w:rsidRDefault="00A659A1" w:rsidP="00A659A1">
      <w:pPr>
        <w:pStyle w:val="Heading2"/>
      </w:pPr>
      <w:bookmarkStart w:id="8" w:name="_Toc534624839"/>
      <w:r>
        <w:t>Concerns Raised by Pipeline Operators</w:t>
      </w:r>
      <w:bookmarkEnd w:id="8"/>
    </w:p>
    <w:p w14:paraId="2D985181" w14:textId="4B4B49E2" w:rsidR="00A659A1" w:rsidRDefault="00A659A1" w:rsidP="00A659A1">
      <w:pPr>
        <w:pStyle w:val="BodyText"/>
      </w:pPr>
      <w:r>
        <w:t>Setting up zones next to pipelines started to cause issues in the early 1990s.</w:t>
      </w:r>
      <w:r w:rsidR="00FB3531">
        <w:t xml:space="preserve"> </w:t>
      </w:r>
      <w:r>
        <w:t>Often, pipeline operators would find excavators on land adjacent to pipelines starting to build new housing estates, when carrying out routine pipeline surveillance.</w:t>
      </w:r>
      <w:r w:rsidR="00FB3531">
        <w:t xml:space="preserve"> </w:t>
      </w:r>
      <w:r>
        <w:t xml:space="preserve">There appeared to be no mechanisms for informing all the Local Planning Authorities about high hazard pipelines in </w:t>
      </w:r>
      <w:r>
        <w:lastRenderedPageBreak/>
        <w:t>their area which had newly-imposed land use planning zones</w:t>
      </w:r>
      <w:r w:rsidR="00014F29">
        <w:t>.</w:t>
      </w:r>
      <w:r>
        <w:t xml:space="preserve"> </w:t>
      </w:r>
      <w:r w:rsidR="00014F29">
        <w:t>O</w:t>
      </w:r>
      <w:r>
        <w:t>perators were</w:t>
      </w:r>
      <w:r w:rsidR="00014F29">
        <w:t xml:space="preserve"> therefore</w:t>
      </w:r>
      <w:r>
        <w:t xml:space="preserve"> not told of proposed new developments near their pipelines. </w:t>
      </w:r>
    </w:p>
    <w:p w14:paraId="014E9A5E" w14:textId="19E17A22" w:rsidR="00771251" w:rsidRPr="00A659A1" w:rsidRDefault="00A659A1" w:rsidP="00A659A1">
      <w:pPr>
        <w:pStyle w:val="BodyText"/>
      </w:pPr>
      <w:r>
        <w:t>When HSE stepped in, and advised against a new development, the pipeline operator was threatened with a court case by the developer seeking compensation for loss of a lucrative development project.</w:t>
      </w:r>
    </w:p>
    <w:p w14:paraId="3FF97E3C" w14:textId="30CD2F3F" w:rsidR="0030168C" w:rsidRPr="0030168C" w:rsidRDefault="001441D4" w:rsidP="00A659A1">
      <w:pPr>
        <w:pStyle w:val="Heading1"/>
      </w:pPr>
      <w:bookmarkStart w:id="9" w:name="_Toc534624840"/>
      <w:r>
        <w:lastRenderedPageBreak/>
        <w:t xml:space="preserve">Current Approach for Pipeline </w:t>
      </w:r>
      <w:r w:rsidR="0030168C">
        <w:t>Land Use Planning Zones</w:t>
      </w:r>
      <w:bookmarkEnd w:id="9"/>
    </w:p>
    <w:p w14:paraId="2DCE39C4" w14:textId="5E29BC49" w:rsidR="006824E2" w:rsidRDefault="006824E2" w:rsidP="00997802">
      <w:pPr>
        <w:pStyle w:val="BodyText"/>
      </w:pPr>
      <w:r>
        <w:t>In the UK, the</w:t>
      </w:r>
      <w:r w:rsidR="00A47760">
        <w:t xml:space="preserve"> LUP </w:t>
      </w:r>
      <w:r>
        <w:t>zones are classified into 3 levels</w:t>
      </w:r>
      <w:r w:rsidR="005308CB">
        <w:t xml:space="preserve"> as shown below</w:t>
      </w:r>
      <w:r>
        <w:t>:</w:t>
      </w:r>
    </w:p>
    <w:p w14:paraId="5B8AEDD1" w14:textId="157FD248" w:rsidR="006824E2" w:rsidRDefault="006824E2" w:rsidP="00796837">
      <w:pPr>
        <w:pStyle w:val="BodyText"/>
        <w:numPr>
          <w:ilvl w:val="0"/>
          <w:numId w:val="38"/>
        </w:numPr>
      </w:pPr>
      <w:r>
        <w:t xml:space="preserve">the inner zone, closest to the MHI – for a typical pipeline this might be </w:t>
      </w:r>
      <w:r w:rsidR="004926AF">
        <w:t>30 to 90</w:t>
      </w:r>
      <w:r>
        <w:t xml:space="preserve"> metres each side of the pipeline</w:t>
      </w:r>
      <w:r w:rsidR="004926AF">
        <w:t>. The inner zone represents an individual risk level exceeding 10</w:t>
      </w:r>
      <w:r w:rsidR="004926AF" w:rsidRPr="0088447A">
        <w:rPr>
          <w:vertAlign w:val="superscript"/>
        </w:rPr>
        <w:t>-5</w:t>
      </w:r>
      <w:r w:rsidR="004926AF">
        <w:t xml:space="preserve"> per year, but most UK MAHPs do not reach this risk level, so HSE now use the Building Proximity Distance (BPD) as defined in IGEM/TD/1 </w:t>
      </w:r>
      <w:sdt>
        <w:sdtPr>
          <w:id w:val="-1661157333"/>
          <w:citation/>
        </w:sdtPr>
        <w:sdtEndPr/>
        <w:sdtContent>
          <w:r w:rsidR="00796837">
            <w:fldChar w:fldCharType="begin"/>
          </w:r>
          <w:r w:rsidR="00796837">
            <w:instrText xml:space="preserve"> CITATION TD1_Ed5 \l 2057 </w:instrText>
          </w:r>
          <w:r w:rsidR="00796837">
            <w:fldChar w:fldCharType="separate"/>
          </w:r>
          <w:r w:rsidR="00C8658D">
            <w:rPr>
              <w:noProof/>
            </w:rPr>
            <w:t>[9]</w:t>
          </w:r>
          <w:r w:rsidR="00796837">
            <w:fldChar w:fldCharType="end"/>
          </w:r>
        </w:sdtContent>
      </w:sdt>
      <w:r w:rsidR="00796837">
        <w:t xml:space="preserve"> </w:t>
      </w:r>
      <w:r w:rsidR="004926AF">
        <w:t>for gas pipelines and the Minimum Distance to Occupied Buildings (MDOB) for other fluids as defined by PD 8010</w:t>
      </w:r>
      <w:r w:rsidR="004A1D4A">
        <w:t>-</w:t>
      </w:r>
      <w:r w:rsidR="004926AF">
        <w:t>1</w:t>
      </w:r>
      <w:r w:rsidR="00020E6B">
        <w:t xml:space="preserve"> </w:t>
      </w:r>
      <w:sdt>
        <w:sdtPr>
          <w:id w:val="-343321187"/>
          <w:citation/>
        </w:sdtPr>
        <w:sdtEndPr/>
        <w:sdtContent>
          <w:r w:rsidR="00796837">
            <w:fldChar w:fldCharType="begin"/>
          </w:r>
          <w:r w:rsidR="00796837">
            <w:instrText xml:space="preserve"> CITATION PD8010_1_2015 \l 2057 </w:instrText>
          </w:r>
          <w:r w:rsidR="00796837">
            <w:fldChar w:fldCharType="separate"/>
          </w:r>
          <w:r w:rsidR="00C8658D">
            <w:rPr>
              <w:noProof/>
            </w:rPr>
            <w:t>[11]</w:t>
          </w:r>
          <w:r w:rsidR="00796837">
            <w:fldChar w:fldCharType="end"/>
          </w:r>
        </w:sdtContent>
      </w:sdt>
    </w:p>
    <w:p w14:paraId="7BD24E0D" w14:textId="5C1BE752" w:rsidR="006824E2" w:rsidRDefault="006824E2" w:rsidP="00796837">
      <w:pPr>
        <w:pStyle w:val="BodyText"/>
        <w:numPr>
          <w:ilvl w:val="0"/>
          <w:numId w:val="38"/>
        </w:numPr>
      </w:pPr>
      <w:r>
        <w:t>the middle zo</w:t>
      </w:r>
      <w:r w:rsidR="004926AF">
        <w:t>ne – typically 80 to 250 metres, representing individual risk level exceeding 10</w:t>
      </w:r>
      <w:r w:rsidR="004926AF" w:rsidRPr="0088447A">
        <w:rPr>
          <w:vertAlign w:val="superscript"/>
        </w:rPr>
        <w:t>-6</w:t>
      </w:r>
      <w:r w:rsidR="004926AF">
        <w:t xml:space="preserve"> per year b</w:t>
      </w:r>
      <w:r w:rsidR="00790CF2">
        <w:t>ut</w:t>
      </w:r>
      <w:r w:rsidR="004926AF">
        <w:t xml:space="preserve"> less than 10</w:t>
      </w:r>
      <w:r w:rsidR="004926AF" w:rsidRPr="0088447A">
        <w:rPr>
          <w:vertAlign w:val="superscript"/>
        </w:rPr>
        <w:t>-5</w:t>
      </w:r>
      <w:r w:rsidR="004926AF">
        <w:t xml:space="preserve"> per year</w:t>
      </w:r>
    </w:p>
    <w:p w14:paraId="4E0954D7" w14:textId="35862568" w:rsidR="006824E2" w:rsidRDefault="006824E2" w:rsidP="00796837">
      <w:pPr>
        <w:pStyle w:val="BodyText"/>
        <w:numPr>
          <w:ilvl w:val="0"/>
          <w:numId w:val="38"/>
        </w:numPr>
      </w:pPr>
      <w:r>
        <w:t>the outer zone – typically 1</w:t>
      </w:r>
      <w:r w:rsidR="004926AF">
        <w:t>0</w:t>
      </w:r>
      <w:r>
        <w:t xml:space="preserve">0 to </w:t>
      </w:r>
      <w:r w:rsidR="004926AF">
        <w:t>2</w:t>
      </w:r>
      <w:r>
        <w:t xml:space="preserve">50 metres (but could be up </w:t>
      </w:r>
      <w:r w:rsidR="004926AF">
        <w:t>to 450 metres), representing individual risk level exceeding 3 x 10</w:t>
      </w:r>
      <w:r w:rsidR="004926AF" w:rsidRPr="004926AF">
        <w:rPr>
          <w:vertAlign w:val="superscript"/>
        </w:rPr>
        <w:t>-</w:t>
      </w:r>
      <w:r w:rsidR="004926AF">
        <w:rPr>
          <w:vertAlign w:val="superscript"/>
        </w:rPr>
        <w:t>7</w:t>
      </w:r>
      <w:r w:rsidR="004926AF">
        <w:t xml:space="preserve"> per year b</w:t>
      </w:r>
      <w:r w:rsidR="00790CF2">
        <w:t>ut</w:t>
      </w:r>
      <w:r w:rsidR="004926AF">
        <w:t xml:space="preserve"> less than 10</w:t>
      </w:r>
      <w:r w:rsidR="004926AF" w:rsidRPr="004926AF">
        <w:rPr>
          <w:vertAlign w:val="superscript"/>
        </w:rPr>
        <w:t>-</w:t>
      </w:r>
      <w:r w:rsidR="004926AF">
        <w:rPr>
          <w:vertAlign w:val="superscript"/>
        </w:rPr>
        <w:t>6</w:t>
      </w:r>
      <w:r w:rsidR="004926AF">
        <w:t xml:space="preserve"> per year</w:t>
      </w:r>
    </w:p>
    <w:p w14:paraId="13F99C99" w14:textId="77777777" w:rsidR="00796837" w:rsidRDefault="004926AF" w:rsidP="00796837">
      <w:pPr>
        <w:keepNext/>
        <w:suppressAutoHyphens w:val="0"/>
        <w:spacing w:before="240" w:after="240" w:line="264" w:lineRule="auto"/>
        <w:ind w:left="851"/>
        <w:jc w:val="center"/>
      </w:pPr>
      <w:r>
        <w:rPr>
          <w:noProof/>
          <w:lang w:val="en-US" w:eastAsia="zh-CN"/>
        </w:rPr>
        <w:drawing>
          <wp:inline distT="0" distB="0" distL="0" distR="0" wp14:anchorId="53141500" wp14:editId="68D43AF8">
            <wp:extent cx="3064816" cy="178930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P Diagram.JPG"/>
                    <pic:cNvPicPr/>
                  </pic:nvPicPr>
                  <pic:blipFill>
                    <a:blip r:embed="rId18">
                      <a:extLst>
                        <a:ext uri="{28A0092B-C50C-407E-A947-70E740481C1C}">
                          <a14:useLocalDpi xmlns:a14="http://schemas.microsoft.com/office/drawing/2010/main" val="0"/>
                        </a:ext>
                      </a:extLst>
                    </a:blip>
                    <a:stretch>
                      <a:fillRect/>
                    </a:stretch>
                  </pic:blipFill>
                  <pic:spPr>
                    <a:xfrm>
                      <a:off x="0" y="0"/>
                      <a:ext cx="3063477" cy="1788519"/>
                    </a:xfrm>
                    <a:prstGeom prst="rect">
                      <a:avLst/>
                    </a:prstGeom>
                  </pic:spPr>
                </pic:pic>
              </a:graphicData>
            </a:graphic>
          </wp:inline>
        </w:drawing>
      </w:r>
    </w:p>
    <w:p w14:paraId="7439DAE6" w14:textId="60E68747" w:rsidR="006824E2" w:rsidRPr="00796837" w:rsidRDefault="00796837" w:rsidP="00796837">
      <w:pPr>
        <w:pStyle w:val="Caption"/>
      </w:pPr>
      <w:r>
        <w:t xml:space="preserve">Figure </w:t>
      </w:r>
      <w:r w:rsidR="00C017F9">
        <w:rPr>
          <w:noProof/>
        </w:rPr>
        <w:fldChar w:fldCharType="begin"/>
      </w:r>
      <w:r w:rsidR="00C017F9">
        <w:rPr>
          <w:noProof/>
        </w:rPr>
        <w:instrText xml:space="preserve"> STYLEREF 1 \s </w:instrText>
      </w:r>
      <w:r w:rsidR="00C017F9">
        <w:rPr>
          <w:noProof/>
        </w:rPr>
        <w:fldChar w:fldCharType="separate"/>
      </w:r>
      <w:r>
        <w:rPr>
          <w:noProof/>
        </w:rPr>
        <w:t>4</w:t>
      </w:r>
      <w:r w:rsidR="00C017F9">
        <w:rPr>
          <w:noProof/>
        </w:rPr>
        <w:fldChar w:fldCharType="end"/>
      </w:r>
      <w:r>
        <w:t>.</w:t>
      </w:r>
      <w:r w:rsidR="00C017F9">
        <w:rPr>
          <w:noProof/>
        </w:rPr>
        <w:fldChar w:fldCharType="begin"/>
      </w:r>
      <w:r w:rsidR="00C017F9">
        <w:rPr>
          <w:noProof/>
        </w:rPr>
        <w:instrText xml:space="preserve"> SEQ Figure \* ARABIC \s 1 </w:instrText>
      </w:r>
      <w:r w:rsidR="00C017F9">
        <w:rPr>
          <w:noProof/>
        </w:rPr>
        <w:fldChar w:fldCharType="separate"/>
      </w:r>
      <w:r>
        <w:rPr>
          <w:noProof/>
        </w:rPr>
        <w:t>1</w:t>
      </w:r>
      <w:r w:rsidR="00C017F9">
        <w:rPr>
          <w:noProof/>
        </w:rPr>
        <w:fldChar w:fldCharType="end"/>
      </w:r>
      <w:r w:rsidRPr="00796837">
        <w:t>: Land Use Planning Zones Next to Pipelines</w:t>
      </w:r>
    </w:p>
    <w:p w14:paraId="6951BCE1" w14:textId="103AD9B7" w:rsidR="00020E6B" w:rsidRDefault="006824E2" w:rsidP="00997802">
      <w:pPr>
        <w:pStyle w:val="BodyText"/>
      </w:pPr>
      <w:r>
        <w:t xml:space="preserve">Inside the zones, planning applications for new housing, shops, or other developments, are </w:t>
      </w:r>
      <w:r w:rsidR="00020E6B">
        <w:t xml:space="preserve">assessed using detailed guidance produced and published by HSE </w:t>
      </w:r>
      <w:sdt>
        <w:sdtPr>
          <w:id w:val="-1546440064"/>
          <w:citation/>
        </w:sdtPr>
        <w:sdtEndPr/>
        <w:sdtContent>
          <w:r w:rsidR="00796837">
            <w:fldChar w:fldCharType="begin"/>
          </w:r>
          <w:r w:rsidR="00796837">
            <w:instrText xml:space="preserve"> CITATION HSE_LUP \l 2057 </w:instrText>
          </w:r>
          <w:r w:rsidR="00796837">
            <w:fldChar w:fldCharType="separate"/>
          </w:r>
          <w:r w:rsidR="00C8658D">
            <w:rPr>
              <w:noProof/>
            </w:rPr>
            <w:t>[12]</w:t>
          </w:r>
          <w:r w:rsidR="00796837">
            <w:fldChar w:fldCharType="end"/>
          </w:r>
        </w:sdtContent>
      </w:sdt>
      <w:r w:rsidR="00020E6B">
        <w:t xml:space="preserve"> which describes their methodology for assessing and providing guidance on maximum population types within each zone. Local planning authorities have been supplied with a software tool which maps pipeline routes and their associated LUP zones so that they can assess planning advice without reference to HSE for most cases.</w:t>
      </w:r>
    </w:p>
    <w:p w14:paraId="5538146B" w14:textId="4906766E" w:rsidR="008E30FE" w:rsidRDefault="008E30FE" w:rsidP="00997802">
      <w:pPr>
        <w:pStyle w:val="BodyText"/>
      </w:pPr>
      <w:r>
        <w:t>However</w:t>
      </w:r>
      <w:r w:rsidR="004A1D4A">
        <w:t>,</w:t>
      </w:r>
      <w:r>
        <w:t xml:space="preserve"> for cases which exceed the guidance levels, the planning applications are </w:t>
      </w:r>
      <w:r w:rsidR="006824E2">
        <w:t xml:space="preserve">sent to the HSE for comment, as </w:t>
      </w:r>
      <w:r>
        <w:t>s</w:t>
      </w:r>
      <w:r w:rsidR="006824E2">
        <w:t xml:space="preserve">tatutory </w:t>
      </w:r>
      <w:r>
        <w:t>c</w:t>
      </w:r>
      <w:r w:rsidR="006824E2">
        <w:t xml:space="preserve">onsultee, by the </w:t>
      </w:r>
      <w:r>
        <w:t>l</w:t>
      </w:r>
      <w:r w:rsidR="006824E2">
        <w:t xml:space="preserve">ocal </w:t>
      </w:r>
      <w:r>
        <w:t>p</w:t>
      </w:r>
      <w:r w:rsidR="006824E2">
        <w:t xml:space="preserve">lanning </w:t>
      </w:r>
      <w:r>
        <w:t>a</w:t>
      </w:r>
      <w:r w:rsidR="006824E2">
        <w:t>uthority.</w:t>
      </w:r>
      <w:r w:rsidR="00FB3531">
        <w:t xml:space="preserve"> </w:t>
      </w:r>
      <w:r>
        <w:t>This allows HSE to re-assess the proposed development against their current risk assessment methodology, taking into account any specific mitigation methods such as thicker wall pipe or concrete slabbing over the pipeline.</w:t>
      </w:r>
    </w:p>
    <w:p w14:paraId="71AAE867" w14:textId="17FA3D65" w:rsidR="008E30FE" w:rsidRDefault="006824E2" w:rsidP="00997802">
      <w:pPr>
        <w:pStyle w:val="BodyText"/>
      </w:pPr>
      <w:r>
        <w:t xml:space="preserve">If the HSE consider that the risks are too high, they advise against the development, and in most cases, the </w:t>
      </w:r>
      <w:r w:rsidR="008E30FE">
        <w:t>l</w:t>
      </w:r>
      <w:r>
        <w:t xml:space="preserve">ocal </w:t>
      </w:r>
      <w:r w:rsidR="008E30FE">
        <w:t>p</w:t>
      </w:r>
      <w:r>
        <w:t xml:space="preserve">lanning </w:t>
      </w:r>
      <w:r w:rsidR="008E30FE">
        <w:t>a</w:t>
      </w:r>
      <w:r>
        <w:t xml:space="preserve">uthority will subsequently refuse permission for the development to </w:t>
      </w:r>
      <w:r w:rsidR="008E30FE">
        <w:t>c</w:t>
      </w:r>
      <w:r>
        <w:t>ont</w:t>
      </w:r>
      <w:r w:rsidR="008E30FE">
        <w:t>inue in its current form</w:t>
      </w:r>
      <w:r>
        <w:t>.</w:t>
      </w:r>
      <w:r w:rsidR="00FB3531">
        <w:t xml:space="preserve"> </w:t>
      </w:r>
      <w:r w:rsidR="008E30FE">
        <w:t>If the local planning authority go against HSE advice and allow the planning application, HSE still have the right to “call in the papers” and initiate a public inquiry with an independent planning inspector appointed by government.</w:t>
      </w:r>
    </w:p>
    <w:p w14:paraId="4AA30F3B" w14:textId="4B19FF10" w:rsidR="002E08CE" w:rsidRDefault="00D703CB" w:rsidP="002E08CE">
      <w:pPr>
        <w:pStyle w:val="Heading1"/>
      </w:pPr>
      <w:bookmarkStart w:id="10" w:name="_Toc534624841"/>
      <w:r>
        <w:lastRenderedPageBreak/>
        <w:t>F</w:t>
      </w:r>
      <w:r w:rsidR="00A659A1">
        <w:t xml:space="preserve">ormation of </w:t>
      </w:r>
      <w:r>
        <w:t>UKOPA</w:t>
      </w:r>
      <w:r w:rsidR="00A659A1">
        <w:t xml:space="preserve"> and </w:t>
      </w:r>
      <w:r w:rsidR="00866A4F">
        <w:t>I</w:t>
      </w:r>
      <w:r w:rsidR="00A659A1">
        <w:t xml:space="preserve">nitial </w:t>
      </w:r>
      <w:r w:rsidR="00866A4F">
        <w:t>R</w:t>
      </w:r>
      <w:r w:rsidR="00A659A1">
        <w:t xml:space="preserve">epresentations to </w:t>
      </w:r>
      <w:r>
        <w:t>HSE</w:t>
      </w:r>
      <w:bookmarkEnd w:id="10"/>
    </w:p>
    <w:p w14:paraId="4D266EC6" w14:textId="076BCF81" w:rsidR="00B14406" w:rsidRPr="00B14406" w:rsidRDefault="00B14406" w:rsidP="00B14406">
      <w:pPr>
        <w:pStyle w:val="Heading2"/>
      </w:pPr>
      <w:bookmarkStart w:id="11" w:name="_Toc534624842"/>
      <w:r>
        <w:t xml:space="preserve">Formation of </w:t>
      </w:r>
      <w:r w:rsidR="00D703CB">
        <w:t>the United Kingdom Onshore Pipeline Operators’ Association</w:t>
      </w:r>
      <w:r>
        <w:t xml:space="preserve"> in 1997</w:t>
      </w:r>
      <w:bookmarkEnd w:id="11"/>
    </w:p>
    <w:p w14:paraId="5D7045A5" w14:textId="01257CE9" w:rsidR="00B14406" w:rsidRDefault="00A659A1" w:rsidP="00A659A1">
      <w:pPr>
        <w:pStyle w:val="BodyText"/>
      </w:pPr>
      <w:r w:rsidRPr="00A659A1">
        <w:t xml:space="preserve">The first recorded meeting </w:t>
      </w:r>
      <w:r>
        <w:t>of pipeline operators</w:t>
      </w:r>
      <w:r w:rsidR="00B14406">
        <w:t xml:space="preserve"> </w:t>
      </w:r>
      <w:r w:rsidRPr="00A659A1">
        <w:t xml:space="preserve">to discuss </w:t>
      </w:r>
      <w:r w:rsidR="00B14406">
        <w:t xml:space="preserve">land use planning development </w:t>
      </w:r>
      <w:r w:rsidRPr="00A659A1">
        <w:t>issues was held on 6</w:t>
      </w:r>
      <w:r w:rsidR="004A1D4A" w:rsidRPr="00107E9E">
        <w:rPr>
          <w:vertAlign w:val="superscript"/>
        </w:rPr>
        <w:t>th</w:t>
      </w:r>
      <w:r w:rsidRPr="00A659A1">
        <w:t xml:space="preserve"> August 1993 at Ambergate when ICI and British Gas shared their experiences of these difficulties with planning applications.</w:t>
      </w:r>
      <w:r w:rsidR="00FB3531">
        <w:t xml:space="preserve"> </w:t>
      </w:r>
    </w:p>
    <w:p w14:paraId="497A9EA5" w14:textId="0B8091D4" w:rsidR="00B14406" w:rsidRDefault="00A659A1" w:rsidP="00A659A1">
      <w:pPr>
        <w:pStyle w:val="BodyText"/>
      </w:pPr>
      <w:r w:rsidRPr="00A659A1">
        <w:t>A more formal gathering was held on 22</w:t>
      </w:r>
      <w:r w:rsidR="004A1D4A" w:rsidRPr="00107E9E">
        <w:rPr>
          <w:vertAlign w:val="superscript"/>
        </w:rPr>
        <w:t>nd</w:t>
      </w:r>
      <w:r w:rsidRPr="00A659A1">
        <w:t xml:space="preserve"> February 1996 chaired by BG Transco, and attended by representatives from Shell, BPA, ICI, BP and BG, with apologies from Esso and </w:t>
      </w:r>
      <w:proofErr w:type="spellStart"/>
      <w:r w:rsidRPr="00A659A1">
        <w:t>Kinetica</w:t>
      </w:r>
      <w:proofErr w:type="spellEnd"/>
      <w:r w:rsidRPr="00A659A1">
        <w:t>.</w:t>
      </w:r>
      <w:r w:rsidR="00FB3531">
        <w:t xml:space="preserve"> </w:t>
      </w:r>
      <w:r w:rsidRPr="00A659A1">
        <w:t xml:space="preserve">Land </w:t>
      </w:r>
      <w:r w:rsidR="00107E9E">
        <w:t>u</w:t>
      </w:r>
      <w:r w:rsidRPr="00A659A1">
        <w:t xml:space="preserve">se </w:t>
      </w:r>
      <w:r w:rsidR="00107E9E">
        <w:t>p</w:t>
      </w:r>
      <w:r w:rsidRPr="00A659A1">
        <w:t xml:space="preserve">lanning issues of common concern were shared. </w:t>
      </w:r>
    </w:p>
    <w:p w14:paraId="3160AE01" w14:textId="082CA524" w:rsidR="00A659A1" w:rsidRDefault="00A659A1" w:rsidP="00A659A1">
      <w:pPr>
        <w:pStyle w:val="BodyText"/>
      </w:pPr>
      <w:r w:rsidRPr="00A659A1">
        <w:t>A second meeting was held on 17</w:t>
      </w:r>
      <w:r w:rsidR="004A1D4A" w:rsidRPr="004C3E6C">
        <w:rPr>
          <w:vertAlign w:val="superscript"/>
        </w:rPr>
        <w:t>th</w:t>
      </w:r>
      <w:r w:rsidRPr="00A659A1">
        <w:t xml:space="preserve"> July 1996 when Transco shared some of the joint work being carried out on risk criteria with HSE.</w:t>
      </w:r>
      <w:r w:rsidR="00FB3531">
        <w:t xml:space="preserve"> </w:t>
      </w:r>
      <w:r w:rsidRPr="00A659A1">
        <w:t>On 29</w:t>
      </w:r>
      <w:r w:rsidR="004A1D4A" w:rsidRPr="00107E9E">
        <w:rPr>
          <w:vertAlign w:val="superscript"/>
        </w:rPr>
        <w:t>th</w:t>
      </w:r>
      <w:r w:rsidRPr="00A659A1">
        <w:t xml:space="preserve"> November 1996, a further informal meeting was held at Ambergate chaired by Transco, at which the formation of UKOPA was proposed, and the first meeting of the Association was held by ICI on Teesside on 27</w:t>
      </w:r>
      <w:r w:rsidR="004A1D4A" w:rsidRPr="00107E9E">
        <w:rPr>
          <w:vertAlign w:val="superscript"/>
        </w:rPr>
        <w:t>th</w:t>
      </w:r>
      <w:r w:rsidRPr="00A659A1">
        <w:t xml:space="preserve"> February 1997.</w:t>
      </w:r>
      <w:r w:rsidR="00FB3531">
        <w:t xml:space="preserve"> </w:t>
      </w:r>
      <w:r w:rsidRPr="00A659A1">
        <w:t>Since then Land Use Planning issues have been one of the main agenda items, progressed on several fronts, including</w:t>
      </w:r>
      <w:r w:rsidR="00B14406">
        <w:t xml:space="preserve"> through the Risk Assessment Work Group formed in 1998 and the Fault Data Management Group formed in 1999</w:t>
      </w:r>
      <w:r w:rsidR="00107E9E">
        <w:rPr>
          <w:rStyle w:val="FootnoteReference"/>
        </w:rPr>
        <w:footnoteReference w:id="1"/>
      </w:r>
      <w:r w:rsidR="00B14406">
        <w:t>.</w:t>
      </w:r>
    </w:p>
    <w:p w14:paraId="370B7223" w14:textId="26A62A0D" w:rsidR="00B14406" w:rsidRDefault="00B14406" w:rsidP="00B14406">
      <w:pPr>
        <w:pStyle w:val="Heading2"/>
      </w:pPr>
      <w:bookmarkStart w:id="12" w:name="_Toc534624843"/>
      <w:r>
        <w:t xml:space="preserve">Issues </w:t>
      </w:r>
      <w:r w:rsidR="004A1D4A">
        <w:t>with</w:t>
      </w:r>
      <w:r>
        <w:t xml:space="preserve"> HSE Approach</w:t>
      </w:r>
      <w:bookmarkEnd w:id="12"/>
    </w:p>
    <w:p w14:paraId="132CC5DC" w14:textId="469E842D" w:rsidR="00B14406" w:rsidRDefault="00B14406" w:rsidP="00B14406">
      <w:pPr>
        <w:pStyle w:val="BodyText"/>
      </w:pPr>
      <w:r>
        <w:t>Initially the main issues with the LUP zones imposed by HSE were twofold</w:t>
      </w:r>
      <w:r w:rsidR="000C0130">
        <w:t>:</w:t>
      </w:r>
    </w:p>
    <w:p w14:paraId="37AF3CEC" w14:textId="133EC5E4" w:rsidR="00B14406" w:rsidRDefault="009444BF" w:rsidP="004C3E6C">
      <w:pPr>
        <w:pStyle w:val="BodyText"/>
        <w:numPr>
          <w:ilvl w:val="0"/>
          <w:numId w:val="40"/>
        </w:numPr>
      </w:pPr>
      <w:r>
        <w:t>T</w:t>
      </w:r>
      <w:r w:rsidR="00B14406">
        <w:t>he large size of the LUP zones and the basis and methodology for deriving the zones</w:t>
      </w:r>
      <w:r w:rsidR="004A1D4A">
        <w:t xml:space="preserve">; </w:t>
      </w:r>
      <w:r w:rsidR="00B14406">
        <w:t>and</w:t>
      </w:r>
      <w:r w:rsidR="004A1D4A">
        <w:t>,</w:t>
      </w:r>
    </w:p>
    <w:p w14:paraId="00092C33" w14:textId="6A3A6CE7" w:rsidR="00B14406" w:rsidRDefault="009444BF" w:rsidP="004C3E6C">
      <w:pPr>
        <w:pStyle w:val="BodyText"/>
        <w:numPr>
          <w:ilvl w:val="0"/>
          <w:numId w:val="40"/>
        </w:numPr>
      </w:pPr>
      <w:r>
        <w:t>C</w:t>
      </w:r>
      <w:r w:rsidR="00B14406">
        <w:t>ommunication between HSE and local planning authorities so that early consultation of potential developments would prevent late intervention by HSE in cases which contravened their advice.</w:t>
      </w:r>
    </w:p>
    <w:p w14:paraId="29EC3569" w14:textId="233F0BEB" w:rsidR="00B14406" w:rsidRDefault="00B14406" w:rsidP="00B14406">
      <w:pPr>
        <w:pStyle w:val="BodyText"/>
      </w:pPr>
      <w:r>
        <w:t>HSE’s declared approach in the</w:t>
      </w:r>
      <w:r w:rsidR="00796837">
        <w:t>ir guide to the</w:t>
      </w:r>
      <w:r>
        <w:t xml:space="preserve"> Pipeline</w:t>
      </w:r>
      <w:r w:rsidR="004A1D4A">
        <w:t>s</w:t>
      </w:r>
      <w:r>
        <w:t xml:space="preserve"> Safety </w:t>
      </w:r>
      <w:r w:rsidR="000C0130">
        <w:t>R</w:t>
      </w:r>
      <w:r>
        <w:t>egulations</w:t>
      </w:r>
      <w:sdt>
        <w:sdtPr>
          <w:id w:val="-26865892"/>
          <w:citation/>
        </w:sdtPr>
        <w:sdtEndPr/>
        <w:sdtContent>
          <w:r w:rsidR="00796837">
            <w:fldChar w:fldCharType="begin"/>
          </w:r>
          <w:r w:rsidR="00796837">
            <w:instrText xml:space="preserve"> CITATION PSR_L20 \l 2057 </w:instrText>
          </w:r>
          <w:r w:rsidR="00796837">
            <w:fldChar w:fldCharType="separate"/>
          </w:r>
          <w:r w:rsidR="00C8658D">
            <w:rPr>
              <w:noProof/>
            </w:rPr>
            <w:t xml:space="preserve"> [13]</w:t>
          </w:r>
          <w:r w:rsidR="00796837">
            <w:fldChar w:fldCharType="end"/>
          </w:r>
        </w:sdtContent>
      </w:sdt>
      <w:r>
        <w:t xml:space="preserve"> (Introduction, Paragraph 2) says:</w:t>
      </w:r>
    </w:p>
    <w:p w14:paraId="65C9CC7E" w14:textId="5D564875" w:rsidR="00B14406" w:rsidRPr="00796837" w:rsidRDefault="00B14406" w:rsidP="00796837">
      <w:pPr>
        <w:pStyle w:val="BodyText"/>
        <w:jc w:val="center"/>
        <w:rPr>
          <w:i/>
        </w:rPr>
      </w:pPr>
      <w:r w:rsidRPr="00796837">
        <w:rPr>
          <w:i/>
        </w:rPr>
        <w:t>“The Pipeline</w:t>
      </w:r>
      <w:r w:rsidR="004A1D4A" w:rsidRPr="00796837">
        <w:rPr>
          <w:i/>
        </w:rPr>
        <w:t>s</w:t>
      </w:r>
      <w:r w:rsidRPr="00796837">
        <w:rPr>
          <w:i/>
        </w:rPr>
        <w:t xml:space="preserve"> Safety Regulations 1996 replace earlier prescriptive legislation on the management of pipeline safety with a more integrated, goal-setting, risk-based approach encompassing both on-shore and off-shore pipelines”</w:t>
      </w:r>
    </w:p>
    <w:p w14:paraId="09B6E554" w14:textId="25EED02A" w:rsidR="00B14406" w:rsidRDefault="00B14406" w:rsidP="00B14406">
      <w:pPr>
        <w:pStyle w:val="BodyText"/>
      </w:pPr>
      <w:r>
        <w:t>However</w:t>
      </w:r>
      <w:r w:rsidR="00796837">
        <w:t>,</w:t>
      </w:r>
      <w:r>
        <w:t xml:space="preserve"> LUP zones (especially the British Gas multiples of BPD) were set on a consequence basis rather than a risk basis.</w:t>
      </w:r>
      <w:r w:rsidR="00FB3531">
        <w:t xml:space="preserve"> </w:t>
      </w:r>
      <w:r>
        <w:t xml:space="preserve">For instance, </w:t>
      </w:r>
      <w:r w:rsidR="00796837">
        <w:t xml:space="preserve">for non-natural gas pipelines </w:t>
      </w:r>
      <w:r>
        <w:t>the inner zone was set on the fireball radius from a pipeline rupture (i.e. the consequences), not the 10</w:t>
      </w:r>
      <w:r w:rsidRPr="00B14406">
        <w:rPr>
          <w:vertAlign w:val="superscript"/>
        </w:rPr>
        <w:t>-5</w:t>
      </w:r>
      <w:r>
        <w:t xml:space="preserve"> risk level or higher that was defined by HSE as being inner zone.</w:t>
      </w:r>
      <w:r w:rsidR="00FB3531">
        <w:t xml:space="preserve"> </w:t>
      </w:r>
      <w:r>
        <w:t>Risks to people on or near a pipeline in the UK do not reach 10</w:t>
      </w:r>
      <w:r w:rsidRPr="00B14406">
        <w:rPr>
          <w:vertAlign w:val="superscript"/>
        </w:rPr>
        <w:t>-5</w:t>
      </w:r>
      <w:r>
        <w:t xml:space="preserve"> so in theory, there should be no inner zone at all for pipelines.</w:t>
      </w:r>
      <w:r w:rsidR="00FB3531">
        <w:t xml:space="preserve"> </w:t>
      </w:r>
      <w:r>
        <w:t>In many cases the risk on the pipeline is close to the “acceptable” or “negligible” level of risk of 10</w:t>
      </w:r>
      <w:r w:rsidRPr="00B14406">
        <w:rPr>
          <w:vertAlign w:val="superscript"/>
        </w:rPr>
        <w:t>-6</w:t>
      </w:r>
      <w:r>
        <w:t xml:space="preserve"> per year, so should have relatively small “middle” and “outer” zones only.</w:t>
      </w:r>
    </w:p>
    <w:p w14:paraId="186BC8B5" w14:textId="18757413" w:rsidR="00E36635" w:rsidRDefault="00387733" w:rsidP="00E36635">
      <w:pPr>
        <w:pStyle w:val="BodyText"/>
      </w:pPr>
      <w:r>
        <w:lastRenderedPageBreak/>
        <w:t>However,</w:t>
      </w:r>
      <w:r w:rsidR="00B14406">
        <w:t xml:space="preserve"> these low levels of risk </w:t>
      </w:r>
      <w:r w:rsidR="00796837">
        <w:t>were</w:t>
      </w:r>
      <w:r w:rsidR="00B14406">
        <w:t xml:space="preserve"> in conflict with the policy of setting an inner zone for pipelines, and the application of a risk-based policy of HSE’s Land Use Planning zones.</w:t>
      </w:r>
      <w:r w:rsidR="00E36635">
        <w:t xml:space="preserve"> This conflict was apparently resolved with a letter from David Eves, Deputy Director General of the HSE to Mr P Smith, Area Director of BG Transco dated 24</w:t>
      </w:r>
      <w:r w:rsidRPr="00796837">
        <w:rPr>
          <w:vertAlign w:val="superscript"/>
        </w:rPr>
        <w:t>th</w:t>
      </w:r>
      <w:r w:rsidR="00E36635">
        <w:t xml:space="preserve"> August 1995 which stated:</w:t>
      </w:r>
    </w:p>
    <w:p w14:paraId="79FF7469" w14:textId="77777777" w:rsidR="00E36635" w:rsidRPr="00796837" w:rsidRDefault="00E36635" w:rsidP="00796837">
      <w:pPr>
        <w:pStyle w:val="BodyText"/>
        <w:jc w:val="center"/>
        <w:rPr>
          <w:i/>
        </w:rPr>
      </w:pPr>
      <w:r w:rsidRPr="00796837">
        <w:rPr>
          <w:i/>
        </w:rPr>
        <w:t>“Let me assure you that HSE remains committed to the development of a risk-based approach to the provision of land-use planning advice”.</w:t>
      </w:r>
    </w:p>
    <w:p w14:paraId="17D3399C" w14:textId="121AC438" w:rsidR="00B14406" w:rsidRDefault="00E36635" w:rsidP="00E36635">
      <w:pPr>
        <w:pStyle w:val="BodyText"/>
      </w:pPr>
      <w:r>
        <w:t>Resulting from this, a joint Programme of Work was set up in 1995 by BG Transco and HSE to define the risk-based approach to Land Use Planning Zones for Transco’s 19,500 km high pressure transmission system.</w:t>
      </w:r>
    </w:p>
    <w:p w14:paraId="248B685F" w14:textId="132FC1CE" w:rsidR="00E36635" w:rsidRDefault="00E36635" w:rsidP="00E36635">
      <w:pPr>
        <w:pStyle w:val="Heading2"/>
      </w:pPr>
      <w:bookmarkStart w:id="13" w:name="_Toc534624844"/>
      <w:r>
        <w:t>Transco Joint Programme of Work</w:t>
      </w:r>
      <w:bookmarkEnd w:id="13"/>
    </w:p>
    <w:p w14:paraId="619F3B64" w14:textId="32B61EF5" w:rsidR="00E36635" w:rsidRDefault="00E36635" w:rsidP="00E36635">
      <w:pPr>
        <w:pStyle w:val="BodyText"/>
      </w:pPr>
      <w:r>
        <w:t>Following the David Eves letter, a joint project was established. Part of this project included development of the risk criteria for inner, middle and outer zones, a</w:t>
      </w:r>
      <w:r w:rsidR="009444BF">
        <w:t xml:space="preserve">s </w:t>
      </w:r>
      <w:r>
        <w:t xml:space="preserve">well as aspects of societal risk. Extensive work was done by the joint group, especially Mike </w:t>
      </w:r>
      <w:proofErr w:type="spellStart"/>
      <w:r>
        <w:t>Bilo</w:t>
      </w:r>
      <w:proofErr w:type="spellEnd"/>
      <w:r>
        <w:t xml:space="preserve"> of HSE and Harry Hopkins and Ian Corder of British Gas. Much of the methodology was published, so the methods and assumptions are captured in public-domain documents. </w:t>
      </w:r>
    </w:p>
    <w:p w14:paraId="72A28FE5" w14:textId="136C5336" w:rsidR="00E36635" w:rsidRDefault="00E36635" w:rsidP="00E36635">
      <w:pPr>
        <w:pStyle w:val="BodyText"/>
      </w:pPr>
      <w:r>
        <w:t>By the end of 1996, it was reported that the development of the methodology to enable individual risk transects to be produced had been completed, and that further work on the risk matrix defining whether certain developments could proceed in the various Land Use Planning zones was nearly complete.</w:t>
      </w:r>
      <w:r w:rsidR="00FB3531">
        <w:t xml:space="preserve"> </w:t>
      </w:r>
      <w:r>
        <w:t xml:space="preserve">Work on </w:t>
      </w:r>
      <w:r w:rsidR="00AC7B91">
        <w:t>s</w:t>
      </w:r>
      <w:r>
        <w:t>ocietal risk was continuing.</w:t>
      </w:r>
    </w:p>
    <w:p w14:paraId="2A2AC5A4" w14:textId="61773422" w:rsidR="00E36635" w:rsidRDefault="00E36635" w:rsidP="00E36635">
      <w:pPr>
        <w:pStyle w:val="BodyText"/>
      </w:pPr>
      <w:r>
        <w:t>In terms of risk methodology development, the most significant factors included an allowance for sheltering indoors for people caught in high thermal radiation areas, a methodology for fireball calculation, escape from jet fires, and use of improved methods of failure frequency calculation.</w:t>
      </w:r>
    </w:p>
    <w:p w14:paraId="53B17A6B" w14:textId="568990F2" w:rsidR="00AC7B91" w:rsidRDefault="00AC7B91" w:rsidP="00AC7B91">
      <w:pPr>
        <w:pStyle w:val="BodyText"/>
      </w:pPr>
      <w:r>
        <w:t>The outcome</w:t>
      </w:r>
      <w:r w:rsidR="000C0130">
        <w:t>s</w:t>
      </w:r>
      <w:r>
        <w:t xml:space="preserve"> of the joint program were contained in a Letter of Agreement in August 1998. This showed </w:t>
      </w:r>
      <w:r w:rsidR="009444BF">
        <w:t xml:space="preserve">agreement </w:t>
      </w:r>
      <w:r>
        <w:t>in several areas of risk assessment approach.</w:t>
      </w:r>
    </w:p>
    <w:p w14:paraId="5AB22B7E" w14:textId="768A867A" w:rsidR="00AC7B91" w:rsidRDefault="00AC7B91" w:rsidP="00AC7B91">
      <w:pPr>
        <w:pStyle w:val="BodyText"/>
      </w:pPr>
      <w:r>
        <w:t>But three things affected the outcome in terms of new LUP zones:</w:t>
      </w:r>
    </w:p>
    <w:p w14:paraId="003B6BB3" w14:textId="349D1965" w:rsidR="00AC7B91" w:rsidRDefault="009444BF" w:rsidP="00796837">
      <w:pPr>
        <w:pStyle w:val="BodyText"/>
        <w:numPr>
          <w:ilvl w:val="0"/>
          <w:numId w:val="42"/>
        </w:numPr>
      </w:pPr>
      <w:r>
        <w:t xml:space="preserve">The </w:t>
      </w:r>
      <w:r w:rsidR="00AC7B91">
        <w:t xml:space="preserve">HSE </w:t>
      </w:r>
      <w:r>
        <w:t>personnel</w:t>
      </w:r>
      <w:r w:rsidR="00AC7B91">
        <w:t xml:space="preserve"> moved on to different jobs, and the new people took little or no responsibility for what had happened previously.</w:t>
      </w:r>
    </w:p>
    <w:p w14:paraId="029F6D3A" w14:textId="09E41727" w:rsidR="00AC7B91" w:rsidRDefault="00AC7B91" w:rsidP="00796837">
      <w:pPr>
        <w:pStyle w:val="BodyText"/>
        <w:numPr>
          <w:ilvl w:val="0"/>
          <w:numId w:val="42"/>
        </w:numPr>
      </w:pPr>
      <w:r>
        <w:t xml:space="preserve">HSE decided on a new study called the “Fundamental Review of Land Use Planning”, so all the risk matrix issues </w:t>
      </w:r>
      <w:r w:rsidR="000C0130">
        <w:t>were revisited</w:t>
      </w:r>
      <w:r>
        <w:t>.</w:t>
      </w:r>
    </w:p>
    <w:p w14:paraId="392DEA37" w14:textId="6BB2D2D5" w:rsidR="00AC7B91" w:rsidRDefault="00AC7B91" w:rsidP="00796837">
      <w:pPr>
        <w:pStyle w:val="BodyText"/>
        <w:numPr>
          <w:ilvl w:val="0"/>
          <w:numId w:val="42"/>
        </w:numPr>
      </w:pPr>
      <w:r>
        <w:t xml:space="preserve">HSE advised BG Transco to publish their failure rate </w:t>
      </w:r>
      <w:r w:rsidR="006F1E79">
        <w:t xml:space="preserve">data </w:t>
      </w:r>
      <w:r w:rsidR="00796837">
        <w:t>and</w:t>
      </w:r>
      <w:r>
        <w:t xml:space="preserve"> did agree to use Transco </w:t>
      </w:r>
      <w:r w:rsidR="00796837">
        <w:t xml:space="preserve">predictive </w:t>
      </w:r>
      <w:r>
        <w:t>damage distribution models to determine their LUP zones.</w:t>
      </w:r>
      <w:r w:rsidR="00FB3531">
        <w:t xml:space="preserve"> </w:t>
      </w:r>
      <w:r>
        <w:t>However, the predictive model adopted by HSE was, in fact, a different version</w:t>
      </w:r>
      <w:r w:rsidR="009444BF">
        <w:t xml:space="preserve"> </w:t>
      </w:r>
      <w:r w:rsidR="00796837">
        <w:t>called PIPIN,</w:t>
      </w:r>
      <w:r>
        <w:t xml:space="preserve"> produced by WS</w:t>
      </w:r>
      <w:r w:rsidR="00796837">
        <w:t> </w:t>
      </w:r>
      <w:r>
        <w:t>Atkins based on limited data</w:t>
      </w:r>
      <w:r w:rsidR="00FB3531">
        <w:t xml:space="preserve"> </w:t>
      </w:r>
      <w:r w:rsidR="009444BF">
        <w:t xml:space="preserve">and on </w:t>
      </w:r>
      <w:r>
        <w:t>work done comparing some results from</w:t>
      </w:r>
      <w:r w:rsidR="009444BF">
        <w:t xml:space="preserve"> the</w:t>
      </w:r>
      <w:r>
        <w:t xml:space="preserve"> Transco model.</w:t>
      </w:r>
    </w:p>
    <w:p w14:paraId="198EA61B" w14:textId="2EF340E6" w:rsidR="00AC7B91" w:rsidRDefault="00AC7B91" w:rsidP="00AC7B91">
      <w:pPr>
        <w:pStyle w:val="BodyText"/>
      </w:pPr>
      <w:r>
        <w:t xml:space="preserve">The </w:t>
      </w:r>
      <w:r w:rsidR="009444BF">
        <w:t xml:space="preserve">request </w:t>
      </w:r>
      <w:r>
        <w:t xml:space="preserve">to publish BG </w:t>
      </w:r>
      <w:r w:rsidR="00796837">
        <w:t xml:space="preserve">Transco </w:t>
      </w:r>
      <w:r>
        <w:t>data resulted in the formation of the UKOPA Fault Database Management Group</w:t>
      </w:r>
      <w:r w:rsidR="009444BF">
        <w:t>. The data was extended from just BG</w:t>
      </w:r>
      <w:r w:rsidR="00796837">
        <w:t xml:space="preserve"> Transco</w:t>
      </w:r>
      <w:r w:rsidR="009444BF">
        <w:t xml:space="preserve"> data to include the majority of UK MAHP</w:t>
      </w:r>
      <w:r w:rsidR="000C0130">
        <w:t>s; it</w:t>
      </w:r>
      <w:r w:rsidR="009444BF">
        <w:t xml:space="preserve"> include</w:t>
      </w:r>
      <w:r w:rsidR="000C0130">
        <w:t>s</w:t>
      </w:r>
      <w:r w:rsidR="009444BF">
        <w:t xml:space="preserve"> not only failures but also </w:t>
      </w:r>
      <w:r w:rsidR="00796837">
        <w:t xml:space="preserve">field-verified </w:t>
      </w:r>
      <w:r w:rsidR="009444BF">
        <w:t>faults. This</w:t>
      </w:r>
      <w:r w:rsidR="008149D8">
        <w:t xml:space="preserve"> data</w:t>
      </w:r>
      <w:r>
        <w:t xml:space="preserve"> was subsequently published by UKOPA through the UKOPA Fault Database.</w:t>
      </w:r>
      <w:r w:rsidR="00FB3531">
        <w:t xml:space="preserve"> </w:t>
      </w:r>
      <w:r>
        <w:t xml:space="preserve">HSE </w:t>
      </w:r>
      <w:r w:rsidR="00796837">
        <w:t>were</w:t>
      </w:r>
      <w:r>
        <w:t xml:space="preserve"> joint </w:t>
      </w:r>
      <w:r>
        <w:lastRenderedPageBreak/>
        <w:t xml:space="preserve">members in the Fault Database </w:t>
      </w:r>
      <w:r w:rsidR="000C0130">
        <w:t>M</w:t>
      </w:r>
      <w:r>
        <w:t xml:space="preserve">anagement </w:t>
      </w:r>
      <w:r w:rsidR="006F1E79">
        <w:t>Group and</w:t>
      </w:r>
      <w:r>
        <w:t xml:space="preserve"> contributed to the costs of setting up the UKOPA Fault Database.</w:t>
      </w:r>
    </w:p>
    <w:p w14:paraId="435995D6" w14:textId="2F303EF0" w:rsidR="003F56ED" w:rsidRDefault="003F56ED" w:rsidP="00AC7B91">
      <w:pPr>
        <w:pStyle w:val="BodyText"/>
      </w:pPr>
      <w:r>
        <w:t xml:space="preserve">There still remained many unresolved issues of approach and methodology which concerned UKOPA members, especially the risk reduction aspects of pipeline engineering which meant that many pipelines had excessive LUP zones </w:t>
      </w:r>
      <w:r w:rsidR="008149D8">
        <w:t xml:space="preserve">and risk reduction </w:t>
      </w:r>
      <w:r>
        <w:t>could not be justified by established risk assessment methods.</w:t>
      </w:r>
    </w:p>
    <w:p w14:paraId="036E3D46" w14:textId="78917591" w:rsidR="009E63B9" w:rsidRDefault="009E63B9" w:rsidP="009E63B9">
      <w:pPr>
        <w:pStyle w:val="Heading1"/>
      </w:pPr>
      <w:bookmarkStart w:id="14" w:name="_Toc534624845"/>
      <w:r>
        <w:lastRenderedPageBreak/>
        <w:t xml:space="preserve">Joint Programme of </w:t>
      </w:r>
      <w:r w:rsidR="00040B48">
        <w:t>W</w:t>
      </w:r>
      <w:r>
        <w:t>ork with UKOPA</w:t>
      </w:r>
      <w:r w:rsidR="00A05154">
        <w:t xml:space="preserve"> 2001-2004</w:t>
      </w:r>
      <w:bookmarkEnd w:id="14"/>
    </w:p>
    <w:p w14:paraId="0CD762AA" w14:textId="3AEC0C10" w:rsidR="00A05154" w:rsidRPr="00A05154" w:rsidRDefault="00A05154" w:rsidP="00A05154">
      <w:pPr>
        <w:pStyle w:val="Heading2"/>
      </w:pPr>
      <w:bookmarkStart w:id="15" w:name="_Toc534624846"/>
      <w:r>
        <w:t>Setting up the Working Group on Pipelines (WGP)</w:t>
      </w:r>
      <w:bookmarkEnd w:id="15"/>
    </w:p>
    <w:p w14:paraId="1B0E75CF" w14:textId="3BE67857" w:rsidR="003F56ED" w:rsidRDefault="003F56ED" w:rsidP="003F56ED">
      <w:pPr>
        <w:pStyle w:val="BodyText"/>
      </w:pPr>
      <w:r>
        <w:t xml:space="preserve">UKOPA made high-level representations to HSE, and in February 2001, a meeting was held with Kevin </w:t>
      </w:r>
      <w:proofErr w:type="spellStart"/>
      <w:r>
        <w:t>Allars</w:t>
      </w:r>
      <w:proofErr w:type="spellEnd"/>
      <w:r>
        <w:t xml:space="preserve"> (Acting Head of Hazardous Installations Policy Division) and Robert Turner (Head of Methodology and Systems Development Unit </w:t>
      </w:r>
      <w:r w:rsidR="000C0130">
        <w:t>(</w:t>
      </w:r>
      <w:r>
        <w:t>MSDU</w:t>
      </w:r>
      <w:r w:rsidR="000C0130">
        <w:t>)</w:t>
      </w:r>
      <w:r>
        <w:t>).</w:t>
      </w:r>
    </w:p>
    <w:p w14:paraId="14CA472A" w14:textId="6D660C91" w:rsidR="003F56ED" w:rsidRDefault="003F56ED" w:rsidP="003F56ED">
      <w:pPr>
        <w:pStyle w:val="BodyText"/>
      </w:pPr>
      <w:r w:rsidRPr="0030283C">
        <w:t>HSE</w:t>
      </w:r>
      <w:r>
        <w:t xml:space="preserve"> agreed to move the issues forward, and a new sub-committee was set up called the Working Group on Pipelines (WGP), reporting through the Major Hazards Sub-committee to the Advisory Committee on Dangerous Substances</w:t>
      </w:r>
      <w:r w:rsidR="005D5443">
        <w:t xml:space="preserve"> (ACDS)</w:t>
      </w:r>
      <w:r>
        <w:t>.</w:t>
      </w:r>
      <w:r w:rsidR="00FB3531">
        <w:t xml:space="preserve"> </w:t>
      </w:r>
    </w:p>
    <w:p w14:paraId="67C60306" w14:textId="4FEC90C5" w:rsidR="003F56ED" w:rsidRDefault="003F56ED" w:rsidP="003F56ED">
      <w:pPr>
        <w:pStyle w:val="BodyText"/>
      </w:pPr>
      <w:r>
        <w:t>Th</w:t>
      </w:r>
      <w:r w:rsidR="0030283C">
        <w:t xml:space="preserve">e ACDS </w:t>
      </w:r>
      <w:r>
        <w:t>was a policy-making body</w:t>
      </w:r>
      <w:r w:rsidR="0030283C">
        <w:t xml:space="preserve"> and </w:t>
      </w:r>
      <w:r>
        <w:t>part of the Health &amp; Safety Commission,</w:t>
      </w:r>
      <w:r w:rsidR="0030283C">
        <w:t xml:space="preserve"> so</w:t>
      </w:r>
      <w:r>
        <w:t xml:space="preserve"> therefore (nominally) ha</w:t>
      </w:r>
      <w:r w:rsidR="0030283C">
        <w:t>d</w:t>
      </w:r>
      <w:r>
        <w:t xml:space="preserve"> more authority to decide policy than HSE. In reality this was debatable, because the actual details of risk assessments and the application of the criteria remained with the “experts” in HSE’s central </w:t>
      </w:r>
      <w:r w:rsidR="000C0130">
        <w:t>MSDU</w:t>
      </w:r>
      <w:r w:rsidR="00FB3531">
        <w:t xml:space="preserve"> </w:t>
      </w:r>
      <w:r>
        <w:t>at Bootle.</w:t>
      </w:r>
      <w:r w:rsidR="00FB3531">
        <w:t xml:space="preserve"> </w:t>
      </w:r>
      <w:r>
        <w:t>However the willingness for engage</w:t>
      </w:r>
      <w:r w:rsidR="008149D8">
        <w:t>ment</w:t>
      </w:r>
      <w:r>
        <w:t xml:space="preserve"> in dialogue and the possibility of a joint approach was welcomed by UKOPA.</w:t>
      </w:r>
    </w:p>
    <w:p w14:paraId="326EE87A" w14:textId="46EBB137" w:rsidR="003F56ED" w:rsidRDefault="003F56ED" w:rsidP="003F56ED">
      <w:pPr>
        <w:pStyle w:val="BodyText"/>
      </w:pPr>
      <w:r>
        <w:t>A joint technical workshop was held on 27</w:t>
      </w:r>
      <w:r w:rsidR="005D5443" w:rsidRPr="0030283C">
        <w:rPr>
          <w:vertAlign w:val="superscript"/>
        </w:rPr>
        <w:t>th</w:t>
      </w:r>
      <w:r>
        <w:t xml:space="preserve"> November 2001 when a range of issues w</w:t>
      </w:r>
      <w:r w:rsidR="008149D8">
        <w:t>ere</w:t>
      </w:r>
      <w:r>
        <w:t xml:space="preserve"> shared with HSE.</w:t>
      </w:r>
      <w:r w:rsidR="00FB3531">
        <w:t xml:space="preserve"> </w:t>
      </w:r>
      <w:r>
        <w:t>A new Working Party (Risk Assessment) was set up, and in February-March 2002, new failure rates using</w:t>
      </w:r>
      <w:r w:rsidR="008149D8">
        <w:t xml:space="preserve"> the</w:t>
      </w:r>
      <w:r>
        <w:t xml:space="preserve"> UKOPA Fault Database results were used, improved consequence models were applied through the HSE program MISHAP, results compared from Transco’s and HSE’s models, and new Land Use Planning zones calculated for all Transco’s</w:t>
      </w:r>
      <w:r w:rsidR="00092CB7">
        <w:t xml:space="preserve"> pipelines.</w:t>
      </w:r>
      <w:r w:rsidR="00FB3531">
        <w:t xml:space="preserve"> </w:t>
      </w:r>
      <w:r w:rsidR="00092CB7">
        <w:t>This was seen as excellent progress by UKOPA representatives.</w:t>
      </w:r>
    </w:p>
    <w:p w14:paraId="276B7153" w14:textId="587E2F49" w:rsidR="003F56ED" w:rsidRDefault="003F56ED" w:rsidP="003F56ED">
      <w:pPr>
        <w:pStyle w:val="BodyText"/>
      </w:pPr>
      <w:r>
        <w:t>There were still one or two issues</w:t>
      </w:r>
      <w:r w:rsidR="00092CB7">
        <w:t xml:space="preserve"> of difference in approach</w:t>
      </w:r>
      <w:r>
        <w:t>.</w:t>
      </w:r>
      <w:r w:rsidR="00092CB7">
        <w:t xml:space="preserve"> </w:t>
      </w:r>
      <w:r>
        <w:t xml:space="preserve">HSE decided to apply a risk-based approach to </w:t>
      </w:r>
      <w:r w:rsidR="00092CB7">
        <w:t>s</w:t>
      </w:r>
      <w:r>
        <w:t xml:space="preserve">uburban pipelines with </w:t>
      </w:r>
      <w:r w:rsidR="00092CB7">
        <w:t>d</w:t>
      </w:r>
      <w:r>
        <w:t xml:space="preserve">esign </w:t>
      </w:r>
      <w:r w:rsidR="00092CB7">
        <w:t>f</w:t>
      </w:r>
      <w:r>
        <w:t>actor below 0.3.</w:t>
      </w:r>
      <w:r w:rsidR="00FB3531">
        <w:t xml:space="preserve"> </w:t>
      </w:r>
      <w:r>
        <w:t>Previously these pipelines only had</w:t>
      </w:r>
      <w:r w:rsidR="008149D8">
        <w:t xml:space="preserve"> a</w:t>
      </w:r>
      <w:r>
        <w:t xml:space="preserve"> nominal (5-15 metre) zones.</w:t>
      </w:r>
      <w:r w:rsidR="00FB3531">
        <w:t xml:space="preserve"> </w:t>
      </w:r>
      <w:r>
        <w:t>Due to an anomaly in the HSE’s predictive model, the failure rate for these pipelines was too high, and som</w:t>
      </w:r>
      <w:r w:rsidR="00092CB7">
        <w:t xml:space="preserve">e of the zones were </w:t>
      </w:r>
      <w:r w:rsidR="008149D8">
        <w:t xml:space="preserve">calculated to be </w:t>
      </w:r>
      <w:r w:rsidR="00092CB7">
        <w:t>excessively large</w:t>
      </w:r>
      <w:r w:rsidR="008149D8">
        <w:t xml:space="preserve"> and </w:t>
      </w:r>
      <w:r w:rsidR="006F18D2">
        <w:t>unrealistic</w:t>
      </w:r>
      <w:r w:rsidR="00092CB7">
        <w:t>.</w:t>
      </w:r>
    </w:p>
    <w:p w14:paraId="5FE755F1" w14:textId="76FCB1BD" w:rsidR="003F56ED" w:rsidRDefault="003F56ED" w:rsidP="003F56ED">
      <w:pPr>
        <w:pStyle w:val="BodyText"/>
      </w:pPr>
      <w:r>
        <w:t xml:space="preserve">HSE </w:t>
      </w:r>
      <w:r w:rsidR="0030283C">
        <w:t xml:space="preserve">also </w:t>
      </w:r>
      <w:r>
        <w:t xml:space="preserve">used a single data-point for </w:t>
      </w:r>
      <w:r w:rsidR="00092CB7">
        <w:t>g</w:t>
      </w:r>
      <w:r>
        <w:t xml:space="preserve">round </w:t>
      </w:r>
      <w:r w:rsidR="00092CB7">
        <w:t>m</w:t>
      </w:r>
      <w:r>
        <w:t xml:space="preserve">ovement failure rates – the result again </w:t>
      </w:r>
      <w:r w:rsidR="00092CB7">
        <w:t xml:space="preserve">grossly </w:t>
      </w:r>
      <w:r>
        <w:t>over-state</w:t>
      </w:r>
      <w:r w:rsidR="00092CB7">
        <w:t>d</w:t>
      </w:r>
      <w:r>
        <w:t xml:space="preserve"> the risk for low design factor pipelines and so increase</w:t>
      </w:r>
      <w:r w:rsidR="00092CB7">
        <w:t>d</w:t>
      </w:r>
      <w:r>
        <w:t xml:space="preserve"> their zones.</w:t>
      </w:r>
    </w:p>
    <w:p w14:paraId="7CB47B0B" w14:textId="476E474F" w:rsidR="009E63B9" w:rsidRDefault="003F56ED" w:rsidP="003F56ED">
      <w:pPr>
        <w:pStyle w:val="BodyText"/>
      </w:pPr>
      <w:r>
        <w:t>Nevertheless,</w:t>
      </w:r>
      <w:r w:rsidR="00314427">
        <w:t xml:space="preserve"> the general approach was good with </w:t>
      </w:r>
      <w:r>
        <w:t>open working with members of MSDU,</w:t>
      </w:r>
      <w:r w:rsidR="0030283C">
        <w:t xml:space="preserve"> </w:t>
      </w:r>
      <w:r>
        <w:t>supported by Robert Turner, and all reporting back to the Working Group on Pipelines chaired by Independent ACDS</w:t>
      </w:r>
      <w:r w:rsidR="005D5443">
        <w:t xml:space="preserve"> </w:t>
      </w:r>
      <w:r>
        <w:t xml:space="preserve">member, Professor Gordon </w:t>
      </w:r>
      <w:r w:rsidR="00092CB7">
        <w:t>W</w:t>
      </w:r>
      <w:r>
        <w:t>alker of Staffordshire Universit</w:t>
      </w:r>
      <w:r w:rsidR="00092CB7">
        <w:t>y.</w:t>
      </w:r>
    </w:p>
    <w:p w14:paraId="51CEFD47" w14:textId="42C2816D" w:rsidR="00A05154" w:rsidRDefault="00A05154" w:rsidP="00A05154">
      <w:pPr>
        <w:pStyle w:val="Heading2"/>
      </w:pPr>
      <w:bookmarkStart w:id="16" w:name="_Toc534624847"/>
      <w:r>
        <w:t>HSE Withdrawal from the WGP</w:t>
      </w:r>
      <w:bookmarkEnd w:id="16"/>
    </w:p>
    <w:p w14:paraId="73DA7C27" w14:textId="3096A5B4" w:rsidR="00A05154" w:rsidRDefault="00A05154" w:rsidP="00A05154">
      <w:pPr>
        <w:pStyle w:val="BodyText"/>
      </w:pPr>
      <w:r>
        <w:t xml:space="preserve">In December 2002, Robert Turner was appointed to the Cabinet Office, and Martin Goose was appointed temporary head of MSDU. He attended the WGP meeting in </w:t>
      </w:r>
      <w:r w:rsidR="006F18D2">
        <w:t>February</w:t>
      </w:r>
      <w:r>
        <w:t xml:space="preserve"> 2003, and announced that due to resource limitations, MSDU were withdrawing from any further involvement </w:t>
      </w:r>
      <w:r w:rsidR="00314427">
        <w:t xml:space="preserve">with WGP or to work on the issues raised by UKOPA. </w:t>
      </w:r>
    </w:p>
    <w:p w14:paraId="1FD9CE7E" w14:textId="2EF0BAFF" w:rsidR="00A05154" w:rsidRDefault="00A05154" w:rsidP="00A05154">
      <w:pPr>
        <w:pStyle w:val="BodyText"/>
      </w:pPr>
      <w:r>
        <w:t xml:space="preserve">He suggested instead that future involvement should be through the </w:t>
      </w:r>
      <w:r w:rsidR="006F18D2">
        <w:t>ongoing</w:t>
      </w:r>
      <w:r>
        <w:t xml:space="preserve"> Implementation Project for the Fundamental Review of Land Use Planning (IPFRLUP) which had been progressing over the previous 2-3 years in HSE.</w:t>
      </w:r>
    </w:p>
    <w:p w14:paraId="3CD619C5" w14:textId="77FDD5E2" w:rsidR="00092CB7" w:rsidRDefault="00A05154" w:rsidP="00A05154">
      <w:pPr>
        <w:pStyle w:val="BodyText"/>
      </w:pPr>
      <w:r>
        <w:t xml:space="preserve">The WGP continued </w:t>
      </w:r>
      <w:r w:rsidR="00314427">
        <w:t xml:space="preserve">to meet </w:t>
      </w:r>
      <w:r>
        <w:t>through 2003 and 2004</w:t>
      </w:r>
      <w:r w:rsidR="000B2DFF">
        <w:t xml:space="preserve"> without HSE involvement.</w:t>
      </w:r>
      <w:r w:rsidR="00FB3531">
        <w:t xml:space="preserve"> </w:t>
      </w:r>
      <w:proofErr w:type="gramStart"/>
      <w:r w:rsidR="000B2DFF">
        <w:t>However</w:t>
      </w:r>
      <w:proofErr w:type="gramEnd"/>
      <w:r w:rsidR="000B2DFF">
        <w:t xml:space="preserve"> </w:t>
      </w:r>
      <w:r w:rsidR="00314427">
        <w:t>HSE</w:t>
      </w:r>
      <w:r w:rsidR="000B2DFF">
        <w:t xml:space="preserve"> </w:t>
      </w:r>
      <w:r>
        <w:t xml:space="preserve">risk assessment </w:t>
      </w:r>
      <w:r w:rsidR="00314427">
        <w:t>inspectors</w:t>
      </w:r>
      <w:r>
        <w:t xml:space="preserve"> </w:t>
      </w:r>
      <w:r w:rsidR="000B2DFF">
        <w:t>from</w:t>
      </w:r>
      <w:r>
        <w:t xml:space="preserve"> MSDU</w:t>
      </w:r>
      <w:r w:rsidR="000B2DFF">
        <w:t xml:space="preserve"> continued to attend </w:t>
      </w:r>
      <w:r w:rsidR="00314427">
        <w:t xml:space="preserve">Working Party (Risk </w:t>
      </w:r>
      <w:r w:rsidR="00314427">
        <w:lastRenderedPageBreak/>
        <w:t xml:space="preserve">Assessment) meetings throughout the period 2003-2005 to </w:t>
      </w:r>
      <w:r w:rsidR="000B2DFF">
        <w:t xml:space="preserve">update progress on </w:t>
      </w:r>
      <w:r w:rsidR="00314427">
        <w:t>their development of LUP zones for gas pipelines</w:t>
      </w:r>
      <w:r>
        <w:t>.</w:t>
      </w:r>
      <w:r w:rsidR="00FB3531">
        <w:t xml:space="preserve"> </w:t>
      </w:r>
      <w:r>
        <w:t xml:space="preserve">No further progress was made with </w:t>
      </w:r>
      <w:r w:rsidR="00314427">
        <w:t xml:space="preserve">UKOPA’s </w:t>
      </w:r>
      <w:r>
        <w:t>outstanding risk issues, with no progress on the planned application of updated methodology to other substances such as ethylene or spiked crude.</w:t>
      </w:r>
    </w:p>
    <w:p w14:paraId="2A7DF800" w14:textId="4F5ADD34" w:rsidR="00A05154" w:rsidRDefault="00A05154" w:rsidP="00A05154">
      <w:pPr>
        <w:pStyle w:val="Heading2"/>
      </w:pPr>
      <w:bookmarkStart w:id="17" w:name="_Toc534624848"/>
      <w:r>
        <w:t>HSE’s Fundamental Review</w:t>
      </w:r>
      <w:r w:rsidR="00FB03E9">
        <w:t xml:space="preserve"> o</w:t>
      </w:r>
      <w:r>
        <w:t>f Land Use Planning</w:t>
      </w:r>
      <w:bookmarkEnd w:id="17"/>
    </w:p>
    <w:p w14:paraId="08A97B2F" w14:textId="6ED1E35C" w:rsidR="00A05154" w:rsidRDefault="00A05154" w:rsidP="00A05154">
      <w:pPr>
        <w:pStyle w:val="BodyText"/>
      </w:pPr>
      <w:r>
        <w:t>The Fundamental Review was a project set up in HSE. It examined all aspects of the criteria and advice given to Local Planning Authorities.</w:t>
      </w:r>
      <w:r w:rsidR="00FB3531">
        <w:t xml:space="preserve"> </w:t>
      </w:r>
    </w:p>
    <w:p w14:paraId="68E7799C" w14:textId="050C3BD5" w:rsidR="00A05154" w:rsidRDefault="00A05154" w:rsidP="00A05154">
      <w:pPr>
        <w:pStyle w:val="BodyText"/>
      </w:pPr>
      <w:r>
        <w:t>The main objective was to codify the advice so that HSE involvement was reduced.</w:t>
      </w:r>
      <w:r w:rsidR="00FB3531">
        <w:t xml:space="preserve"> </w:t>
      </w:r>
      <w:r>
        <w:t>Many issues were borderline based on previous HSE published criteria, and HSE had become an unofficial consultant for issues which were registered as “consult” in the risk matrix</w:t>
      </w:r>
      <w:r w:rsidR="008149D8">
        <w:t xml:space="preserve"> used by the Local Planning Authorities</w:t>
      </w:r>
      <w:r>
        <w:t>.</w:t>
      </w:r>
    </w:p>
    <w:p w14:paraId="13315713" w14:textId="5CD7BE8F" w:rsidR="00A05154" w:rsidRDefault="00A05154" w:rsidP="00A05154">
      <w:pPr>
        <w:pStyle w:val="BodyText"/>
      </w:pPr>
      <w:r>
        <w:t>The result was a comprehensive guidance document called PADHI (Planning Advice for Development near Hazardous Installations).</w:t>
      </w:r>
      <w:r w:rsidR="00FB3531">
        <w:t xml:space="preserve"> </w:t>
      </w:r>
      <w:r>
        <w:t xml:space="preserve">This was a much clearer </w:t>
      </w:r>
      <w:r w:rsidR="0030283C">
        <w:t>document and</w:t>
      </w:r>
      <w:r>
        <w:t xml:space="preserve"> allowed local HSE area inspectors to decide on the majority of planning applications inside LUP zones.</w:t>
      </w:r>
      <w:r w:rsidR="00FB3531">
        <w:t xml:space="preserve"> </w:t>
      </w:r>
      <w:r>
        <w:t>Ultimately, the plan was for local planning authorities to be able to interpret the guidance – to this end a PC-based decision tool called PADHI+ was developed.</w:t>
      </w:r>
      <w:r w:rsidR="00FB3531">
        <w:t xml:space="preserve"> </w:t>
      </w:r>
      <w:r w:rsidR="00FB03E9">
        <w:t>This was to eventually mitigate one of UKOPA’s early concerns – better communication between local planning authorities and HSE concerning developments near MAHPs.</w:t>
      </w:r>
    </w:p>
    <w:p w14:paraId="6350B8B7" w14:textId="0FF72751" w:rsidR="00A05154" w:rsidRDefault="00A05154" w:rsidP="00A05154">
      <w:pPr>
        <w:pStyle w:val="BodyText"/>
      </w:pPr>
      <w:r>
        <w:t>To enable the advice to be applied, new LUP zones for all the Transco pipelines were issued in 2003, and previous zones remained for other major hazard pipelines.</w:t>
      </w:r>
    </w:p>
    <w:p w14:paraId="60CF8CE6" w14:textId="298D8F91" w:rsidR="00FB03E9" w:rsidRDefault="00A05154" w:rsidP="00A05154">
      <w:pPr>
        <w:pStyle w:val="BodyText"/>
      </w:pPr>
      <w:r>
        <w:t xml:space="preserve">UKOPA had very little involvement </w:t>
      </w:r>
      <w:r w:rsidR="006F18D2">
        <w:t>i</w:t>
      </w:r>
      <w:r>
        <w:t>n terms of the development of PADHI.</w:t>
      </w:r>
      <w:r w:rsidR="00FB03E9">
        <w:t xml:space="preserve"> </w:t>
      </w:r>
      <w:r>
        <w:t xml:space="preserve">However, the </w:t>
      </w:r>
      <w:r w:rsidR="00FB03E9">
        <w:t>p</w:t>
      </w:r>
      <w:r>
        <w:t xml:space="preserve">roject to implement the </w:t>
      </w:r>
      <w:r w:rsidR="00FB03E9">
        <w:t>f</w:t>
      </w:r>
      <w:r>
        <w:t>undament</w:t>
      </w:r>
      <w:r w:rsidR="008149D8">
        <w:t>al</w:t>
      </w:r>
      <w:r>
        <w:t xml:space="preserve"> review was split into stages.</w:t>
      </w:r>
      <w:r w:rsidR="00FB3531">
        <w:t xml:space="preserve"> </w:t>
      </w:r>
      <w:r w:rsidR="00FB03E9">
        <w:t>One of these</w:t>
      </w:r>
      <w:r>
        <w:t xml:space="preserve"> was a </w:t>
      </w:r>
      <w:r w:rsidR="00FB03E9">
        <w:t>r</w:t>
      </w:r>
      <w:r>
        <w:t xml:space="preserve">eview of the </w:t>
      </w:r>
      <w:r w:rsidR="00FB03E9">
        <w:t>a</w:t>
      </w:r>
      <w:r>
        <w:t>ssessment methodologies for setting LUP</w:t>
      </w:r>
      <w:r w:rsidR="00FB03E9">
        <w:t xml:space="preserve"> z</w:t>
      </w:r>
      <w:r>
        <w:t>ones.</w:t>
      </w:r>
      <w:r w:rsidR="00FB3531">
        <w:t xml:space="preserve"> </w:t>
      </w:r>
      <w:r w:rsidR="00FB03E9">
        <w:t>From UKOPA involvement, it became</w:t>
      </w:r>
      <w:r>
        <w:t xml:space="preserve"> apparent that most of HSE’s available pipeline risk methodologies </w:t>
      </w:r>
      <w:r w:rsidR="008149D8">
        <w:t xml:space="preserve">were </w:t>
      </w:r>
      <w:r>
        <w:t>seriously flawed and need</w:t>
      </w:r>
      <w:r w:rsidR="00FB03E9">
        <w:t>ed</w:t>
      </w:r>
      <w:r>
        <w:t xml:space="preserve"> development. </w:t>
      </w:r>
      <w:r w:rsidR="00FB03E9">
        <w:t xml:space="preserve">One glaring issue was the </w:t>
      </w:r>
      <w:r w:rsidR="005D5443">
        <w:t>first and second order reliability methods (FORM</w:t>
      </w:r>
      <w:r w:rsidR="002603BA">
        <w:t>/</w:t>
      </w:r>
      <w:r w:rsidR="005D5443">
        <w:t>SORM)</w:t>
      </w:r>
      <w:r w:rsidR="00FB03E9">
        <w:t xml:space="preserve"> used in HSE’s </w:t>
      </w:r>
      <w:r w:rsidR="0030283C">
        <w:t xml:space="preserve">PIPIN </w:t>
      </w:r>
      <w:r w:rsidR="00FB03E9">
        <w:t xml:space="preserve">predictive </w:t>
      </w:r>
      <w:r w:rsidR="0030283C">
        <w:t xml:space="preserve">failure rate </w:t>
      </w:r>
      <w:r w:rsidR="00FB03E9">
        <w:t>modelling which resulted in anomalies in the LUP zones for some pipelines</w:t>
      </w:r>
      <w:r w:rsidR="005D5443">
        <w:t>.</w:t>
      </w:r>
    </w:p>
    <w:p w14:paraId="4498B572" w14:textId="5B5FD720" w:rsidR="00FB03E9" w:rsidRDefault="00FB03E9" w:rsidP="00A05154">
      <w:pPr>
        <w:pStyle w:val="BodyText"/>
      </w:pPr>
      <w:r>
        <w:t>However</w:t>
      </w:r>
      <w:r w:rsidR="005D5443">
        <w:t>,</w:t>
      </w:r>
      <w:r>
        <w:t xml:space="preserve"> it was to be many years before further developments and updating of HSE methodology was to be carried out by the Health &amp; Safety Laboratory at Buxton.</w:t>
      </w:r>
    </w:p>
    <w:p w14:paraId="351DB852" w14:textId="1077B908" w:rsidR="002E08CE" w:rsidRPr="00273DB5" w:rsidRDefault="0099516F" w:rsidP="002E08CE">
      <w:pPr>
        <w:pStyle w:val="Heading1"/>
      </w:pPr>
      <w:bookmarkStart w:id="18" w:name="_Ref534572730"/>
      <w:bookmarkStart w:id="19" w:name="_Toc534624849"/>
      <w:r>
        <w:lastRenderedPageBreak/>
        <w:t xml:space="preserve">Gasoline </w:t>
      </w:r>
      <w:r w:rsidR="00040B48">
        <w:t>P</w:t>
      </w:r>
      <w:r>
        <w:t>ipelines</w:t>
      </w:r>
      <w:bookmarkEnd w:id="18"/>
      <w:bookmarkEnd w:id="19"/>
    </w:p>
    <w:p w14:paraId="349D197D" w14:textId="117D7974" w:rsidR="00CB6B94" w:rsidRPr="00162893" w:rsidRDefault="00CB6B94" w:rsidP="00CB6B94">
      <w:pPr>
        <w:pStyle w:val="Heading2"/>
        <w:rPr>
          <w:lang w:eastAsia="en-GB"/>
        </w:rPr>
      </w:pPr>
      <w:bookmarkStart w:id="20" w:name="_Toc534624850"/>
      <w:r w:rsidRPr="00162893">
        <w:rPr>
          <w:lang w:eastAsia="en-GB"/>
        </w:rPr>
        <w:t>Non-Inclusion in the Pipeline</w:t>
      </w:r>
      <w:r w:rsidR="005D5443">
        <w:rPr>
          <w:lang w:eastAsia="en-GB"/>
        </w:rPr>
        <w:t>s</w:t>
      </w:r>
      <w:r w:rsidRPr="00162893">
        <w:rPr>
          <w:lang w:eastAsia="en-GB"/>
        </w:rPr>
        <w:t xml:space="preserve"> Safety Regulations 1996</w:t>
      </w:r>
      <w:bookmarkEnd w:id="20"/>
    </w:p>
    <w:p w14:paraId="09E78D7B" w14:textId="3B5BC046" w:rsidR="00CB6B94" w:rsidRPr="00162893" w:rsidRDefault="00CB6B94" w:rsidP="00997802">
      <w:pPr>
        <w:pStyle w:val="BodyText"/>
        <w:rPr>
          <w:lang w:eastAsia="en-GB"/>
        </w:rPr>
      </w:pPr>
      <w:r w:rsidRPr="00162893">
        <w:rPr>
          <w:lang w:eastAsia="en-GB"/>
        </w:rPr>
        <w:t>During discussions with the pipeline industry in the period leading up to the introduction of the Pipeline</w:t>
      </w:r>
      <w:r w:rsidR="005D5443">
        <w:rPr>
          <w:lang w:eastAsia="en-GB"/>
        </w:rPr>
        <w:t>s</w:t>
      </w:r>
      <w:r w:rsidRPr="00162893">
        <w:rPr>
          <w:lang w:eastAsia="en-GB"/>
        </w:rPr>
        <w:t xml:space="preserve"> Safety Regulations (PSR) 1996</w:t>
      </w:r>
      <w:r>
        <w:rPr>
          <w:lang w:eastAsia="en-GB"/>
        </w:rPr>
        <w:t xml:space="preserve"> </w:t>
      </w:r>
      <w:sdt>
        <w:sdtPr>
          <w:rPr>
            <w:lang w:eastAsia="en-GB"/>
          </w:rPr>
          <w:id w:val="-150829322"/>
          <w:citation/>
        </w:sdtPr>
        <w:sdtEndPr/>
        <w:sdtContent>
          <w:r w:rsidR="0030283C">
            <w:rPr>
              <w:lang w:eastAsia="en-GB"/>
            </w:rPr>
            <w:fldChar w:fldCharType="begin"/>
          </w:r>
          <w:r w:rsidR="0030283C">
            <w:rPr>
              <w:lang w:eastAsia="en-GB"/>
            </w:rPr>
            <w:instrText xml:space="preserve"> CITATION PSR96 \l 2057 </w:instrText>
          </w:r>
          <w:r w:rsidR="0030283C">
            <w:rPr>
              <w:lang w:eastAsia="en-GB"/>
            </w:rPr>
            <w:fldChar w:fldCharType="separate"/>
          </w:r>
          <w:r w:rsidR="00C8658D">
            <w:rPr>
              <w:noProof/>
              <w:lang w:eastAsia="en-GB"/>
            </w:rPr>
            <w:t>[1]</w:t>
          </w:r>
          <w:r w:rsidR="0030283C">
            <w:rPr>
              <w:lang w:eastAsia="en-GB"/>
            </w:rPr>
            <w:fldChar w:fldCharType="end"/>
          </w:r>
        </w:sdtContent>
      </w:sdt>
      <w:r w:rsidR="0030283C">
        <w:rPr>
          <w:lang w:eastAsia="en-GB"/>
        </w:rPr>
        <w:t xml:space="preserve"> </w:t>
      </w:r>
      <w:r w:rsidRPr="00162893">
        <w:rPr>
          <w:lang w:eastAsia="en-GB"/>
        </w:rPr>
        <w:t>the Health &amp; Safety Executive initially proposed to include gasoline among the list of substances which would require notification under the proposed new regulations.</w:t>
      </w:r>
    </w:p>
    <w:p w14:paraId="132B5C96" w14:textId="0D90B9D5" w:rsidR="00CB6B94" w:rsidRPr="00162893" w:rsidRDefault="00CB6B94" w:rsidP="00997802">
      <w:pPr>
        <w:pStyle w:val="BodyText"/>
        <w:rPr>
          <w:lang w:eastAsia="en-GB"/>
        </w:rPr>
      </w:pPr>
      <w:r w:rsidRPr="00162893">
        <w:rPr>
          <w:lang w:eastAsia="en-GB"/>
        </w:rPr>
        <w:t>As a result of lobbying by the industry (United Kingdom Petroleum Industry Association UKPIA) the Health and Safety Commission decided that gasoline should be removed from the consultative document until further research into the safety of gasoline pipelines had been conducted. Therefore, the HSE commissioned two comprehensive research studies into the safety of gasoline pipelines, one by Arthur D.</w:t>
      </w:r>
      <w:r w:rsidR="005D5443">
        <w:rPr>
          <w:lang w:eastAsia="en-GB"/>
        </w:rPr>
        <w:t xml:space="preserve"> </w:t>
      </w:r>
      <w:r w:rsidRPr="00162893">
        <w:rPr>
          <w:lang w:eastAsia="en-GB"/>
        </w:rPr>
        <w:t>Little, and the other by WS Atkins. These reports were subsequently published as HSE Contract Research Reports CRR206</w:t>
      </w:r>
      <w:r w:rsidR="00C8658D">
        <w:rPr>
          <w:lang w:eastAsia="en-GB"/>
        </w:rPr>
        <w:t> </w:t>
      </w:r>
      <w:sdt>
        <w:sdtPr>
          <w:rPr>
            <w:lang w:eastAsia="en-GB"/>
          </w:rPr>
          <w:id w:val="-1251192737"/>
          <w:citation/>
        </w:sdtPr>
        <w:sdtEndPr/>
        <w:sdtContent>
          <w:r w:rsidR="00395DB9">
            <w:rPr>
              <w:lang w:eastAsia="en-GB"/>
            </w:rPr>
            <w:fldChar w:fldCharType="begin"/>
          </w:r>
          <w:r w:rsidR="00395DB9">
            <w:rPr>
              <w:lang w:eastAsia="en-GB"/>
            </w:rPr>
            <w:instrText xml:space="preserve"> CITATION CRR206_1999 \l 2057 </w:instrText>
          </w:r>
          <w:r w:rsidR="00395DB9">
            <w:rPr>
              <w:lang w:eastAsia="en-GB"/>
            </w:rPr>
            <w:fldChar w:fldCharType="separate"/>
          </w:r>
          <w:r w:rsidR="00C8658D">
            <w:rPr>
              <w:noProof/>
              <w:lang w:eastAsia="en-GB"/>
            </w:rPr>
            <w:t>[14]</w:t>
          </w:r>
          <w:r w:rsidR="00395DB9">
            <w:rPr>
              <w:lang w:eastAsia="en-GB"/>
            </w:rPr>
            <w:fldChar w:fldCharType="end"/>
          </w:r>
        </w:sdtContent>
      </w:sdt>
      <w:r w:rsidR="00395DB9">
        <w:rPr>
          <w:lang w:eastAsia="en-GB"/>
        </w:rPr>
        <w:t xml:space="preserve"> </w:t>
      </w:r>
      <w:r w:rsidRPr="00162893">
        <w:rPr>
          <w:lang w:eastAsia="en-GB"/>
        </w:rPr>
        <w:t xml:space="preserve">and CRR210 </w:t>
      </w:r>
      <w:sdt>
        <w:sdtPr>
          <w:rPr>
            <w:lang w:eastAsia="en-GB"/>
          </w:rPr>
          <w:id w:val="-1350630892"/>
          <w:citation/>
        </w:sdtPr>
        <w:sdtEndPr/>
        <w:sdtContent>
          <w:r w:rsidR="00395DB9">
            <w:rPr>
              <w:lang w:eastAsia="en-GB"/>
            </w:rPr>
            <w:fldChar w:fldCharType="begin"/>
          </w:r>
          <w:r w:rsidR="00395DB9">
            <w:rPr>
              <w:lang w:eastAsia="en-GB"/>
            </w:rPr>
            <w:instrText xml:space="preserve"> CITATION CRR210_1999 \l 2057 </w:instrText>
          </w:r>
          <w:r w:rsidR="00395DB9">
            <w:rPr>
              <w:lang w:eastAsia="en-GB"/>
            </w:rPr>
            <w:fldChar w:fldCharType="separate"/>
          </w:r>
          <w:r w:rsidR="00C8658D">
            <w:rPr>
              <w:noProof/>
              <w:lang w:eastAsia="en-GB"/>
            </w:rPr>
            <w:t>[15]</w:t>
          </w:r>
          <w:r w:rsidR="00395DB9">
            <w:rPr>
              <w:lang w:eastAsia="en-GB"/>
            </w:rPr>
            <w:fldChar w:fldCharType="end"/>
          </w:r>
        </w:sdtContent>
      </w:sdt>
      <w:r w:rsidRPr="00162893">
        <w:rPr>
          <w:lang w:eastAsia="en-GB"/>
        </w:rPr>
        <w:t>.</w:t>
      </w:r>
    </w:p>
    <w:p w14:paraId="018BA31D" w14:textId="67461AEE" w:rsidR="00CB6B94" w:rsidRPr="00162893" w:rsidRDefault="00CB6B94" w:rsidP="00CB6B94">
      <w:pPr>
        <w:pStyle w:val="BodyText"/>
        <w:rPr>
          <w:rFonts w:ascii="Arial" w:hAnsi="Arial" w:cs="Arial"/>
          <w:kern w:val="28"/>
          <w:lang w:eastAsia="en-GB"/>
        </w:rPr>
      </w:pPr>
      <w:r>
        <w:t xml:space="preserve">These reports failed to identify a coherent methodology for setting such zones, so </w:t>
      </w:r>
      <w:r w:rsidRPr="00162893">
        <w:rPr>
          <w:rFonts w:ascii="Arial" w:hAnsi="Arial" w:cs="Arial"/>
          <w:kern w:val="28"/>
          <w:lang w:eastAsia="en-GB"/>
        </w:rPr>
        <w:t>HSE therefore decided not to includ</w:t>
      </w:r>
      <w:r>
        <w:rPr>
          <w:rFonts w:ascii="Arial" w:hAnsi="Arial" w:cs="Arial"/>
          <w:kern w:val="28"/>
          <w:lang w:eastAsia="en-GB"/>
        </w:rPr>
        <w:t>e</w:t>
      </w:r>
      <w:r w:rsidRPr="00162893">
        <w:rPr>
          <w:rFonts w:ascii="Arial" w:hAnsi="Arial" w:cs="Arial"/>
          <w:kern w:val="28"/>
          <w:lang w:eastAsia="en-GB"/>
        </w:rPr>
        <w:t xml:space="preserve"> gasoline as a major hazard substance in the initial issue of PSR 1996, but to continue to review how it could be included at a later date.</w:t>
      </w:r>
      <w:r>
        <w:rPr>
          <w:rFonts w:ascii="Arial" w:hAnsi="Arial" w:cs="Arial"/>
          <w:kern w:val="28"/>
          <w:lang w:eastAsia="en-GB"/>
        </w:rPr>
        <w:t xml:space="preserve"> </w:t>
      </w:r>
    </w:p>
    <w:p w14:paraId="64FD40FC" w14:textId="29B4FDA0" w:rsidR="00CB6B94" w:rsidRPr="00162893" w:rsidRDefault="00CB6B94" w:rsidP="00D703CB">
      <w:pPr>
        <w:pStyle w:val="Heading2"/>
        <w:rPr>
          <w:lang w:eastAsia="en-GB"/>
        </w:rPr>
      </w:pPr>
      <w:bookmarkStart w:id="21" w:name="_Toc534624851"/>
      <w:r w:rsidRPr="00162893">
        <w:rPr>
          <w:lang w:eastAsia="en-GB"/>
        </w:rPr>
        <w:t>Joint HSE-UKOPA Discussions 2003-4</w:t>
      </w:r>
      <w:bookmarkEnd w:id="21"/>
    </w:p>
    <w:p w14:paraId="6B94D6FE" w14:textId="6F4513E5" w:rsidR="00CB6B94" w:rsidRDefault="00CB6B94" w:rsidP="00CB6B94">
      <w:pPr>
        <w:pStyle w:val="BodyText"/>
      </w:pPr>
      <w:r>
        <w:t>As part of a revision to the Pipeline</w:t>
      </w:r>
      <w:r w:rsidR="005D5443">
        <w:t>s</w:t>
      </w:r>
      <w:r>
        <w:t xml:space="preserve"> Safety Regulations </w:t>
      </w:r>
      <w:r w:rsidR="00395DB9">
        <w:t>1996</w:t>
      </w:r>
      <w:r w:rsidR="00071E3E">
        <w:t xml:space="preserve"> (PSR)</w:t>
      </w:r>
      <w:r w:rsidR="00395DB9">
        <w:t xml:space="preserve">, </w:t>
      </w:r>
      <w:r>
        <w:t>ACDS had directed HSE to include gasoline as a major hazard substance.</w:t>
      </w:r>
      <w:r w:rsidR="00FB3531">
        <w:t xml:space="preserve"> </w:t>
      </w:r>
      <w:r>
        <w:t xml:space="preserve">This meant it had to have (according to HSE) LUP zones. </w:t>
      </w:r>
    </w:p>
    <w:p w14:paraId="5EEB4076" w14:textId="53A066CE" w:rsidR="00CB6B94" w:rsidRDefault="00CB6B94" w:rsidP="00997802">
      <w:pPr>
        <w:pStyle w:val="BodyText"/>
        <w:rPr>
          <w:lang w:eastAsia="en-GB"/>
        </w:rPr>
      </w:pPr>
      <w:r w:rsidRPr="00162893">
        <w:rPr>
          <w:lang w:eastAsia="en-GB"/>
        </w:rPr>
        <w:t xml:space="preserve">HSE started discussions with UKOPA in 2003-4 to develop a satisfactory methodology for calculating land use planning (LUP) zones, but it became apparent </w:t>
      </w:r>
      <w:r>
        <w:rPr>
          <w:lang w:eastAsia="en-GB"/>
        </w:rPr>
        <w:t>that</w:t>
      </w:r>
      <w:r w:rsidRPr="00162893">
        <w:rPr>
          <w:lang w:eastAsia="en-GB"/>
        </w:rPr>
        <w:t xml:space="preserve"> there were differences in approach which were not resolved. In particular there were concerns with the HSE’s proposed methodology which described a 100 metres diameter maximum pool size </w:t>
      </w:r>
      <w:r>
        <w:rPr>
          <w:lang w:eastAsia="en-GB"/>
        </w:rPr>
        <w:t xml:space="preserve">which was </w:t>
      </w:r>
      <w:r w:rsidRPr="00162893">
        <w:rPr>
          <w:lang w:eastAsia="en-GB"/>
        </w:rPr>
        <w:t>based on bunds for storage tanks and applied illogical PIPIN data for failure rates resulting in larger middle zones for smaller diameter pipelines than for larger diameters.</w:t>
      </w:r>
    </w:p>
    <w:p w14:paraId="7573DD37" w14:textId="2BB16182" w:rsidR="00CB6B94" w:rsidRDefault="00CB6B94" w:rsidP="00CB6B94">
      <w:pPr>
        <w:pStyle w:val="BodyText"/>
        <w:rPr>
          <w:rFonts w:ascii="Arial" w:hAnsi="Arial" w:cs="Arial"/>
          <w:kern w:val="28"/>
          <w:lang w:eastAsia="en-GB"/>
        </w:rPr>
      </w:pPr>
      <w:r>
        <w:t>UKOPA held a joint technical workshop with HSE on 25</w:t>
      </w:r>
      <w:r w:rsidR="00F558AD" w:rsidRPr="00395DB9">
        <w:rPr>
          <w:vertAlign w:val="superscript"/>
        </w:rPr>
        <w:t>th</w:t>
      </w:r>
      <w:r>
        <w:t xml:space="preserve"> November 2003</w:t>
      </w:r>
      <w:r w:rsidR="008149D8">
        <w:t>. T</w:t>
      </w:r>
      <w:r>
        <w:t xml:space="preserve">he case for no LUP zones for gasoline was presented, and </w:t>
      </w:r>
      <w:r w:rsidR="00BD4139">
        <w:t>the</w:t>
      </w:r>
      <w:r>
        <w:t xml:space="preserve"> serious flaws in HSE’s approach</w:t>
      </w:r>
      <w:r w:rsidR="00BD4139">
        <w:t xml:space="preserve"> were highlighted</w:t>
      </w:r>
      <w:r>
        <w:t xml:space="preserve"> which placed most of the risk on pinhole leaks.</w:t>
      </w:r>
      <w:r w:rsidR="00FB3531">
        <w:t xml:space="preserve"> </w:t>
      </w:r>
    </w:p>
    <w:p w14:paraId="62B2FF41" w14:textId="2F85E967" w:rsidR="00CB6B94" w:rsidRPr="00162893" w:rsidRDefault="00CB6B94" w:rsidP="00997802">
      <w:pPr>
        <w:pStyle w:val="BodyText"/>
        <w:rPr>
          <w:lang w:eastAsia="en-GB"/>
        </w:rPr>
      </w:pPr>
      <w:r w:rsidRPr="00162893">
        <w:rPr>
          <w:lang w:eastAsia="en-GB"/>
        </w:rPr>
        <w:t>In July 2004, HSE decided not to proceed with revisions to PSR which would have included gasoline as a Dangerous Substance.</w:t>
      </w:r>
    </w:p>
    <w:p w14:paraId="07F741A6" w14:textId="1F72B8C5" w:rsidR="00CB6B94" w:rsidRPr="00162893" w:rsidRDefault="00CB6B94" w:rsidP="00D703CB">
      <w:pPr>
        <w:pStyle w:val="Heading2"/>
        <w:rPr>
          <w:lang w:eastAsia="en-GB"/>
        </w:rPr>
      </w:pPr>
      <w:bookmarkStart w:id="22" w:name="_Toc534624852"/>
      <w:r w:rsidRPr="00162893">
        <w:rPr>
          <w:lang w:eastAsia="en-GB"/>
        </w:rPr>
        <w:t>Post-Buncefield Intention to Include Gasoline in PSR Amendments 2010</w:t>
      </w:r>
      <w:bookmarkEnd w:id="22"/>
    </w:p>
    <w:p w14:paraId="339E3966" w14:textId="3BEC1372" w:rsidR="00CB6B94" w:rsidRPr="00162893" w:rsidRDefault="00CB6B94" w:rsidP="00997802">
      <w:pPr>
        <w:pStyle w:val="BodyText"/>
        <w:rPr>
          <w:lang w:eastAsia="en-GB"/>
        </w:rPr>
      </w:pPr>
      <w:r w:rsidRPr="00162893">
        <w:rPr>
          <w:lang w:eastAsia="en-GB"/>
        </w:rPr>
        <w:t>The Buncefield explosion</w:t>
      </w:r>
      <w:r>
        <w:rPr>
          <w:lang w:eastAsia="en-GB"/>
        </w:rPr>
        <w:t xml:space="preserve"> and fire</w:t>
      </w:r>
      <w:r w:rsidRPr="00162893">
        <w:rPr>
          <w:lang w:eastAsia="en-GB"/>
        </w:rPr>
        <w:t xml:space="preserve"> in December 2005 changed the situation and HSE then decided to proceed with changes to PSR to include gasoline as a Dangerous Substance in 2009-10. </w:t>
      </w:r>
      <w:r w:rsidR="00F558AD" w:rsidRPr="00162893">
        <w:rPr>
          <w:lang w:eastAsia="en-GB"/>
        </w:rPr>
        <w:t>Therefore,</w:t>
      </w:r>
      <w:r w:rsidRPr="00162893">
        <w:rPr>
          <w:lang w:eastAsia="en-GB"/>
        </w:rPr>
        <w:t xml:space="preserve"> there was a need to develop a robust methodology which calculated the LUP zones.</w:t>
      </w:r>
    </w:p>
    <w:p w14:paraId="580CCB74" w14:textId="0F2728A6" w:rsidR="00CB6B94" w:rsidRPr="00162893" w:rsidRDefault="00CB6B94" w:rsidP="00D703CB">
      <w:pPr>
        <w:pStyle w:val="Heading2"/>
        <w:rPr>
          <w:lang w:eastAsia="en-GB"/>
        </w:rPr>
      </w:pPr>
      <w:bookmarkStart w:id="23" w:name="_Toc534624853"/>
      <w:r w:rsidRPr="00162893">
        <w:rPr>
          <w:lang w:eastAsia="en-GB"/>
        </w:rPr>
        <w:lastRenderedPageBreak/>
        <w:t>UKOPA Develops Robust Meth</w:t>
      </w:r>
      <w:r w:rsidR="00BD4139">
        <w:rPr>
          <w:lang w:eastAsia="en-GB"/>
        </w:rPr>
        <w:t>o</w:t>
      </w:r>
      <w:r w:rsidRPr="00162893">
        <w:rPr>
          <w:lang w:eastAsia="en-GB"/>
        </w:rPr>
        <w:t>dology</w:t>
      </w:r>
      <w:r w:rsidR="00D703CB">
        <w:rPr>
          <w:lang w:eastAsia="en-GB"/>
        </w:rPr>
        <w:t xml:space="preserve"> for Calculating LUP Zones</w:t>
      </w:r>
      <w:bookmarkEnd w:id="23"/>
    </w:p>
    <w:p w14:paraId="7DE61354" w14:textId="77F43585" w:rsidR="00CB6B94" w:rsidRPr="00162893" w:rsidRDefault="00CB6B94" w:rsidP="00997802">
      <w:pPr>
        <w:pStyle w:val="BodyText"/>
        <w:rPr>
          <w:lang w:eastAsia="en-GB"/>
        </w:rPr>
      </w:pPr>
      <w:r w:rsidRPr="00162893">
        <w:rPr>
          <w:lang w:eastAsia="en-GB"/>
        </w:rPr>
        <w:t xml:space="preserve">UKOPA gasoline pipeline operators carried out extensive risk assessments over the period 2004-8, and this resulted in a better understanding of the key factors underlying the risks from gasoline pipelines. This allowed key parameters to be identified, and enabled UKOPA to propose a </w:t>
      </w:r>
      <w:r w:rsidR="00220610">
        <w:rPr>
          <w:lang w:eastAsia="en-GB"/>
        </w:rPr>
        <w:t>realistic</w:t>
      </w:r>
      <w:r w:rsidR="00220610" w:rsidRPr="00162893">
        <w:rPr>
          <w:lang w:eastAsia="en-GB"/>
        </w:rPr>
        <w:t xml:space="preserve"> </w:t>
      </w:r>
      <w:r w:rsidRPr="00162893">
        <w:rPr>
          <w:lang w:eastAsia="en-GB"/>
        </w:rPr>
        <w:t>and rational approach to assessing the risks for LUP zones.</w:t>
      </w:r>
      <w:r>
        <w:rPr>
          <w:lang w:eastAsia="en-GB"/>
        </w:rPr>
        <w:t xml:space="preserve"> The methodology is largely based on the comprehensive survey work and methodology proposed by WS Atkins in CRR 210</w:t>
      </w:r>
      <w:sdt>
        <w:sdtPr>
          <w:rPr>
            <w:lang w:eastAsia="en-GB"/>
          </w:rPr>
          <w:id w:val="-521783735"/>
          <w:citation/>
        </w:sdtPr>
        <w:sdtEndPr/>
        <w:sdtContent>
          <w:r w:rsidR="00395DB9">
            <w:rPr>
              <w:lang w:eastAsia="en-GB"/>
            </w:rPr>
            <w:fldChar w:fldCharType="begin"/>
          </w:r>
          <w:r w:rsidR="00395DB9">
            <w:rPr>
              <w:lang w:eastAsia="en-GB"/>
            </w:rPr>
            <w:instrText xml:space="preserve"> CITATION CRR210_1999 \l 2057 </w:instrText>
          </w:r>
          <w:r w:rsidR="00395DB9">
            <w:rPr>
              <w:lang w:eastAsia="en-GB"/>
            </w:rPr>
            <w:fldChar w:fldCharType="separate"/>
          </w:r>
          <w:r w:rsidR="00C8658D">
            <w:rPr>
              <w:noProof/>
              <w:lang w:eastAsia="en-GB"/>
            </w:rPr>
            <w:t xml:space="preserve"> [15]</w:t>
          </w:r>
          <w:r w:rsidR="00395DB9">
            <w:rPr>
              <w:lang w:eastAsia="en-GB"/>
            </w:rPr>
            <w:fldChar w:fldCharType="end"/>
          </w:r>
        </w:sdtContent>
      </w:sdt>
      <w:r>
        <w:rPr>
          <w:lang w:eastAsia="en-GB"/>
        </w:rPr>
        <w:t>.</w:t>
      </w:r>
    </w:p>
    <w:p w14:paraId="7E8076D2" w14:textId="43CD9956" w:rsidR="00CB6B94" w:rsidRPr="00162893" w:rsidRDefault="00CB6B94" w:rsidP="00997802">
      <w:pPr>
        <w:pStyle w:val="BodyText"/>
        <w:rPr>
          <w:lang w:eastAsia="en-GB"/>
        </w:rPr>
      </w:pPr>
      <w:r w:rsidRPr="00162893">
        <w:rPr>
          <w:lang w:eastAsia="en-GB"/>
        </w:rPr>
        <w:t>The proposed methodology was presented to HSE at Bootle on 2</w:t>
      </w:r>
      <w:r w:rsidR="00F558AD" w:rsidRPr="00395DB9">
        <w:rPr>
          <w:vertAlign w:val="superscript"/>
          <w:lang w:eastAsia="en-GB"/>
        </w:rPr>
        <w:t>nd</w:t>
      </w:r>
      <w:r w:rsidRPr="00162893">
        <w:rPr>
          <w:lang w:eastAsia="en-GB"/>
        </w:rPr>
        <w:t xml:space="preserve"> November 2007.</w:t>
      </w:r>
      <w:r w:rsidR="00FB3531">
        <w:rPr>
          <w:lang w:eastAsia="en-GB"/>
        </w:rPr>
        <w:t xml:space="preserve"> </w:t>
      </w:r>
      <w:r w:rsidRPr="00162893">
        <w:rPr>
          <w:lang w:eastAsia="en-GB"/>
        </w:rPr>
        <w:t xml:space="preserve">HSE raised several points, in particular concerning the calculation of the inner zone, the response time for leak identification and pump shutoff, and the use of ground soak-in. </w:t>
      </w:r>
      <w:r w:rsidR="00F558AD" w:rsidRPr="00162893">
        <w:rPr>
          <w:lang w:eastAsia="en-GB"/>
        </w:rPr>
        <w:t>Nevertheless,</w:t>
      </w:r>
      <w:r w:rsidRPr="00162893">
        <w:rPr>
          <w:lang w:eastAsia="en-GB"/>
        </w:rPr>
        <w:t xml:space="preserve"> UKOPA gasoline pipeline operators believe</w:t>
      </w:r>
      <w:r w:rsidR="00BD4139">
        <w:rPr>
          <w:lang w:eastAsia="en-GB"/>
        </w:rPr>
        <w:t>d</w:t>
      </w:r>
      <w:r w:rsidRPr="00162893">
        <w:rPr>
          <w:lang w:eastAsia="en-GB"/>
        </w:rPr>
        <w:t xml:space="preserve"> the proposed UKOPA methodology provide</w:t>
      </w:r>
      <w:r w:rsidR="00BD4139">
        <w:rPr>
          <w:lang w:eastAsia="en-GB"/>
        </w:rPr>
        <w:t>d</w:t>
      </w:r>
      <w:r w:rsidRPr="00162893">
        <w:rPr>
          <w:lang w:eastAsia="en-GB"/>
        </w:rPr>
        <w:t xml:space="preserve"> a sufficiently conservative and rational approach to allow LUP zones to be calculated and HSE were requested to adopt this approach.</w:t>
      </w:r>
    </w:p>
    <w:p w14:paraId="215B597E" w14:textId="77777777" w:rsidR="00CB6B94" w:rsidRPr="00162893" w:rsidRDefault="00CB6B94" w:rsidP="00997802">
      <w:pPr>
        <w:pStyle w:val="BodyText"/>
        <w:tabs>
          <w:tab w:val="left" w:pos="2268"/>
        </w:tabs>
        <w:rPr>
          <w:lang w:eastAsia="en-GB"/>
        </w:rPr>
      </w:pPr>
      <w:r w:rsidRPr="00162893">
        <w:rPr>
          <w:lang w:eastAsia="en-GB"/>
        </w:rPr>
        <w:t>After several meetings between UKOPA and HSE during 2008-2010, HSE published their cost benefit analysis for including gasoline, their approach to calculating risk zones, and the proposed LUP zones for several pipelines.</w:t>
      </w:r>
    </w:p>
    <w:p w14:paraId="4884EC59" w14:textId="4638D8B0" w:rsidR="00CB6B94" w:rsidRPr="00162893" w:rsidRDefault="00CB6B94" w:rsidP="00D703CB">
      <w:pPr>
        <w:pStyle w:val="Heading2"/>
        <w:rPr>
          <w:lang w:eastAsia="en-GB"/>
        </w:rPr>
      </w:pPr>
      <w:bookmarkStart w:id="24" w:name="_Toc534624854"/>
      <w:r w:rsidRPr="00162893">
        <w:rPr>
          <w:lang w:eastAsia="en-GB"/>
        </w:rPr>
        <w:t>HSE Decision Not to Proceed 2012</w:t>
      </w:r>
      <w:bookmarkEnd w:id="24"/>
    </w:p>
    <w:p w14:paraId="2E6BE74D" w14:textId="0C6CDD52" w:rsidR="00CB6B94" w:rsidRPr="00162893" w:rsidRDefault="00CB6B94" w:rsidP="00997802">
      <w:pPr>
        <w:pStyle w:val="BodyText"/>
        <w:rPr>
          <w:lang w:eastAsia="en-GB"/>
        </w:rPr>
      </w:pPr>
      <w:r w:rsidRPr="00162893">
        <w:rPr>
          <w:lang w:eastAsia="en-GB"/>
        </w:rPr>
        <w:t>Following a change in Government in 2010</w:t>
      </w:r>
      <w:r w:rsidR="00D703CB">
        <w:rPr>
          <w:lang w:eastAsia="en-GB"/>
        </w:rPr>
        <w:t>,</w:t>
      </w:r>
      <w:r w:rsidRPr="00162893">
        <w:rPr>
          <w:lang w:eastAsia="en-GB"/>
        </w:rPr>
        <w:t xml:space="preserve"> the Coalition Government made it a key priority to reduce </w:t>
      </w:r>
      <w:r w:rsidR="00220610">
        <w:rPr>
          <w:lang w:eastAsia="en-GB"/>
        </w:rPr>
        <w:t>R</w:t>
      </w:r>
      <w:r w:rsidRPr="00162893">
        <w:rPr>
          <w:lang w:eastAsia="en-GB"/>
        </w:rPr>
        <w:t xml:space="preserve">egulation. New guidelines were introduced and HSE along with other Government departments reviewed all proposed regulatory measures, including the amendments to PSR, to ensure that they </w:t>
      </w:r>
      <w:r w:rsidR="006F18D2">
        <w:rPr>
          <w:lang w:eastAsia="en-GB"/>
        </w:rPr>
        <w:t>were</w:t>
      </w:r>
      <w:r w:rsidRPr="00162893">
        <w:rPr>
          <w:lang w:eastAsia="en-GB"/>
        </w:rPr>
        <w:t xml:space="preserve"> in line with the Coalition's objectives. As a </w:t>
      </w:r>
      <w:r w:rsidR="00F558AD" w:rsidRPr="00162893">
        <w:rPr>
          <w:lang w:eastAsia="en-GB"/>
        </w:rPr>
        <w:t>result,</w:t>
      </w:r>
      <w:r w:rsidRPr="00162893">
        <w:rPr>
          <w:lang w:eastAsia="en-GB"/>
        </w:rPr>
        <w:t xml:space="preserve"> HSE decided to carry out further engagement with stakeholders and not to progress the proposed amendments to PSR at that time. </w:t>
      </w:r>
    </w:p>
    <w:p w14:paraId="7C954E0F" w14:textId="77777777" w:rsidR="00CB6B94" w:rsidRDefault="00CB6B94" w:rsidP="00997802">
      <w:pPr>
        <w:pStyle w:val="BodyText"/>
        <w:rPr>
          <w:lang w:eastAsia="en-GB"/>
        </w:rPr>
      </w:pPr>
      <w:r w:rsidRPr="00162893">
        <w:rPr>
          <w:lang w:eastAsia="en-GB"/>
        </w:rPr>
        <w:t xml:space="preserve">In 2012, HSE finally decided not to proceed with the original proposal to include gasoline as a named dangerous fluid under PSR, as the existing regulatory regime is sufficient to cover gasoline pipelines. </w:t>
      </w:r>
    </w:p>
    <w:p w14:paraId="06E09488" w14:textId="0DDDA6EA" w:rsidR="00CB6B94" w:rsidRPr="00162893" w:rsidRDefault="00CB6B94" w:rsidP="00D703CB">
      <w:pPr>
        <w:pStyle w:val="Heading2"/>
        <w:rPr>
          <w:lang w:eastAsia="en-GB"/>
        </w:rPr>
      </w:pPr>
      <w:bookmarkStart w:id="25" w:name="_Toc534624855"/>
      <w:r w:rsidRPr="00162893">
        <w:rPr>
          <w:lang w:eastAsia="en-GB"/>
        </w:rPr>
        <w:t>Current Situation</w:t>
      </w:r>
      <w:bookmarkEnd w:id="25"/>
    </w:p>
    <w:p w14:paraId="70AEDB47" w14:textId="4C1B2120" w:rsidR="00CB6B94" w:rsidRDefault="00CB6B94" w:rsidP="00997802">
      <w:pPr>
        <w:pStyle w:val="BodyText"/>
        <w:rPr>
          <w:lang w:eastAsia="en-GB"/>
        </w:rPr>
      </w:pPr>
      <w:r w:rsidRPr="00162893">
        <w:rPr>
          <w:lang w:eastAsia="en-GB"/>
        </w:rPr>
        <w:t>During the period 200</w:t>
      </w:r>
      <w:r w:rsidR="00C8658D">
        <w:rPr>
          <w:lang w:eastAsia="en-GB"/>
        </w:rPr>
        <w:t>5</w:t>
      </w:r>
      <w:r w:rsidRPr="00162893">
        <w:rPr>
          <w:lang w:eastAsia="en-GB"/>
        </w:rPr>
        <w:t>-201</w:t>
      </w:r>
      <w:r w:rsidR="00C8658D">
        <w:rPr>
          <w:lang w:eastAsia="en-GB"/>
        </w:rPr>
        <w:t>3</w:t>
      </w:r>
      <w:r w:rsidRPr="00162893">
        <w:rPr>
          <w:lang w:eastAsia="en-GB"/>
        </w:rPr>
        <w:t xml:space="preserve">, UKOPA developed two risk assessment </w:t>
      </w:r>
      <w:r w:rsidR="006F18D2">
        <w:rPr>
          <w:lang w:eastAsia="en-GB"/>
        </w:rPr>
        <w:t>standards</w:t>
      </w:r>
      <w:r w:rsidRPr="00162893">
        <w:rPr>
          <w:lang w:eastAsia="en-GB"/>
        </w:rPr>
        <w:t>, IGEM/TD/2</w:t>
      </w:r>
      <w:sdt>
        <w:sdtPr>
          <w:rPr>
            <w:lang w:eastAsia="en-GB"/>
          </w:rPr>
          <w:id w:val="-1552690664"/>
          <w:citation/>
        </w:sdtPr>
        <w:sdtEndPr/>
        <w:sdtContent>
          <w:r w:rsidR="00C8658D">
            <w:rPr>
              <w:lang w:eastAsia="en-GB"/>
            </w:rPr>
            <w:fldChar w:fldCharType="begin"/>
          </w:r>
          <w:r w:rsidR="00C8658D">
            <w:rPr>
              <w:lang w:eastAsia="en-GB"/>
            </w:rPr>
            <w:instrText xml:space="preserve"> CITATION TD2_Ed1 \l 2057 </w:instrText>
          </w:r>
          <w:r w:rsidR="00C8658D">
            <w:rPr>
              <w:lang w:eastAsia="en-GB"/>
            </w:rPr>
            <w:fldChar w:fldCharType="separate"/>
          </w:r>
          <w:r w:rsidR="00C8658D">
            <w:rPr>
              <w:noProof/>
              <w:lang w:eastAsia="en-GB"/>
            </w:rPr>
            <w:t xml:space="preserve"> [16]</w:t>
          </w:r>
          <w:r w:rsidR="00C8658D">
            <w:rPr>
              <w:lang w:eastAsia="en-GB"/>
            </w:rPr>
            <w:fldChar w:fldCharType="end"/>
          </w:r>
        </w:sdtContent>
      </w:sdt>
      <w:r w:rsidRPr="00162893">
        <w:rPr>
          <w:lang w:eastAsia="en-GB"/>
        </w:rPr>
        <w:t xml:space="preserve"> applying to natural gas pipelines and PD 8010</w:t>
      </w:r>
      <w:r w:rsidR="00F558AD">
        <w:rPr>
          <w:lang w:eastAsia="en-GB"/>
        </w:rPr>
        <w:t>-</w:t>
      </w:r>
      <w:r w:rsidRPr="00162893">
        <w:rPr>
          <w:lang w:eastAsia="en-GB"/>
        </w:rPr>
        <w:t>3</w:t>
      </w:r>
      <w:sdt>
        <w:sdtPr>
          <w:rPr>
            <w:lang w:eastAsia="en-GB"/>
          </w:rPr>
          <w:id w:val="-1501119295"/>
          <w:citation/>
        </w:sdtPr>
        <w:sdtEndPr/>
        <w:sdtContent>
          <w:r w:rsidR="00C8658D">
            <w:rPr>
              <w:lang w:eastAsia="en-GB"/>
            </w:rPr>
            <w:fldChar w:fldCharType="begin"/>
          </w:r>
          <w:r w:rsidR="00C8658D">
            <w:rPr>
              <w:lang w:eastAsia="en-GB"/>
            </w:rPr>
            <w:instrText xml:space="preserve"> CITATION PD8010_3_2009 \l 2057 </w:instrText>
          </w:r>
          <w:r w:rsidR="00C8658D">
            <w:rPr>
              <w:lang w:eastAsia="en-GB"/>
            </w:rPr>
            <w:fldChar w:fldCharType="separate"/>
          </w:r>
          <w:r w:rsidR="00C8658D">
            <w:rPr>
              <w:noProof/>
              <w:lang w:eastAsia="en-GB"/>
            </w:rPr>
            <w:t xml:space="preserve"> [17]</w:t>
          </w:r>
          <w:r w:rsidR="00C8658D">
            <w:rPr>
              <w:lang w:eastAsia="en-GB"/>
            </w:rPr>
            <w:fldChar w:fldCharType="end"/>
          </w:r>
        </w:sdtContent>
      </w:sdt>
      <w:r w:rsidRPr="00162893">
        <w:rPr>
          <w:lang w:eastAsia="en-GB"/>
        </w:rPr>
        <w:t xml:space="preserve"> app</w:t>
      </w:r>
      <w:r>
        <w:rPr>
          <w:lang w:eastAsia="en-GB"/>
        </w:rPr>
        <w:t>lying to other hazardous fluids, to capture all the development work carried out</w:t>
      </w:r>
      <w:r w:rsidR="00071E3E">
        <w:rPr>
          <w:lang w:eastAsia="en-GB"/>
        </w:rPr>
        <w:t xml:space="preserve">. </w:t>
      </w:r>
      <w:r w:rsidR="00C8658D">
        <w:rPr>
          <w:lang w:eastAsia="en-GB"/>
        </w:rPr>
        <w:t xml:space="preserve">The first editions were issued in December 2009 and January 2009 and both standards were revised and reissued in 2013 </w:t>
      </w:r>
      <w:sdt>
        <w:sdtPr>
          <w:rPr>
            <w:lang w:eastAsia="en-GB"/>
          </w:rPr>
          <w:id w:val="1772589725"/>
          <w:citation/>
        </w:sdtPr>
        <w:sdtEndPr/>
        <w:sdtContent>
          <w:r w:rsidR="00C8658D">
            <w:rPr>
              <w:lang w:eastAsia="en-GB"/>
            </w:rPr>
            <w:fldChar w:fldCharType="begin"/>
          </w:r>
          <w:r w:rsidR="00C8658D">
            <w:rPr>
              <w:lang w:eastAsia="en-GB"/>
            </w:rPr>
            <w:instrText xml:space="preserve">CITATION TD2_Ed2 \l 2057 </w:instrText>
          </w:r>
          <w:r w:rsidR="00C8658D">
            <w:rPr>
              <w:lang w:eastAsia="en-GB"/>
            </w:rPr>
            <w:fldChar w:fldCharType="separate"/>
          </w:r>
          <w:r w:rsidR="00C8658D">
            <w:rPr>
              <w:noProof/>
              <w:lang w:eastAsia="en-GB"/>
            </w:rPr>
            <w:t>[18]</w:t>
          </w:r>
          <w:r w:rsidR="00C8658D">
            <w:rPr>
              <w:lang w:eastAsia="en-GB"/>
            </w:rPr>
            <w:fldChar w:fldCharType="end"/>
          </w:r>
        </w:sdtContent>
      </w:sdt>
      <w:r w:rsidR="00C8658D">
        <w:rPr>
          <w:lang w:eastAsia="en-GB"/>
        </w:rPr>
        <w:t xml:space="preserve">, </w:t>
      </w:r>
      <w:sdt>
        <w:sdtPr>
          <w:rPr>
            <w:lang w:eastAsia="en-GB"/>
          </w:rPr>
          <w:id w:val="-689139283"/>
          <w:citation/>
        </w:sdtPr>
        <w:sdtEndPr/>
        <w:sdtContent>
          <w:r w:rsidR="00C8658D">
            <w:rPr>
              <w:lang w:eastAsia="en-GB"/>
            </w:rPr>
            <w:fldChar w:fldCharType="begin"/>
          </w:r>
          <w:r w:rsidR="00C8658D">
            <w:rPr>
              <w:lang w:eastAsia="en-GB"/>
            </w:rPr>
            <w:instrText xml:space="preserve"> CITATION PD8010_3_2012 \l 2057 </w:instrText>
          </w:r>
          <w:r w:rsidR="00C8658D">
            <w:rPr>
              <w:lang w:eastAsia="en-GB"/>
            </w:rPr>
            <w:fldChar w:fldCharType="separate"/>
          </w:r>
          <w:r w:rsidR="00C8658D">
            <w:rPr>
              <w:noProof/>
              <w:lang w:eastAsia="en-GB"/>
            </w:rPr>
            <w:t>[19]</w:t>
          </w:r>
          <w:r w:rsidR="00C8658D">
            <w:rPr>
              <w:lang w:eastAsia="en-GB"/>
            </w:rPr>
            <w:fldChar w:fldCharType="end"/>
          </w:r>
        </w:sdtContent>
      </w:sdt>
      <w:r w:rsidR="00C8658D">
        <w:rPr>
          <w:lang w:eastAsia="en-GB"/>
        </w:rPr>
        <w:t xml:space="preserve">. </w:t>
      </w:r>
      <w:r w:rsidR="00071E3E">
        <w:rPr>
          <w:lang w:eastAsia="en-GB"/>
        </w:rPr>
        <w:t>The development of the</w:t>
      </w:r>
      <w:r w:rsidR="00C8658D">
        <w:rPr>
          <w:lang w:eastAsia="en-GB"/>
        </w:rPr>
        <w:t>se</w:t>
      </w:r>
      <w:r w:rsidR="00071E3E">
        <w:rPr>
          <w:lang w:eastAsia="en-GB"/>
        </w:rPr>
        <w:t xml:space="preserve"> risk assessment standards is discussed in Section</w:t>
      </w:r>
      <w:r w:rsidR="00C8658D">
        <w:rPr>
          <w:lang w:eastAsia="en-GB"/>
        </w:rPr>
        <w:t> </w:t>
      </w:r>
      <w:r w:rsidR="00071E3E">
        <w:rPr>
          <w:lang w:eastAsia="en-GB"/>
        </w:rPr>
        <w:fldChar w:fldCharType="begin"/>
      </w:r>
      <w:r w:rsidR="00071E3E">
        <w:rPr>
          <w:lang w:eastAsia="en-GB"/>
        </w:rPr>
        <w:instrText xml:space="preserve"> REF _Ref534567487 \r \h </w:instrText>
      </w:r>
      <w:r w:rsidR="00997802">
        <w:rPr>
          <w:lang w:eastAsia="en-GB"/>
        </w:rPr>
        <w:instrText xml:space="preserve"> \* MERGEFORMAT </w:instrText>
      </w:r>
      <w:r w:rsidR="00071E3E">
        <w:rPr>
          <w:lang w:eastAsia="en-GB"/>
        </w:rPr>
      </w:r>
      <w:r w:rsidR="00071E3E">
        <w:rPr>
          <w:lang w:eastAsia="en-GB"/>
        </w:rPr>
        <w:fldChar w:fldCharType="separate"/>
      </w:r>
      <w:r w:rsidR="00071E3E">
        <w:rPr>
          <w:lang w:eastAsia="en-GB"/>
        </w:rPr>
        <w:t>8</w:t>
      </w:r>
      <w:r w:rsidR="00071E3E">
        <w:rPr>
          <w:lang w:eastAsia="en-GB"/>
        </w:rPr>
        <w:fldChar w:fldCharType="end"/>
      </w:r>
      <w:r w:rsidR="00071E3E">
        <w:rPr>
          <w:lang w:eastAsia="en-GB"/>
        </w:rPr>
        <w:t>.</w:t>
      </w:r>
    </w:p>
    <w:p w14:paraId="7F1F23A2" w14:textId="46159668" w:rsidR="00CB6B94" w:rsidRPr="00162893" w:rsidRDefault="00CB6B94" w:rsidP="00997802">
      <w:pPr>
        <w:pStyle w:val="BodyText"/>
        <w:rPr>
          <w:lang w:eastAsia="en-GB"/>
        </w:rPr>
      </w:pPr>
      <w:r>
        <w:rPr>
          <w:lang w:eastAsia="en-GB"/>
        </w:rPr>
        <w:t>It should be noted that HSE assessment methodology does not include the requirement to carry out societal risk analysis for populated sections of pipeline as specified in IGEM/TD/1 for gas pipelines, as it is implicit in their land use planning guidance.</w:t>
      </w:r>
      <w:r w:rsidR="00FB3531">
        <w:rPr>
          <w:lang w:eastAsia="en-GB"/>
        </w:rPr>
        <w:t xml:space="preserve"> </w:t>
      </w:r>
      <w:r>
        <w:rPr>
          <w:lang w:eastAsia="en-GB"/>
        </w:rPr>
        <w:t xml:space="preserve">However </w:t>
      </w:r>
      <w:r w:rsidR="00071E3E">
        <w:rPr>
          <w:lang w:eastAsia="en-GB"/>
        </w:rPr>
        <w:t xml:space="preserve">societal risk analysis </w:t>
      </w:r>
      <w:r>
        <w:rPr>
          <w:lang w:eastAsia="en-GB"/>
        </w:rPr>
        <w:t>provides a robust approach to obtain a decision on whether the risk to the adjacent population is “ALARP” requiring further assessment of risk reduction measures, or “broadly tolerable” therefore requiring no further consideration of risk reduction.</w:t>
      </w:r>
    </w:p>
    <w:p w14:paraId="11E043CC" w14:textId="0B54484A" w:rsidR="00CB6B94" w:rsidRDefault="00CB6B94" w:rsidP="00997802">
      <w:pPr>
        <w:pStyle w:val="BodyText"/>
      </w:pPr>
      <w:r w:rsidRPr="00162893">
        <w:rPr>
          <w:lang w:eastAsia="en-GB"/>
        </w:rPr>
        <w:t xml:space="preserve">Recognising that gasoline pipelines (and other oil products transported at high pressure) can impose a risk in populated areas, most UKOPA </w:t>
      </w:r>
      <w:r w:rsidR="00454E08">
        <w:rPr>
          <w:lang w:eastAsia="en-GB"/>
        </w:rPr>
        <w:t xml:space="preserve">liquid pipeline </w:t>
      </w:r>
      <w:r w:rsidRPr="00162893">
        <w:rPr>
          <w:lang w:eastAsia="en-GB"/>
        </w:rPr>
        <w:t>operators have therefore applied th</w:t>
      </w:r>
      <w:r>
        <w:rPr>
          <w:lang w:eastAsia="en-GB"/>
        </w:rPr>
        <w:t>e societal risk</w:t>
      </w:r>
      <w:r w:rsidRPr="00162893">
        <w:rPr>
          <w:lang w:eastAsia="en-GB"/>
        </w:rPr>
        <w:t xml:space="preserve"> methodology to their pipeline operations and in some cases have </w:t>
      </w:r>
      <w:r w:rsidRPr="00162893">
        <w:rPr>
          <w:lang w:eastAsia="en-GB"/>
        </w:rPr>
        <w:lastRenderedPageBreak/>
        <w:t>implemented addition</w:t>
      </w:r>
      <w:r>
        <w:rPr>
          <w:lang w:eastAsia="en-GB"/>
        </w:rPr>
        <w:t>al</w:t>
      </w:r>
      <w:r w:rsidRPr="00162893">
        <w:rPr>
          <w:lang w:eastAsia="en-GB"/>
        </w:rPr>
        <w:t xml:space="preserve"> risk reduction measures where the risk is estimated to exceed societal risk levels in PD 801</w:t>
      </w:r>
      <w:r w:rsidR="00454E08">
        <w:rPr>
          <w:lang w:eastAsia="en-GB"/>
        </w:rPr>
        <w:t>0-3</w:t>
      </w:r>
      <w:r w:rsidRPr="00162893">
        <w:rPr>
          <w:lang w:eastAsia="en-GB"/>
        </w:rPr>
        <w:t>.</w:t>
      </w:r>
    </w:p>
    <w:p w14:paraId="028BE159" w14:textId="6B2211AD" w:rsidR="002E08CE" w:rsidRDefault="008454C8" w:rsidP="00F558AD">
      <w:pPr>
        <w:pStyle w:val="Heading1"/>
        <w:tabs>
          <w:tab w:val="clear" w:pos="1701"/>
        </w:tabs>
        <w:ind w:left="851" w:hanging="851"/>
      </w:pPr>
      <w:bookmarkStart w:id="26" w:name="_Ref534567487"/>
      <w:bookmarkStart w:id="27" w:name="_Toc534624856"/>
      <w:r>
        <w:lastRenderedPageBreak/>
        <w:t>D</w:t>
      </w:r>
      <w:r w:rsidR="00BD4139">
        <w:t xml:space="preserve">evelopment of </w:t>
      </w:r>
      <w:r w:rsidR="000357F8">
        <w:t>R</w:t>
      </w:r>
      <w:r w:rsidR="00BD4139">
        <w:t xml:space="preserve">isk </w:t>
      </w:r>
      <w:r w:rsidR="004634FD">
        <w:t xml:space="preserve">Standards </w:t>
      </w:r>
      <w:r w:rsidR="00BD4139">
        <w:t>2005-201</w:t>
      </w:r>
      <w:bookmarkEnd w:id="26"/>
      <w:bookmarkEnd w:id="27"/>
      <w:r w:rsidR="00C8658D">
        <w:t>3</w:t>
      </w:r>
    </w:p>
    <w:p w14:paraId="34A941ED" w14:textId="24DC8C0E" w:rsidR="008454C8" w:rsidRDefault="008E553D" w:rsidP="008E553D">
      <w:pPr>
        <w:pStyle w:val="Heading2"/>
      </w:pPr>
      <w:bookmarkStart w:id="28" w:name="_Toc534624857"/>
      <w:r>
        <w:t>Decision to Proceed with Code Supplements</w:t>
      </w:r>
      <w:bookmarkEnd w:id="28"/>
    </w:p>
    <w:p w14:paraId="11B9ED98" w14:textId="1AF1807B" w:rsidR="008E553D" w:rsidRDefault="008E553D" w:rsidP="008454C8">
      <w:pPr>
        <w:pStyle w:val="BodyText"/>
      </w:pPr>
      <w:r>
        <w:t xml:space="preserve">Following HSE’s decision to withdraw from the </w:t>
      </w:r>
      <w:r w:rsidR="00314427">
        <w:t>Working Group on Pipelines</w:t>
      </w:r>
      <w:r w:rsidR="006D3E0F">
        <w:t xml:space="preserve"> and not to progress outstanding issues</w:t>
      </w:r>
      <w:r>
        <w:t>, a proposal was presented to the UKOPA membership by</w:t>
      </w:r>
      <w:r w:rsidR="00300897">
        <w:t xml:space="preserve"> the Risk Assessment Work Group</w:t>
      </w:r>
      <w:r>
        <w:t xml:space="preserve"> in early 2005</w:t>
      </w:r>
      <w:r w:rsidR="002F34D9">
        <w:t xml:space="preserve"> to develop code supplements for IGEM and BSI.</w:t>
      </w:r>
      <w:r w:rsidR="00FB3531">
        <w:t xml:space="preserve"> </w:t>
      </w:r>
      <w:r w:rsidR="002F34D9">
        <w:t>I</w:t>
      </w:r>
      <w:r>
        <w:t xml:space="preserve">t was agreed that the UKOPA Risk Assessment Work Group would proceed with developing </w:t>
      </w:r>
      <w:r w:rsidR="00454E08">
        <w:t xml:space="preserve">the </w:t>
      </w:r>
      <w:r>
        <w:t>code supplements for IGEM and BSI.</w:t>
      </w:r>
      <w:r w:rsidR="00FB3531">
        <w:t xml:space="preserve"> </w:t>
      </w:r>
      <w:r>
        <w:t xml:space="preserve">UKOPA’s intention to develop these code supplements was published to the </w:t>
      </w:r>
      <w:r w:rsidR="002F34D9">
        <w:t xml:space="preserve">industry </w:t>
      </w:r>
      <w:r>
        <w:t xml:space="preserve">in a presentation at the BSI Conference and Network </w:t>
      </w:r>
      <w:r w:rsidR="006D3E0F">
        <w:t>E</w:t>
      </w:r>
      <w:r>
        <w:t>vent to launch PD 8010</w:t>
      </w:r>
      <w:r w:rsidR="00454E08">
        <w:t>-1:</w:t>
      </w:r>
      <w:r>
        <w:t xml:space="preserve">2004 </w:t>
      </w:r>
      <w:r w:rsidR="007E4142">
        <w:t>on 5</w:t>
      </w:r>
      <w:r w:rsidR="00F558AD" w:rsidRPr="00454E08">
        <w:rPr>
          <w:vertAlign w:val="superscript"/>
        </w:rPr>
        <w:t>th</w:t>
      </w:r>
      <w:r w:rsidR="006D3E0F">
        <w:t xml:space="preserve"> May 2005</w:t>
      </w:r>
      <w:r>
        <w:t>.</w:t>
      </w:r>
      <w:r w:rsidR="00FB3531">
        <w:t xml:space="preserve"> </w:t>
      </w:r>
      <w:r w:rsidR="00B56A71">
        <w:t>This was followed by an article in the IGEM magazine in June 2005.</w:t>
      </w:r>
    </w:p>
    <w:p w14:paraId="5A156CBC" w14:textId="0B1734D8" w:rsidR="008E553D" w:rsidRDefault="008E553D" w:rsidP="008454C8">
      <w:pPr>
        <w:pStyle w:val="BodyText"/>
      </w:pPr>
      <w:r>
        <w:t>The plan was to develop and publish outline methodology for each stage of the calculation of risk levels from pipelines, such that different agencies (operators, consultants</w:t>
      </w:r>
      <w:r w:rsidR="007B05AD">
        <w:t>, regulators</w:t>
      </w:r>
      <w:r>
        <w:t xml:space="preserve"> etc.) would </w:t>
      </w:r>
      <w:r w:rsidR="007B05AD">
        <w:t xml:space="preserve">see and </w:t>
      </w:r>
      <w:r>
        <w:t>apply a co</w:t>
      </w:r>
      <w:r w:rsidR="007B05AD">
        <w:t>m</w:t>
      </w:r>
      <w:r>
        <w:t xml:space="preserve">mon approach so obtaining </w:t>
      </w:r>
      <w:r w:rsidR="007B05AD">
        <w:t>similar results.</w:t>
      </w:r>
      <w:r w:rsidR="00FB3531">
        <w:t xml:space="preserve"> </w:t>
      </w:r>
      <w:r w:rsidR="007B05AD">
        <w:t>This would improve the transparency of the calculation methodology so removing discrepancies resulting from different approaches.</w:t>
      </w:r>
      <w:r w:rsidR="00FB3531">
        <w:t xml:space="preserve"> </w:t>
      </w:r>
      <w:r w:rsidR="007B05AD">
        <w:t>UKOPA maintained HSE involvement as a high priority, such that any discrepancies in approach could be discussed and, if necessary, any difference in approach could be highlighted in the codes.</w:t>
      </w:r>
    </w:p>
    <w:p w14:paraId="7B924F86" w14:textId="7DA4C7F9" w:rsidR="007B05AD" w:rsidRDefault="007B05AD" w:rsidP="007B05AD">
      <w:pPr>
        <w:pStyle w:val="Heading2"/>
      </w:pPr>
      <w:bookmarkStart w:id="29" w:name="_Toc534624858"/>
      <w:r>
        <w:t>Progress on Producing the Code Supplements</w:t>
      </w:r>
      <w:bookmarkEnd w:id="29"/>
    </w:p>
    <w:p w14:paraId="289037ED" w14:textId="3E49276D" w:rsidR="006D3E0F" w:rsidRDefault="00176E22" w:rsidP="006D3E0F">
      <w:pPr>
        <w:pStyle w:val="BodyText"/>
      </w:pPr>
      <w:r>
        <w:t>Work soon started on initial drafts for the</w:t>
      </w:r>
      <w:r w:rsidR="002F34D9">
        <w:t>se</w:t>
      </w:r>
      <w:r>
        <w:t xml:space="preserve"> codes but it soon became apparent that extensive development work was required to define and justify the various data and risk reduction factors which were to be included. Specific items included:</w:t>
      </w:r>
    </w:p>
    <w:p w14:paraId="2650E68A" w14:textId="34B13B10" w:rsidR="00176E22" w:rsidRDefault="00176E22" w:rsidP="00176E22">
      <w:pPr>
        <w:pStyle w:val="BodyText"/>
        <w:numPr>
          <w:ilvl w:val="0"/>
          <w:numId w:val="33"/>
        </w:numPr>
      </w:pPr>
      <w:r>
        <w:t>Guidance on how quantified risk assessments should be carried out for developments near MAHPs</w:t>
      </w:r>
      <w:r w:rsidR="000357F8">
        <w:t>;</w:t>
      </w:r>
    </w:p>
    <w:p w14:paraId="16A0C607" w14:textId="0E339B40" w:rsidR="00176E22" w:rsidRDefault="00176E22" w:rsidP="00176E22">
      <w:pPr>
        <w:pStyle w:val="BodyText"/>
        <w:numPr>
          <w:ilvl w:val="0"/>
          <w:numId w:val="33"/>
        </w:numPr>
      </w:pPr>
      <w:r>
        <w:t>What information, if any, should be included on actual LUP zones</w:t>
      </w:r>
      <w:r w:rsidR="000357F8">
        <w:t>;</w:t>
      </w:r>
    </w:p>
    <w:p w14:paraId="2B747E12" w14:textId="31106CC6" w:rsidR="001A318A" w:rsidRDefault="001A318A" w:rsidP="00176E22">
      <w:pPr>
        <w:pStyle w:val="BodyText"/>
        <w:numPr>
          <w:ilvl w:val="0"/>
          <w:numId w:val="33"/>
        </w:numPr>
      </w:pPr>
      <w:r>
        <w:t>Details of how to calculate individual and societal risk</w:t>
      </w:r>
      <w:r w:rsidR="00C06B52">
        <w:t>.</w:t>
      </w:r>
      <w:r w:rsidR="00FB3531">
        <w:t xml:space="preserve"> </w:t>
      </w:r>
      <w:r w:rsidR="00C06B52">
        <w:t>For the PD 8010</w:t>
      </w:r>
      <w:r w:rsidR="000357F8">
        <w:t>-</w:t>
      </w:r>
      <w:r w:rsidR="00C06B52">
        <w:t>3 code this included publishing a societal risk FN criterion line defining the ALARP and “tolerable / broadly acceptable” regions of the FN chart based on previous HSE publications</w:t>
      </w:r>
      <w:r w:rsidR="000357F8">
        <w:t>;</w:t>
      </w:r>
    </w:p>
    <w:p w14:paraId="18BBCA78" w14:textId="5E29BEB2" w:rsidR="00176E22" w:rsidRDefault="00176E22" w:rsidP="00176E22">
      <w:pPr>
        <w:pStyle w:val="BodyText"/>
        <w:numPr>
          <w:ilvl w:val="0"/>
          <w:numId w:val="33"/>
        </w:numPr>
      </w:pPr>
      <w:r>
        <w:t xml:space="preserve">How to calculate </w:t>
      </w:r>
      <w:r w:rsidR="001A318A">
        <w:t>failure rates based on a graphical approach taking into account design factor and wall thickness</w:t>
      </w:r>
      <w:r w:rsidR="000357F8">
        <w:t>;</w:t>
      </w:r>
    </w:p>
    <w:p w14:paraId="674C140A" w14:textId="0285998B" w:rsidR="001A318A" w:rsidRDefault="001A318A" w:rsidP="00176E22">
      <w:pPr>
        <w:pStyle w:val="BodyText"/>
        <w:numPr>
          <w:ilvl w:val="0"/>
          <w:numId w:val="33"/>
        </w:numPr>
      </w:pPr>
      <w:r>
        <w:t xml:space="preserve">Typical calculations and results tables showing critical </w:t>
      </w:r>
      <w:r w:rsidR="002F34D9">
        <w:t>c</w:t>
      </w:r>
      <w:r>
        <w:t>rack length and pipeline rupture</w:t>
      </w:r>
      <w:r w:rsidR="00C06B52">
        <w:t xml:space="preserve"> proportions</w:t>
      </w:r>
      <w:r w:rsidR="000357F8">
        <w:t>;</w:t>
      </w:r>
    </w:p>
    <w:p w14:paraId="59322E82" w14:textId="54712CEC" w:rsidR="001A318A" w:rsidRDefault="001A318A" w:rsidP="00176E22">
      <w:pPr>
        <w:pStyle w:val="BodyText"/>
        <w:numPr>
          <w:ilvl w:val="0"/>
          <w:numId w:val="33"/>
        </w:numPr>
      </w:pPr>
      <w:r>
        <w:t>Defining and justifying external interference risk reduction factors for mitigation methods including protective measures such as concrete slabbing, depth of cover over a pipeline, effect of surveillance frequency</w:t>
      </w:r>
      <w:r w:rsidR="00C06B52">
        <w:t>, marker posts etc.</w:t>
      </w:r>
      <w:r w:rsidR="000357F8">
        <w:t>;</w:t>
      </w:r>
    </w:p>
    <w:p w14:paraId="56600E31" w14:textId="5A602C08" w:rsidR="001A318A" w:rsidRDefault="001A318A" w:rsidP="00176E22">
      <w:pPr>
        <w:pStyle w:val="BodyText"/>
        <w:numPr>
          <w:ilvl w:val="0"/>
          <w:numId w:val="33"/>
        </w:numPr>
      </w:pPr>
      <w:r>
        <w:t xml:space="preserve">Including UKOPA data for corrosion and mechanical defect failure rates and how to assess them based on pipeline age and </w:t>
      </w:r>
      <w:r w:rsidR="002F34D9">
        <w:t xml:space="preserve">integrity </w:t>
      </w:r>
      <w:r>
        <w:t>management factors</w:t>
      </w:r>
      <w:r w:rsidR="000357F8">
        <w:t>;</w:t>
      </w:r>
    </w:p>
    <w:p w14:paraId="183900A8" w14:textId="6BB78E22" w:rsidR="001A318A" w:rsidRDefault="00C06B52" w:rsidP="00176E22">
      <w:pPr>
        <w:pStyle w:val="BodyText"/>
        <w:numPr>
          <w:ilvl w:val="0"/>
          <w:numId w:val="33"/>
        </w:numPr>
      </w:pPr>
      <w:r>
        <w:lastRenderedPageBreak/>
        <w:t>For the later revision of the codes, including a comprehensive methodology for assessing ground movement failure rates based on pipeline parameters and ground type</w:t>
      </w:r>
      <w:r w:rsidR="000357F8">
        <w:t>;</w:t>
      </w:r>
    </w:p>
    <w:p w14:paraId="48B4394E" w14:textId="7BD4A58F" w:rsidR="00C06B52" w:rsidRDefault="00C06B52" w:rsidP="00176E22">
      <w:pPr>
        <w:pStyle w:val="BodyText"/>
        <w:numPr>
          <w:ilvl w:val="0"/>
          <w:numId w:val="33"/>
        </w:numPr>
      </w:pPr>
      <w:r>
        <w:t>Including a suitable example showing how a typical land use planning development should be assessed based on HSE guidance</w:t>
      </w:r>
      <w:r w:rsidR="000357F8">
        <w:t>; and,</w:t>
      </w:r>
    </w:p>
    <w:p w14:paraId="5D9CA1C9" w14:textId="290427E0" w:rsidR="00C06B52" w:rsidRDefault="00C06B52" w:rsidP="00176E22">
      <w:pPr>
        <w:pStyle w:val="BodyText"/>
        <w:numPr>
          <w:ilvl w:val="0"/>
          <w:numId w:val="33"/>
        </w:numPr>
      </w:pPr>
      <w:r>
        <w:t>In both codes, it was decided that there should be an appendix describing HSE approach to land use planning assessments</w:t>
      </w:r>
      <w:r w:rsidR="004634FD">
        <w:t>.</w:t>
      </w:r>
    </w:p>
    <w:p w14:paraId="0A16B11B" w14:textId="3598A4E0" w:rsidR="00C06B52" w:rsidRDefault="00EE245D" w:rsidP="00EE245D">
      <w:pPr>
        <w:pStyle w:val="Heading2"/>
      </w:pPr>
      <w:bookmarkStart w:id="30" w:name="_Toc534624859"/>
      <w:r>
        <w:t>Timescale and Milestones</w:t>
      </w:r>
      <w:bookmarkEnd w:id="30"/>
    </w:p>
    <w:p w14:paraId="3AC5123E" w14:textId="20C7E13D" w:rsidR="00F547BB" w:rsidRDefault="00EE245D" w:rsidP="0081391A">
      <w:pPr>
        <w:pStyle w:val="BodyText"/>
      </w:pPr>
      <w:r w:rsidRPr="0088447A">
        <w:t>Initial</w:t>
      </w:r>
      <w:r>
        <w:t xml:space="preserve"> drafts were produced </w:t>
      </w:r>
      <w:r w:rsidR="00F547BB">
        <w:t>throughout 2005 and 2006 and by early 2007 drafts we</w:t>
      </w:r>
      <w:r w:rsidR="00F8480B">
        <w:t>r</w:t>
      </w:r>
      <w:r w:rsidR="00F547BB">
        <w:t>e issued to HSE</w:t>
      </w:r>
      <w:r w:rsidR="00F8480B">
        <w:t>, IGEM and BSI</w:t>
      </w:r>
      <w:r w:rsidR="00F547BB">
        <w:t xml:space="preserve"> for comment.</w:t>
      </w:r>
      <w:r w:rsidR="00FB3531">
        <w:t xml:space="preserve"> </w:t>
      </w:r>
      <w:r w:rsidR="00F547BB">
        <w:t>Dr Nigel Riley and others in HSE made extensive comments on</w:t>
      </w:r>
      <w:r w:rsidR="002F34D9">
        <w:t xml:space="preserve"> the</w:t>
      </w:r>
      <w:r w:rsidR="00F547BB">
        <w:t xml:space="preserve"> initial drafts and became more closely involved in the development as they saw th</w:t>
      </w:r>
      <w:r w:rsidR="00F8480B">
        <w:t xml:space="preserve">e development of the codes </w:t>
      </w:r>
      <w:r w:rsidR="00F547BB">
        <w:t>as a positive process</w:t>
      </w:r>
      <w:r>
        <w:t>.</w:t>
      </w:r>
      <w:r w:rsidR="00F547BB">
        <w:t xml:space="preserve"> </w:t>
      </w:r>
    </w:p>
    <w:p w14:paraId="096C9E5B" w14:textId="16411719" w:rsidR="00C3127D" w:rsidRPr="0088447A" w:rsidRDefault="004634FD" w:rsidP="0081391A">
      <w:pPr>
        <w:pStyle w:val="BodyText"/>
      </w:pPr>
      <w:r w:rsidRPr="0088447A">
        <w:t>Both</w:t>
      </w:r>
      <w:r>
        <w:t xml:space="preserve"> IGEM and BSI elected to publish the documents as standards, IGEM published the document for gas pipelines as IGEM/TD/2, and BSI published the document for all other hazardous fluids as Part 3 of the Published Document for Pipelines</w:t>
      </w:r>
      <w:r w:rsidR="0081391A">
        <w:t>, PD 8010-3</w:t>
      </w:r>
      <w:r>
        <w:t>.</w:t>
      </w:r>
      <w:r w:rsidR="00FB3531">
        <w:t xml:space="preserve"> </w:t>
      </w:r>
      <w:r w:rsidR="00F547BB">
        <w:t>In March 2008,</w:t>
      </w:r>
      <w:r w:rsidR="00F8480B">
        <w:t xml:space="preserve"> after several more meetin</w:t>
      </w:r>
      <w:r w:rsidR="0050573B">
        <w:t>gs</w:t>
      </w:r>
      <w:r w:rsidR="00F8480B">
        <w:t xml:space="preserve"> and extensive further development,</w:t>
      </w:r>
      <w:r w:rsidR="00F547BB">
        <w:t xml:space="preserve"> the fully formatted IGEM version and in August the BSI formatted version were issued for comment.</w:t>
      </w:r>
      <w:r w:rsidR="00F8480B">
        <w:t xml:space="preserve"> </w:t>
      </w:r>
      <w:r w:rsidR="00C3127D">
        <w:t xml:space="preserve">Final comments from </w:t>
      </w:r>
      <w:r w:rsidR="00F547BB">
        <w:t>HSE (Dr P</w:t>
      </w:r>
      <w:r w:rsidR="000357F8">
        <w:t>eter</w:t>
      </w:r>
      <w:r w:rsidR="00F547BB">
        <w:t xml:space="preserve"> Harper) </w:t>
      </w:r>
      <w:r w:rsidR="00C3127D">
        <w:t>and other stakeholders were considered and included</w:t>
      </w:r>
      <w:r w:rsidR="00F8480B">
        <w:t xml:space="preserve"> where relevant,</w:t>
      </w:r>
      <w:r w:rsidR="00C3127D">
        <w:t xml:space="preserve"> and the </w:t>
      </w:r>
      <w:r>
        <w:t>IGEM and BSI documents</w:t>
      </w:r>
      <w:r w:rsidR="00C3127D">
        <w:t xml:space="preserve"> were f</w:t>
      </w:r>
      <w:r w:rsidR="00F8480B">
        <w:t>i</w:t>
      </w:r>
      <w:r w:rsidR="00C3127D">
        <w:t>n</w:t>
      </w:r>
      <w:r w:rsidR="00F8480B">
        <w:t>a</w:t>
      </w:r>
      <w:r w:rsidR="00C3127D">
        <w:t>lised ready for issue by December 200</w:t>
      </w:r>
      <w:r w:rsidR="0081391A">
        <w:t>8</w:t>
      </w:r>
      <w:r w:rsidR="00C3127D">
        <w:t>.</w:t>
      </w:r>
      <w:r w:rsidR="0081391A">
        <w:t xml:space="preserve"> </w:t>
      </w:r>
      <w:r w:rsidR="00C3127D">
        <w:t xml:space="preserve">The IGEM </w:t>
      </w:r>
      <w:r>
        <w:t>standard</w:t>
      </w:r>
      <w:r w:rsidR="00C3127D">
        <w:t xml:space="preserve"> was issued as IGEM/TD/</w:t>
      </w:r>
      <w:r>
        <w:t>2</w:t>
      </w:r>
      <w:r w:rsidR="00C3127D">
        <w:t xml:space="preserve"> </w:t>
      </w:r>
      <w:r w:rsidR="00C3127D" w:rsidRPr="00C3127D">
        <w:t>Communication 1737</w:t>
      </w:r>
      <w:r w:rsidR="00C3127D">
        <w:t xml:space="preserve"> </w:t>
      </w:r>
      <w:r w:rsidR="00C3127D" w:rsidRPr="0088447A">
        <w:t>in January 2009</w:t>
      </w:r>
      <w:r w:rsidR="00F607CA" w:rsidRPr="003114FA">
        <w:t xml:space="preserve"> </w:t>
      </w:r>
      <w:sdt>
        <w:sdtPr>
          <w:id w:val="593819652"/>
          <w:citation/>
        </w:sdtPr>
        <w:sdtEndPr/>
        <w:sdtContent>
          <w:r w:rsidR="0081391A">
            <w:fldChar w:fldCharType="begin"/>
          </w:r>
          <w:r w:rsidR="0081391A">
            <w:instrText xml:space="preserve"> CITATION TD2_Ed1 \l 2057 </w:instrText>
          </w:r>
          <w:r w:rsidR="0081391A">
            <w:fldChar w:fldCharType="separate"/>
          </w:r>
          <w:r w:rsidR="00C8658D">
            <w:rPr>
              <w:noProof/>
            </w:rPr>
            <w:t>[16]</w:t>
          </w:r>
          <w:r w:rsidR="0081391A">
            <w:fldChar w:fldCharType="end"/>
          </w:r>
        </w:sdtContent>
      </w:sdt>
      <w:r w:rsidR="00C3127D" w:rsidRPr="000357F8">
        <w:t xml:space="preserve">, and the BSI code was issued as PD 8010-3:2009 </w:t>
      </w:r>
      <w:r w:rsidR="0081391A">
        <w:t xml:space="preserve">in </w:t>
      </w:r>
      <w:r w:rsidR="00F8480B" w:rsidRPr="000357F8">
        <w:t>December 200</w:t>
      </w:r>
      <w:r w:rsidR="0081391A">
        <w:t>8</w:t>
      </w:r>
      <w:r w:rsidR="00F607CA" w:rsidRPr="000357F8">
        <w:t xml:space="preserve"> </w:t>
      </w:r>
      <w:sdt>
        <w:sdtPr>
          <w:id w:val="1680852433"/>
          <w:citation/>
        </w:sdtPr>
        <w:sdtEndPr/>
        <w:sdtContent>
          <w:r w:rsidR="0081391A">
            <w:fldChar w:fldCharType="begin"/>
          </w:r>
          <w:r w:rsidR="0081391A">
            <w:instrText xml:space="preserve"> CITATION PD8010_3_2009 \l 2057 </w:instrText>
          </w:r>
          <w:r w:rsidR="0081391A">
            <w:fldChar w:fldCharType="separate"/>
          </w:r>
          <w:r w:rsidR="00C8658D">
            <w:rPr>
              <w:noProof/>
            </w:rPr>
            <w:t>[17]</w:t>
          </w:r>
          <w:r w:rsidR="0081391A">
            <w:fldChar w:fldCharType="end"/>
          </w:r>
        </w:sdtContent>
      </w:sdt>
      <w:r w:rsidR="0081391A">
        <w:t>.</w:t>
      </w:r>
    </w:p>
    <w:p w14:paraId="3B160AC3" w14:textId="66C7C2C9" w:rsidR="00F8480B" w:rsidRDefault="00F8480B" w:rsidP="0081391A">
      <w:pPr>
        <w:pStyle w:val="BodyText"/>
      </w:pPr>
      <w:r w:rsidRPr="000357F8">
        <w:t xml:space="preserve">The </w:t>
      </w:r>
      <w:r w:rsidR="004634FD" w:rsidRPr="000357F8">
        <w:t>stand</w:t>
      </w:r>
      <w:r w:rsidR="004634FD">
        <w:t>ards</w:t>
      </w:r>
      <w:r>
        <w:t xml:space="preserve"> were seen as a major success in achieving transparency for key aspects of the methodology and gaining acceptance by HSE. Subsequent launch events and presentations were made during 2009 including an IGEM seminar in March 2009.</w:t>
      </w:r>
    </w:p>
    <w:p w14:paraId="7DC8952A" w14:textId="12ED5543" w:rsidR="00F8480B" w:rsidRDefault="00F8480B" w:rsidP="00F8480B">
      <w:pPr>
        <w:pStyle w:val="Heading2"/>
      </w:pPr>
      <w:bookmarkStart w:id="31" w:name="_Toc534624860"/>
      <w:r>
        <w:t>201</w:t>
      </w:r>
      <w:r w:rsidR="00C8658D">
        <w:t>3</w:t>
      </w:r>
      <w:r>
        <w:t xml:space="preserve"> Update</w:t>
      </w:r>
      <w:bookmarkEnd w:id="31"/>
    </w:p>
    <w:p w14:paraId="0AD2813A" w14:textId="0B807CB0" w:rsidR="00C06B52" w:rsidRDefault="00F8480B" w:rsidP="00B43F54">
      <w:pPr>
        <w:pStyle w:val="BodyText"/>
      </w:pPr>
      <w:r>
        <w:t xml:space="preserve">A further issue of the </w:t>
      </w:r>
      <w:r w:rsidR="004634FD">
        <w:t>standards</w:t>
      </w:r>
      <w:r>
        <w:t xml:space="preserve"> in 201</w:t>
      </w:r>
      <w:r w:rsidR="00B43F54">
        <w:t>3</w:t>
      </w:r>
      <w:sdt>
        <w:sdtPr>
          <w:id w:val="-1430661446"/>
          <w:citation/>
        </w:sdtPr>
        <w:sdtEndPr/>
        <w:sdtContent>
          <w:r w:rsidR="00B43F54">
            <w:fldChar w:fldCharType="begin"/>
          </w:r>
          <w:r w:rsidR="00B43F54">
            <w:instrText xml:space="preserve"> CITATION TD2_Ed2 \l 2057 </w:instrText>
          </w:r>
          <w:r w:rsidR="00B43F54">
            <w:fldChar w:fldCharType="separate"/>
          </w:r>
          <w:r w:rsidR="00C8658D">
            <w:rPr>
              <w:noProof/>
            </w:rPr>
            <w:t xml:space="preserve"> [18]</w:t>
          </w:r>
          <w:r w:rsidR="00B43F54">
            <w:fldChar w:fldCharType="end"/>
          </w:r>
        </w:sdtContent>
      </w:sdt>
      <w:r w:rsidR="00B43F54">
        <w:t xml:space="preserve">, </w:t>
      </w:r>
      <w:sdt>
        <w:sdtPr>
          <w:id w:val="1088888305"/>
          <w:citation/>
        </w:sdtPr>
        <w:sdtEndPr/>
        <w:sdtContent>
          <w:r w:rsidR="00B43F54">
            <w:fldChar w:fldCharType="begin"/>
          </w:r>
          <w:r w:rsidR="00B43F54">
            <w:instrText xml:space="preserve"> CITATION PD8010_3_2012 \l 2057 </w:instrText>
          </w:r>
          <w:r w:rsidR="00B43F54">
            <w:fldChar w:fldCharType="separate"/>
          </w:r>
          <w:r w:rsidR="00C8658D">
            <w:rPr>
              <w:noProof/>
            </w:rPr>
            <w:t>[19]</w:t>
          </w:r>
          <w:r w:rsidR="00B43F54">
            <w:fldChar w:fldCharType="end"/>
          </w:r>
        </w:sdtContent>
      </w:sdt>
      <w:r w:rsidR="00B43F54">
        <w:t xml:space="preserve"> </w:t>
      </w:r>
      <w:r>
        <w:t>contained several minor corrections to the 2009 issue</w:t>
      </w:r>
      <w:r w:rsidR="00B43F54">
        <w:t xml:space="preserve"> including u</w:t>
      </w:r>
      <w:r>
        <w:t xml:space="preserve">pdates for </w:t>
      </w:r>
      <w:r w:rsidR="00C67CE0">
        <w:t>HSE risk reduction factors for concrete slabbing</w:t>
      </w:r>
      <w:r>
        <w:t>,</w:t>
      </w:r>
      <w:r w:rsidR="00B44E4E">
        <w:t xml:space="preserve"> an improved version of </w:t>
      </w:r>
      <w:r w:rsidR="00B43F54">
        <w:t>t</w:t>
      </w:r>
      <w:r w:rsidR="00B44E4E">
        <w:t>he risk reduction factor graph for increased depth of cover,</w:t>
      </w:r>
      <w:r>
        <w:t xml:space="preserve"> and inclusion of the </w:t>
      </w:r>
      <w:r w:rsidR="0050573B">
        <w:t>ground movement failure rate assessment methodology.</w:t>
      </w:r>
      <w:r w:rsidR="00FB3531">
        <w:t xml:space="preserve"> </w:t>
      </w:r>
      <w:r w:rsidR="0050573B">
        <w:t xml:space="preserve">In addition the IGEM </w:t>
      </w:r>
      <w:r w:rsidR="004634FD">
        <w:t>standard</w:t>
      </w:r>
      <w:r w:rsidR="0050573B">
        <w:t xml:space="preserve"> title was changed to “Assessing the risks from high pressure Natural Gas pipelines” to cover all aspects of risk assessment rather than being limited to proposed development.</w:t>
      </w:r>
    </w:p>
    <w:p w14:paraId="5087FF27" w14:textId="5477E1DC" w:rsidR="00C67CE0" w:rsidRPr="006D3E0F" w:rsidRDefault="000357F8" w:rsidP="00B43F54">
      <w:pPr>
        <w:pStyle w:val="BodyText"/>
      </w:pPr>
      <w:r>
        <w:t>However,</w:t>
      </w:r>
      <w:r w:rsidR="00C67CE0">
        <w:t xml:space="preserve"> the </w:t>
      </w:r>
      <w:r w:rsidR="00B43F54">
        <w:t>standards</w:t>
      </w:r>
      <w:r w:rsidR="00C67CE0">
        <w:t xml:space="preserve"> do not refer to HSE’s acceptance of risk reduction for depth of cover</w:t>
      </w:r>
      <w:r w:rsidR="00B43F54">
        <w:t xml:space="preserve"> and t</w:t>
      </w:r>
      <w:r w:rsidR="00C67CE0">
        <w:t>he ethylene land use planning zones in PD 8010</w:t>
      </w:r>
      <w:r w:rsidR="00B43F54">
        <w:t>-</w:t>
      </w:r>
      <w:r w:rsidR="00C67CE0">
        <w:t>3 Table A1 are now out of date following HSE’s re-assessment of these zones.</w:t>
      </w:r>
    </w:p>
    <w:p w14:paraId="033A84A0" w14:textId="2FF24CF1" w:rsidR="005E79C6" w:rsidRDefault="005E79C6" w:rsidP="005E79C6">
      <w:pPr>
        <w:pStyle w:val="Heading1"/>
      </w:pPr>
      <w:bookmarkStart w:id="32" w:name="_Toc534624861"/>
      <w:r>
        <w:lastRenderedPageBreak/>
        <w:t xml:space="preserve">Progressing </w:t>
      </w:r>
      <w:r w:rsidR="00040B48">
        <w:t>T</w:t>
      </w:r>
      <w:r>
        <w:t xml:space="preserve">en </w:t>
      </w:r>
      <w:r w:rsidR="00040B48">
        <w:t>I</w:t>
      </w:r>
      <w:r>
        <w:t xml:space="preserve">ssues </w:t>
      </w:r>
      <w:r w:rsidR="00040B48">
        <w:t>R</w:t>
      </w:r>
      <w:r>
        <w:t xml:space="preserve">aised with </w:t>
      </w:r>
      <w:r w:rsidR="00D703CB">
        <w:t>HSE</w:t>
      </w:r>
      <w:r>
        <w:t xml:space="preserve"> 2007-2015</w:t>
      </w:r>
      <w:bookmarkEnd w:id="32"/>
    </w:p>
    <w:p w14:paraId="3B40B45D" w14:textId="2C594B5E" w:rsidR="007E4142" w:rsidRDefault="007E6BB1" w:rsidP="007E4142">
      <w:pPr>
        <w:pStyle w:val="BodyText"/>
      </w:pPr>
      <w:r>
        <w:t xml:space="preserve">Following the demise of the Working </w:t>
      </w:r>
      <w:r w:rsidR="0053354C">
        <w:t>G</w:t>
      </w:r>
      <w:r>
        <w:t>roup on Pipelines in 2006, a joint working party was established to resolve outstanding technical issues between UKOPA and HSE</w:t>
      </w:r>
      <w:r w:rsidR="00203CEE">
        <w:t xml:space="preserve"> following a joint workshop in October 2005</w:t>
      </w:r>
      <w:r>
        <w:t>.</w:t>
      </w:r>
      <w:r w:rsidR="00FB3531">
        <w:t xml:space="preserve"> </w:t>
      </w:r>
      <w:r>
        <w:t xml:space="preserve">Terms of reference were set out in early 2006, and a list of outstanding items </w:t>
      </w:r>
      <w:r w:rsidR="00203CEE">
        <w:t>was crystallised into ten items to be progressed with HSE after a joint meeting in March 2007. These were produced and issued as briefing notes to HSE in early 2008 and are discussed below.</w:t>
      </w:r>
    </w:p>
    <w:p w14:paraId="7C6E3BE6" w14:textId="2147258D" w:rsidR="00203CEE" w:rsidRDefault="00203CEE" w:rsidP="00203CEE">
      <w:pPr>
        <w:pStyle w:val="Heading2"/>
      </w:pPr>
      <w:bookmarkStart w:id="33" w:name="_Toc534624862"/>
      <w:r>
        <w:t>Pipeline Protection Measures</w:t>
      </w:r>
      <w:bookmarkEnd w:id="33"/>
    </w:p>
    <w:p w14:paraId="6A464C3C" w14:textId="34D537D3" w:rsidR="00F607CA" w:rsidRDefault="00203CEE" w:rsidP="00203CEE">
      <w:pPr>
        <w:pStyle w:val="BodyText"/>
      </w:pPr>
      <w:r>
        <w:t xml:space="preserve">UKOPA’s declared objective was persuade HSE “to accept that protective concrete slabbing over a pipeline is an acceptable risk mitigation </w:t>
      </w:r>
      <w:r w:rsidR="001629AE">
        <w:t>m</w:t>
      </w:r>
      <w:r>
        <w:t xml:space="preserve">easure and to </w:t>
      </w:r>
      <w:r w:rsidR="001629AE">
        <w:t>a</w:t>
      </w:r>
      <w:r>
        <w:t xml:space="preserve">gree the UKOPA </w:t>
      </w:r>
      <w:r w:rsidR="001629AE">
        <w:t>p</w:t>
      </w:r>
      <w:r>
        <w:t xml:space="preserve">roposed </w:t>
      </w:r>
      <w:r w:rsidR="001629AE">
        <w:t>r</w:t>
      </w:r>
      <w:r>
        <w:t xml:space="preserve">isk </w:t>
      </w:r>
      <w:r w:rsidR="001629AE">
        <w:t>r</w:t>
      </w:r>
      <w:r>
        <w:t xml:space="preserve">eduction </w:t>
      </w:r>
      <w:r w:rsidR="001629AE">
        <w:t>factors”.</w:t>
      </w:r>
      <w:r w:rsidR="00FB3531">
        <w:t xml:space="preserve"> </w:t>
      </w:r>
      <w:r w:rsidR="004A209C">
        <w:t>W</w:t>
      </w:r>
      <w:r w:rsidR="00543ADE">
        <w:t>ork</w:t>
      </w:r>
      <w:r w:rsidR="004A209C">
        <w:t xml:space="preserve"> was carried out </w:t>
      </w:r>
      <w:r w:rsidR="00543ADE">
        <w:t xml:space="preserve">by </w:t>
      </w:r>
      <w:proofErr w:type="spellStart"/>
      <w:r w:rsidR="00543ADE">
        <w:t>Advantica</w:t>
      </w:r>
      <w:proofErr w:type="spellEnd"/>
      <w:r w:rsidR="00543ADE">
        <w:t xml:space="preserve"> </w:t>
      </w:r>
      <w:r w:rsidR="000357F8">
        <w:t xml:space="preserve">in </w:t>
      </w:r>
      <w:r w:rsidR="00543ADE">
        <w:t xml:space="preserve">2007-2009 </w:t>
      </w:r>
      <w:r w:rsidR="004A209C">
        <w:t>applying a fault tree technique</w:t>
      </w:r>
      <w:r w:rsidR="00543ADE">
        <w:t xml:space="preserve"> subsequently an extensive </w:t>
      </w:r>
      <w:r w:rsidR="0053354C">
        <w:t xml:space="preserve">final </w:t>
      </w:r>
      <w:r w:rsidR="00543ADE">
        <w:t>report</w:t>
      </w:r>
      <w:r w:rsidR="004A209C">
        <w:t xml:space="preserve"> was issued</w:t>
      </w:r>
      <w:r w:rsidR="00543ADE">
        <w:t xml:space="preserve"> by GL Noble Denton </w:t>
      </w:r>
      <w:r w:rsidR="004634FD">
        <w:t xml:space="preserve">(previously </w:t>
      </w:r>
      <w:proofErr w:type="spellStart"/>
      <w:r w:rsidR="004634FD">
        <w:t>Advantica</w:t>
      </w:r>
      <w:proofErr w:type="spellEnd"/>
      <w:r w:rsidR="004634FD">
        <w:t xml:space="preserve">) </w:t>
      </w:r>
      <w:r w:rsidR="00543ADE">
        <w:t>in 20</w:t>
      </w:r>
      <w:r w:rsidR="0053354C">
        <w:t>10</w:t>
      </w:r>
      <w:sdt>
        <w:sdtPr>
          <w:id w:val="232748865"/>
          <w:citation/>
        </w:sdtPr>
        <w:sdtEndPr/>
        <w:sdtContent>
          <w:r w:rsidR="0053354C">
            <w:fldChar w:fldCharType="begin"/>
          </w:r>
          <w:r w:rsidR="0053354C">
            <w:instrText xml:space="preserve"> CITATION GLND_R9551_1 \l 2057 </w:instrText>
          </w:r>
          <w:r w:rsidR="0053354C">
            <w:fldChar w:fldCharType="separate"/>
          </w:r>
          <w:r w:rsidR="00C8658D">
            <w:rPr>
              <w:noProof/>
            </w:rPr>
            <w:t xml:space="preserve"> [20]</w:t>
          </w:r>
          <w:r w:rsidR="0053354C">
            <w:fldChar w:fldCharType="end"/>
          </w:r>
        </w:sdtContent>
      </w:sdt>
      <w:r w:rsidR="0053354C">
        <w:t>.</w:t>
      </w:r>
      <w:r w:rsidR="004A209C">
        <w:t xml:space="preserve"> </w:t>
      </w:r>
    </w:p>
    <w:p w14:paraId="7A0D508A" w14:textId="09829605" w:rsidR="00203CEE" w:rsidRDefault="004A209C" w:rsidP="00203CEE">
      <w:pPr>
        <w:pStyle w:val="BodyText"/>
      </w:pPr>
      <w:r>
        <w:t>After ongoing di</w:t>
      </w:r>
      <w:r w:rsidR="00C67CE0">
        <w:t>s</w:t>
      </w:r>
      <w:r>
        <w:t>cussions</w:t>
      </w:r>
      <w:r w:rsidR="00543ADE">
        <w:t xml:space="preserve"> HSE wrote to UKOPA in </w:t>
      </w:r>
      <w:r>
        <w:t>September</w:t>
      </w:r>
      <w:r w:rsidR="00543ADE">
        <w:t xml:space="preserve"> 2011 agreeing that for LUP “second bite” cases, HSE would apply risk reduction factors of 0.15 for concrete slabbing and 0.125 for slabbing </w:t>
      </w:r>
      <w:r w:rsidR="000357F8">
        <w:t xml:space="preserve">plus </w:t>
      </w:r>
      <w:r w:rsidR="00543ADE">
        <w:t>marker tape.</w:t>
      </w:r>
      <w:r w:rsidR="00FB3531">
        <w:t xml:space="preserve"> </w:t>
      </w:r>
      <w:r w:rsidR="00D2209A">
        <w:t>Though not meeting UKOPA’s view of the extent of the reduction factors, t</w:t>
      </w:r>
      <w:r>
        <w:t xml:space="preserve">hese factors were subsequently published in the HSE section of the </w:t>
      </w:r>
      <w:r w:rsidR="00280B4B">
        <w:t xml:space="preserve">revised </w:t>
      </w:r>
      <w:r>
        <w:t>risk code supplements</w:t>
      </w:r>
      <w:r w:rsidR="00280B4B">
        <w:t xml:space="preserve"> in 2012</w:t>
      </w:r>
      <w:r>
        <w:t>.</w:t>
      </w:r>
      <w:r w:rsidR="00FB3531">
        <w:t xml:space="preserve"> </w:t>
      </w:r>
      <w:r>
        <w:t xml:space="preserve">Finally UKOPA issued a detailed specification for protective </w:t>
      </w:r>
      <w:r w:rsidR="00280B4B">
        <w:t xml:space="preserve">concrete </w:t>
      </w:r>
      <w:r>
        <w:t>slabbing in 2013</w:t>
      </w:r>
      <w:sdt>
        <w:sdtPr>
          <w:id w:val="661666671"/>
          <w:citation/>
        </w:sdtPr>
        <w:sdtEndPr/>
        <w:sdtContent>
          <w:r w:rsidR="00B77FAB">
            <w:fldChar w:fldCharType="begin"/>
          </w:r>
          <w:r w:rsidR="00B77FAB">
            <w:instrText xml:space="preserve">CITATION 12631_SPC_001_Rev1 \l 2057 </w:instrText>
          </w:r>
          <w:r w:rsidR="00B77FAB">
            <w:fldChar w:fldCharType="separate"/>
          </w:r>
          <w:r w:rsidR="00C8658D">
            <w:rPr>
              <w:noProof/>
            </w:rPr>
            <w:t xml:space="preserve"> [21]</w:t>
          </w:r>
          <w:r w:rsidR="00B77FAB">
            <w:fldChar w:fldCharType="end"/>
          </w:r>
        </w:sdtContent>
      </w:sdt>
      <w:r w:rsidR="0053354C">
        <w:t>, which was later issued as a Good Practice Guide</w:t>
      </w:r>
      <w:r w:rsidR="00B77FAB">
        <w:t> </w:t>
      </w:r>
      <w:sdt>
        <w:sdtPr>
          <w:id w:val="-368681901"/>
          <w:citation/>
        </w:sdtPr>
        <w:sdtEndPr/>
        <w:sdtContent>
          <w:r w:rsidR="00B77FAB">
            <w:fldChar w:fldCharType="begin"/>
          </w:r>
          <w:r w:rsidR="00B77FAB">
            <w:instrText xml:space="preserve"> CITATION UKOPA_GP_006 \l 2057 </w:instrText>
          </w:r>
          <w:r w:rsidR="00B77FAB">
            <w:fldChar w:fldCharType="separate"/>
          </w:r>
          <w:r w:rsidR="00C8658D">
            <w:rPr>
              <w:noProof/>
            </w:rPr>
            <w:t>[22]</w:t>
          </w:r>
          <w:r w:rsidR="00B77FAB">
            <w:fldChar w:fldCharType="end"/>
          </w:r>
        </w:sdtContent>
      </w:sdt>
      <w:r w:rsidR="00B77FAB">
        <w:t>.</w:t>
      </w:r>
    </w:p>
    <w:p w14:paraId="2EEF9B47" w14:textId="6B0D2637" w:rsidR="00280B4B" w:rsidRDefault="00F25182" w:rsidP="00F25182">
      <w:pPr>
        <w:pStyle w:val="Heading2"/>
      </w:pPr>
      <w:bookmarkStart w:id="34" w:name="_Toc534624863"/>
      <w:r>
        <w:t>Ground Movement Failure Rate</w:t>
      </w:r>
      <w:bookmarkEnd w:id="34"/>
    </w:p>
    <w:p w14:paraId="5D91EE11" w14:textId="38F40057" w:rsidR="00756A3E" w:rsidRDefault="008C6BCC" w:rsidP="00756A3E">
      <w:pPr>
        <w:pStyle w:val="BodyText"/>
      </w:pPr>
      <w:r>
        <w:t>During the development of HSE’s failure rates to assess Land Use Planning Zones for natural gas pipelines during 2001-2,</w:t>
      </w:r>
      <w:r w:rsidR="009A11D7">
        <w:t xml:space="preserve"> they assigned a fixed failure rate to natural ground movement based on a single case which occurred in 1984.</w:t>
      </w:r>
      <w:r w:rsidR="00FB3531">
        <w:t xml:space="preserve"> </w:t>
      </w:r>
      <w:r w:rsidR="009A11D7">
        <w:t xml:space="preserve">This fixed failure rate dominated thick wall pipe cases and generated significant LUP zones for suburban pipelines. </w:t>
      </w:r>
    </w:p>
    <w:p w14:paraId="760EEEC4" w14:textId="485AD0D4" w:rsidR="00756A3E" w:rsidRDefault="00756A3E" w:rsidP="00756A3E">
      <w:pPr>
        <w:pStyle w:val="BodyText"/>
      </w:pPr>
      <w:r>
        <w:t>Unlike other failure rates where mitigation can be applied to reduce the failure rate, this fixed rate means there is no engineering mitigation available to reduce the risk because the LUP zone remains fixed whatever mitigation (very thick wall, concrete slabbing, etc.) is applied.</w:t>
      </w:r>
    </w:p>
    <w:p w14:paraId="5DED04DF" w14:textId="3CDAEA83" w:rsidR="00756A3E" w:rsidRDefault="00756A3E" w:rsidP="009A11D7">
      <w:pPr>
        <w:pStyle w:val="BodyText"/>
      </w:pPr>
      <w:r>
        <w:t>This issue has not been resolved and is discussed further below</w:t>
      </w:r>
      <w:r w:rsidR="00605CC9">
        <w:t>.</w:t>
      </w:r>
    </w:p>
    <w:p w14:paraId="5F0A3C6A" w14:textId="496C1A05" w:rsidR="00756A3E" w:rsidRDefault="00756A3E" w:rsidP="00756A3E">
      <w:pPr>
        <w:pStyle w:val="Heading2"/>
      </w:pPr>
      <w:bookmarkStart w:id="35" w:name="_Toc534624864"/>
      <w:r w:rsidRPr="00756A3E">
        <w:t>Use of UKOPA-based Failure Rate Data for Ethylene Pipelines</w:t>
      </w:r>
      <w:bookmarkEnd w:id="35"/>
    </w:p>
    <w:p w14:paraId="5957E360" w14:textId="68D80CAD" w:rsidR="00B77FAB" w:rsidRDefault="00756A3E" w:rsidP="00756A3E">
      <w:pPr>
        <w:pStyle w:val="BodyText"/>
      </w:pPr>
      <w:r>
        <w:t>A planning development proposal in 2006 cause</w:t>
      </w:r>
      <w:r w:rsidR="00D55EF2">
        <w:t>d</w:t>
      </w:r>
      <w:r>
        <w:t xml:space="preserve"> HSE to re-calculate LUP zones for a thick wall ethylene pipeline. </w:t>
      </w:r>
      <w:r w:rsidR="00D55EF2">
        <w:t>HSE MSDU applied corrosion and mechanical failure rates based on CONCAWE data for oil pipelines</w:t>
      </w:r>
      <w:r w:rsidR="00F607CA">
        <w:t xml:space="preserve"> </w:t>
      </w:r>
      <w:sdt>
        <w:sdtPr>
          <w:id w:val="382913148"/>
          <w:citation/>
        </w:sdtPr>
        <w:sdtEndPr/>
        <w:sdtContent>
          <w:r w:rsidR="00B77FAB">
            <w:fldChar w:fldCharType="begin"/>
          </w:r>
          <w:r w:rsidR="00B77FAB">
            <w:instrText xml:space="preserve"> CITATION CONCAWE_8_11 \l 2057 </w:instrText>
          </w:r>
          <w:r w:rsidR="00B77FAB">
            <w:fldChar w:fldCharType="separate"/>
          </w:r>
          <w:r w:rsidR="00C8658D">
            <w:rPr>
              <w:noProof/>
            </w:rPr>
            <w:t>[23]</w:t>
          </w:r>
          <w:r w:rsidR="00B77FAB">
            <w:fldChar w:fldCharType="end"/>
          </w:r>
        </w:sdtContent>
      </w:sdt>
      <w:r w:rsidR="00B77FAB">
        <w:t xml:space="preserve"> </w:t>
      </w:r>
      <w:r w:rsidR="00D55EF2">
        <w:t>and as a</w:t>
      </w:r>
      <w:r>
        <w:t xml:space="preserve"> result </w:t>
      </w:r>
      <w:r w:rsidR="00D55EF2">
        <w:t xml:space="preserve">obtained </w:t>
      </w:r>
      <w:r>
        <w:t>large zones</w:t>
      </w:r>
      <w:r w:rsidR="00D55EF2">
        <w:t xml:space="preserve"> for the thick wall case</w:t>
      </w:r>
      <w:r w:rsidR="00B77FAB">
        <w:t>,</w:t>
      </w:r>
      <w:r w:rsidR="00D55EF2">
        <w:t xml:space="preserve"> including an inner zone of 17</w:t>
      </w:r>
      <w:r w:rsidR="000357F8">
        <w:t xml:space="preserve"> </w:t>
      </w:r>
      <w:r w:rsidR="00D55EF2">
        <w:t xml:space="preserve">m, and middle and outer zones almost as large as previously notified for the standard wall case. </w:t>
      </w:r>
    </w:p>
    <w:p w14:paraId="532F122C" w14:textId="07B5E088" w:rsidR="00756A3E" w:rsidRDefault="00D55EF2" w:rsidP="00756A3E">
      <w:pPr>
        <w:pStyle w:val="BodyText"/>
      </w:pPr>
      <w:r>
        <w:t>The CONCAWE failure rates were 1000s of times larger than equivalent UKOPA failure rates</w:t>
      </w:r>
      <w:r w:rsidR="00E64FE3">
        <w:t>.</w:t>
      </w:r>
      <w:r w:rsidR="00FB3531">
        <w:t xml:space="preserve"> </w:t>
      </w:r>
      <w:r w:rsidR="002668BB">
        <w:t xml:space="preserve">CONCAWE pipeline failure data only includes the results of </w:t>
      </w:r>
      <w:r w:rsidR="00DF0908">
        <w:t xml:space="preserve">liquid </w:t>
      </w:r>
      <w:r w:rsidR="002668BB">
        <w:t xml:space="preserve">pipeline failures in the UK and continental </w:t>
      </w:r>
      <w:r w:rsidR="000357F8">
        <w:t>Europe and</w:t>
      </w:r>
      <w:r w:rsidR="00DF0908">
        <w:t xml:space="preserve"> does</w:t>
      </w:r>
      <w:r w:rsidR="002668BB">
        <w:t xml:space="preserve"> not </w:t>
      </w:r>
      <w:r w:rsidR="00DF0908">
        <w:t xml:space="preserve">include </w:t>
      </w:r>
      <w:r w:rsidR="002668BB">
        <w:t xml:space="preserve">ethylene or other petrochemical pipelines. </w:t>
      </w:r>
      <w:r w:rsidR="00B77FAB">
        <w:t>L</w:t>
      </w:r>
      <w:r w:rsidR="00DF0908">
        <w:t xml:space="preserve">iquid pipelines </w:t>
      </w:r>
      <w:r w:rsidR="002668BB">
        <w:t>are generally no</w:t>
      </w:r>
      <w:r w:rsidR="00DF0908">
        <w:t>t</w:t>
      </w:r>
      <w:r w:rsidR="002668BB">
        <w:t xml:space="preserve"> MAHPs</w:t>
      </w:r>
      <w:r w:rsidR="00B77FAB">
        <w:t xml:space="preserve"> in the UK and therefore are not included </w:t>
      </w:r>
      <w:r w:rsidR="00B77FAB">
        <w:lastRenderedPageBreak/>
        <w:t>in the UKOPA database</w:t>
      </w:r>
      <w:r w:rsidR="002668BB">
        <w:t>. However</w:t>
      </w:r>
      <w:r w:rsidR="000357F8">
        <w:t>,</w:t>
      </w:r>
      <w:r w:rsidR="002668BB">
        <w:t xml:space="preserve"> the failure data for ethylene and other petrochemical pipelines </w:t>
      </w:r>
      <w:r w:rsidR="00B77FAB">
        <w:t>is</w:t>
      </w:r>
      <w:r w:rsidR="002668BB">
        <w:t xml:space="preserve"> included within the UKOPA failure rates for all UK MAHPs. </w:t>
      </w:r>
    </w:p>
    <w:p w14:paraId="453E35D9" w14:textId="0F3A7EDC" w:rsidR="00E64FE3" w:rsidRDefault="00E64FE3" w:rsidP="00756A3E">
      <w:pPr>
        <w:pStyle w:val="BodyText"/>
      </w:pPr>
      <w:r>
        <w:t xml:space="preserve">After representations by UKOPA, HSE agreed to apply UKOPA failure rates, and also to apply </w:t>
      </w:r>
      <w:r w:rsidR="00B77FAB">
        <w:t xml:space="preserve">results from </w:t>
      </w:r>
      <w:r>
        <w:t xml:space="preserve">an improved rupture </w:t>
      </w:r>
      <w:r w:rsidR="00B77FAB">
        <w:t>outflow</w:t>
      </w:r>
      <w:r>
        <w:t xml:space="preserve"> model called P</w:t>
      </w:r>
      <w:r w:rsidR="00B77FAB">
        <w:t>ipeTech</w:t>
      </w:r>
      <w:sdt>
        <w:sdtPr>
          <w:id w:val="-966577777"/>
          <w:citation/>
        </w:sdtPr>
        <w:sdtEndPr/>
        <w:sdtContent>
          <w:r w:rsidR="00B77FAB">
            <w:fldChar w:fldCharType="begin"/>
          </w:r>
          <w:r w:rsidR="00B77FAB">
            <w:instrText xml:space="preserve"> CITATION RR774 \l 2057 </w:instrText>
          </w:r>
          <w:r w:rsidR="00B77FAB">
            <w:fldChar w:fldCharType="separate"/>
          </w:r>
          <w:r w:rsidR="00C8658D">
            <w:rPr>
              <w:noProof/>
            </w:rPr>
            <w:t xml:space="preserve"> [24]</w:t>
          </w:r>
          <w:r w:rsidR="00B77FAB">
            <w:fldChar w:fldCharType="end"/>
          </w:r>
        </w:sdtContent>
      </w:sdt>
      <w:r>
        <w:t xml:space="preserve"> which considerably reduced the outflow rate from a ruptured pipeline, so reducing the fireball radius which set the inner zone distance.</w:t>
      </w:r>
    </w:p>
    <w:p w14:paraId="599DD7B3" w14:textId="7F95ABE1" w:rsidR="00E64FE3" w:rsidRPr="00756A3E" w:rsidRDefault="00B62F88" w:rsidP="00B62F88">
      <w:pPr>
        <w:pStyle w:val="Heading2"/>
      </w:pPr>
      <w:bookmarkStart w:id="36" w:name="_Toc534624865"/>
      <w:r>
        <w:t xml:space="preserve">Reduction in Corrosion Failure Rates for </w:t>
      </w:r>
      <w:r w:rsidR="00605CC9">
        <w:t>No</w:t>
      </w:r>
      <w:r>
        <w:t>n-Natural Gas Thicker Wall Pipelines</w:t>
      </w:r>
      <w:bookmarkEnd w:id="36"/>
    </w:p>
    <w:p w14:paraId="5116F247" w14:textId="37841E7C" w:rsidR="00756A3E" w:rsidRDefault="00B62F88" w:rsidP="009A11D7">
      <w:pPr>
        <w:pStyle w:val="BodyText"/>
      </w:pPr>
      <w:r>
        <w:t>Planning developments near thick-wall sections of ethylene and spiked crude pipelines were resulting in “advi</w:t>
      </w:r>
      <w:r w:rsidR="00605CC9">
        <w:t>s</w:t>
      </w:r>
      <w:r>
        <w:t>e against” decisions from HSE during the period 2005-2006 despite the “second bite” HSE calculations using reduced failure rates for third party failure rates. At that time HSE were allowing a reduction in corrosion failure rate for thicker wall natural gas pipelines</w:t>
      </w:r>
      <w:r w:rsidR="002668BB">
        <w:t>.</w:t>
      </w:r>
      <w:r w:rsidR="00FB3531">
        <w:t xml:space="preserve"> </w:t>
      </w:r>
      <w:r>
        <w:t>UKOPA made the case that non-natural gas pipelines should also have a similar reduction applied.</w:t>
      </w:r>
    </w:p>
    <w:p w14:paraId="447771EE" w14:textId="4127D745" w:rsidR="00B62F88" w:rsidRDefault="00B62F88" w:rsidP="009A11D7">
      <w:pPr>
        <w:pStyle w:val="BodyText"/>
      </w:pPr>
      <w:r>
        <w:t xml:space="preserve">Subsequently this approach </w:t>
      </w:r>
      <w:r w:rsidR="0065761D">
        <w:t xml:space="preserve">was adopted by HSE in line with the newly published IGEM and BSI risk </w:t>
      </w:r>
      <w:r w:rsidR="00DF0908">
        <w:t>standards</w:t>
      </w:r>
      <w:r w:rsidR="0065761D">
        <w:t xml:space="preserve"> for mechanical and corrosion failure rates.</w:t>
      </w:r>
    </w:p>
    <w:p w14:paraId="104BDF6F" w14:textId="4447A05E" w:rsidR="00151504" w:rsidRDefault="00151504" w:rsidP="00151504">
      <w:pPr>
        <w:pStyle w:val="Heading2"/>
      </w:pPr>
      <w:bookmarkStart w:id="37" w:name="_Toc534624866"/>
      <w:r>
        <w:t>HSE 3</w:t>
      </w:r>
      <w:r w:rsidRPr="00B77FAB">
        <w:rPr>
          <w:vertAlign w:val="superscript"/>
        </w:rPr>
        <w:t>rd</w:t>
      </w:r>
      <w:r>
        <w:t xml:space="preserve"> Party Predictive Modelling for Smaller Diameter Pipelines</w:t>
      </w:r>
      <w:bookmarkEnd w:id="37"/>
    </w:p>
    <w:p w14:paraId="3F26E1A4" w14:textId="5F8D269C" w:rsidR="00151504" w:rsidRDefault="00151504" w:rsidP="00151504">
      <w:pPr>
        <w:pStyle w:val="BodyText"/>
      </w:pPr>
      <w:r>
        <w:t>When HSE were developing their 3</w:t>
      </w:r>
      <w:r w:rsidRPr="00B77FAB">
        <w:rPr>
          <w:vertAlign w:val="superscript"/>
        </w:rPr>
        <w:t>rd</w:t>
      </w:r>
      <w:r>
        <w:t xml:space="preserve"> party predictive model called PIPIN in 2001-2002, it was recognised that significant differences were obtained for results from HSE’s model compared to Transco’s predictive model called FFREQ. An analysis of all HSE’s rupture failure rates indicated that they were considerably higher, especially for smaller diameter pipelines. </w:t>
      </w:r>
      <w:r w:rsidR="002603BA">
        <w:t xml:space="preserve">Several </w:t>
      </w:r>
      <w:r>
        <w:t>anomalies in HSE’</w:t>
      </w:r>
      <w:r w:rsidR="00962B8A">
        <w:t>s calculated</w:t>
      </w:r>
      <w:r>
        <w:t xml:space="preserve"> results were </w:t>
      </w:r>
      <w:r w:rsidR="002603BA">
        <w:t xml:space="preserve">also </w:t>
      </w:r>
      <w:r>
        <w:t>identified</w:t>
      </w:r>
      <w:r w:rsidR="002603BA">
        <w:t>.</w:t>
      </w:r>
    </w:p>
    <w:p w14:paraId="133A6CF6" w14:textId="593739F8" w:rsidR="0065761D" w:rsidRDefault="00151504" w:rsidP="009A11D7">
      <w:pPr>
        <w:pStyle w:val="BodyText"/>
      </w:pPr>
      <w:r>
        <w:t>HSE subsequently recognised that t</w:t>
      </w:r>
      <w:r w:rsidRPr="00151504">
        <w:t xml:space="preserve">he main issue with the current version of PIPIN </w:t>
      </w:r>
      <w:r>
        <w:t>was</w:t>
      </w:r>
      <w:r w:rsidRPr="00151504">
        <w:t xml:space="preserve"> the solution method used, </w:t>
      </w:r>
      <w:r>
        <w:t xml:space="preserve">called </w:t>
      </w:r>
      <w:r w:rsidRPr="00151504">
        <w:t>FORM/SORM. FORM is the first order reliability method and SORM is the second order reliability method.</w:t>
      </w:r>
      <w:r w:rsidR="00FB3531">
        <w:t xml:space="preserve"> </w:t>
      </w:r>
      <w:r w:rsidRPr="00151504">
        <w:t xml:space="preserve">Within PIPIN the probability of failure of a pipeline </w:t>
      </w:r>
      <w:r w:rsidR="00D61330">
        <w:t>wa</w:t>
      </w:r>
      <w:r w:rsidRPr="00151504">
        <w:t>s calculated using the FORM method.</w:t>
      </w:r>
      <w:r w:rsidR="00FB3531">
        <w:t xml:space="preserve"> </w:t>
      </w:r>
      <w:r w:rsidRPr="00151504">
        <w:t>For a significant proportion of pipelin</w:t>
      </w:r>
      <w:r w:rsidR="00D61330">
        <w:t>es this solution technique failed</w:t>
      </w:r>
      <w:r w:rsidRPr="00151504">
        <w:t xml:space="preserve"> to converge.</w:t>
      </w:r>
    </w:p>
    <w:p w14:paraId="1528055B" w14:textId="14614C50" w:rsidR="00D61330" w:rsidRDefault="00D61330" w:rsidP="00D61330">
      <w:pPr>
        <w:pStyle w:val="BodyText"/>
      </w:pPr>
      <w:r>
        <w:t xml:space="preserve">In 2011-12, HSL revised the calculation method and PIPIN </w:t>
      </w:r>
      <w:r w:rsidR="000126D3">
        <w:t>h</w:t>
      </w:r>
      <w:r>
        <w:t>as been successfully rewritten using a Monte Carlo solution method as opposed to FORM/SORM</w:t>
      </w:r>
      <w:sdt>
        <w:sdtPr>
          <w:id w:val="-131028291"/>
          <w:citation/>
        </w:sdtPr>
        <w:sdtEndPr/>
        <w:sdtContent>
          <w:r w:rsidR="000D494C">
            <w:fldChar w:fldCharType="begin"/>
          </w:r>
          <w:r w:rsidR="000D494C">
            <w:instrText xml:space="preserve"> CITATION RR1034 \l 2057 </w:instrText>
          </w:r>
          <w:r w:rsidR="000D494C">
            <w:fldChar w:fldCharType="separate"/>
          </w:r>
          <w:r w:rsidR="00C8658D">
            <w:rPr>
              <w:noProof/>
            </w:rPr>
            <w:t xml:space="preserve"> [25]</w:t>
          </w:r>
          <w:r w:rsidR="000D494C">
            <w:fldChar w:fldCharType="end"/>
          </w:r>
        </w:sdtContent>
      </w:sdt>
      <w:r w:rsidR="000D494C">
        <w:t>,</w:t>
      </w:r>
      <w:sdt>
        <w:sdtPr>
          <w:id w:val="-883104614"/>
          <w:citation/>
        </w:sdtPr>
        <w:sdtEndPr/>
        <w:sdtContent>
          <w:r w:rsidR="000D494C">
            <w:fldChar w:fldCharType="begin"/>
          </w:r>
          <w:r w:rsidR="000D494C">
            <w:instrText xml:space="preserve"> CITATION RR1035 \l 2057 </w:instrText>
          </w:r>
          <w:r w:rsidR="000D494C">
            <w:fldChar w:fldCharType="separate"/>
          </w:r>
          <w:r w:rsidR="00C8658D">
            <w:rPr>
              <w:noProof/>
            </w:rPr>
            <w:t xml:space="preserve"> [26]</w:t>
          </w:r>
          <w:r w:rsidR="000D494C">
            <w:fldChar w:fldCharType="end"/>
          </w:r>
        </w:sdtContent>
      </w:sdt>
      <w:r w:rsidR="000D494C">
        <w:t>,</w:t>
      </w:r>
      <w:sdt>
        <w:sdtPr>
          <w:id w:val="1377509839"/>
          <w:citation/>
        </w:sdtPr>
        <w:sdtEndPr/>
        <w:sdtContent>
          <w:r w:rsidR="000D494C">
            <w:fldChar w:fldCharType="begin"/>
          </w:r>
          <w:r w:rsidR="000D494C">
            <w:instrText xml:space="preserve"> CITATION RR1036 \l 2057 </w:instrText>
          </w:r>
          <w:r w:rsidR="000D494C">
            <w:fldChar w:fldCharType="separate"/>
          </w:r>
          <w:r w:rsidR="00C8658D">
            <w:rPr>
              <w:noProof/>
            </w:rPr>
            <w:t xml:space="preserve"> [27]</w:t>
          </w:r>
          <w:r w:rsidR="000D494C">
            <w:fldChar w:fldCharType="end"/>
          </w:r>
        </w:sdtContent>
      </w:sdt>
      <w:r w:rsidR="000D494C">
        <w:t xml:space="preserve">, </w:t>
      </w:r>
      <w:sdt>
        <w:sdtPr>
          <w:id w:val="-376781961"/>
          <w:citation/>
        </w:sdtPr>
        <w:sdtEndPr/>
        <w:sdtContent>
          <w:r w:rsidR="000D494C">
            <w:fldChar w:fldCharType="begin"/>
          </w:r>
          <w:r w:rsidR="000D494C">
            <w:instrText xml:space="preserve"> CITATION RR1037 \l 2057 </w:instrText>
          </w:r>
          <w:r w:rsidR="000D494C">
            <w:fldChar w:fldCharType="separate"/>
          </w:r>
          <w:r w:rsidR="00C8658D">
            <w:rPr>
              <w:noProof/>
            </w:rPr>
            <w:t>[28]</w:t>
          </w:r>
          <w:r w:rsidR="000D494C">
            <w:fldChar w:fldCharType="end"/>
          </w:r>
        </w:sdtContent>
      </w:sdt>
      <w:r w:rsidR="000D494C">
        <w:t xml:space="preserve">, </w:t>
      </w:r>
      <w:sdt>
        <w:sdtPr>
          <w:id w:val="-914396251"/>
          <w:citation/>
        </w:sdtPr>
        <w:sdtEndPr/>
        <w:sdtContent>
          <w:r w:rsidR="000D494C">
            <w:fldChar w:fldCharType="begin"/>
          </w:r>
          <w:r w:rsidR="000D494C">
            <w:instrText xml:space="preserve"> CITATION RR1038 \l 2057 </w:instrText>
          </w:r>
          <w:r w:rsidR="000D494C">
            <w:fldChar w:fldCharType="separate"/>
          </w:r>
          <w:r w:rsidR="00C8658D">
            <w:rPr>
              <w:noProof/>
            </w:rPr>
            <w:t>[29]</w:t>
          </w:r>
          <w:r w:rsidR="000D494C">
            <w:fldChar w:fldCharType="end"/>
          </w:r>
        </w:sdtContent>
      </w:sdt>
      <w:r w:rsidR="000D494C">
        <w:t xml:space="preserve">, </w:t>
      </w:r>
      <w:sdt>
        <w:sdtPr>
          <w:id w:val="-1634857600"/>
          <w:citation/>
        </w:sdtPr>
        <w:sdtEndPr/>
        <w:sdtContent>
          <w:r w:rsidR="000D494C">
            <w:fldChar w:fldCharType="begin"/>
          </w:r>
          <w:r w:rsidR="000D494C">
            <w:instrText xml:space="preserve"> CITATION RR1039 \l 2057 </w:instrText>
          </w:r>
          <w:r w:rsidR="000D494C">
            <w:fldChar w:fldCharType="separate"/>
          </w:r>
          <w:r w:rsidR="00C8658D">
            <w:rPr>
              <w:noProof/>
            </w:rPr>
            <w:t>[30]</w:t>
          </w:r>
          <w:r w:rsidR="000D494C">
            <w:fldChar w:fldCharType="end"/>
          </w:r>
        </w:sdtContent>
      </w:sdt>
      <w:r w:rsidR="000D494C">
        <w:t xml:space="preserve">, </w:t>
      </w:r>
      <w:sdt>
        <w:sdtPr>
          <w:id w:val="52050310"/>
          <w:citation/>
        </w:sdtPr>
        <w:sdtEndPr/>
        <w:sdtContent>
          <w:r w:rsidR="000D494C">
            <w:fldChar w:fldCharType="begin"/>
          </w:r>
          <w:r w:rsidR="000D494C">
            <w:instrText xml:space="preserve">CITATION RR1040 \l 2057 </w:instrText>
          </w:r>
          <w:r w:rsidR="000D494C">
            <w:fldChar w:fldCharType="separate"/>
          </w:r>
          <w:r w:rsidR="00C8658D">
            <w:rPr>
              <w:noProof/>
            </w:rPr>
            <w:t>[31]</w:t>
          </w:r>
          <w:r w:rsidR="000D494C">
            <w:fldChar w:fldCharType="end"/>
          </w:r>
        </w:sdtContent>
      </w:sdt>
      <w:r w:rsidR="000D494C">
        <w:t>.</w:t>
      </w:r>
      <w:r w:rsidR="00B9121A">
        <w:t xml:space="preserve"> </w:t>
      </w:r>
      <w:r w:rsidR="000D494C">
        <w:t>T</w:t>
      </w:r>
      <w:r>
        <w:t xml:space="preserve">he new model reproduced results obtained from PIPIN to a good degree of </w:t>
      </w:r>
      <w:r w:rsidR="000126D3">
        <w:t>comparability</w:t>
      </w:r>
      <w:r>
        <w:t xml:space="preserve">. To achieve a reasonable level of convergence between 1 million and 5 million iterations were required. On average (based on a dual-core, 2.4GHz PC with 2 GB RAM) this took less than 1 minute for each scenario. </w:t>
      </w:r>
    </w:p>
    <w:p w14:paraId="1392149E" w14:textId="5A15918B" w:rsidR="00D61330" w:rsidRDefault="00D61330" w:rsidP="00D61330">
      <w:pPr>
        <w:pStyle w:val="BodyText"/>
      </w:pPr>
      <w:r>
        <w:t>HSE are now using this improved model to calculate 3</w:t>
      </w:r>
      <w:r w:rsidRPr="00D61330">
        <w:rPr>
          <w:vertAlign w:val="superscript"/>
        </w:rPr>
        <w:t>rd</w:t>
      </w:r>
      <w:r>
        <w:t xml:space="preserve"> party failure rates.</w:t>
      </w:r>
    </w:p>
    <w:p w14:paraId="26BCA1D3" w14:textId="2B0780DE" w:rsidR="00756A3E" w:rsidRDefault="002E3CF1" w:rsidP="002E3CF1">
      <w:pPr>
        <w:pStyle w:val="Heading2"/>
      </w:pPr>
      <w:bookmarkStart w:id="38" w:name="_Toc534624867"/>
      <w:r>
        <w:t>Effect of Depth of Cover on 3</w:t>
      </w:r>
      <w:r w:rsidRPr="002E3CF1">
        <w:rPr>
          <w:vertAlign w:val="superscript"/>
        </w:rPr>
        <w:t>rd</w:t>
      </w:r>
      <w:r>
        <w:t xml:space="preserve"> Party </w:t>
      </w:r>
      <w:r w:rsidR="002603BA">
        <w:t>F</w:t>
      </w:r>
      <w:r>
        <w:t>ailure Rates</w:t>
      </w:r>
      <w:bookmarkEnd w:id="38"/>
    </w:p>
    <w:p w14:paraId="2BCFD1C6" w14:textId="39613152" w:rsidR="009A11D7" w:rsidRDefault="002E3CF1" w:rsidP="009A11D7">
      <w:pPr>
        <w:pStyle w:val="BodyText"/>
      </w:pPr>
      <w:r w:rsidRPr="002E3CF1">
        <w:t>Increasing the depth of cover is recognised as a means of reducing the likelihood of external interference damage</w:t>
      </w:r>
      <w:r w:rsidR="000126D3">
        <w:t xml:space="preserve">. This </w:t>
      </w:r>
      <w:r w:rsidRPr="002E3CF1">
        <w:t>reduc</w:t>
      </w:r>
      <w:r w:rsidR="000126D3">
        <w:t>es</w:t>
      </w:r>
      <w:r w:rsidRPr="002E3CF1">
        <w:t xml:space="preserve"> the proportion of excavation activities </w:t>
      </w:r>
      <w:r w:rsidR="000126D3">
        <w:t xml:space="preserve">likely to </w:t>
      </w:r>
      <w:r w:rsidRPr="002E3CF1">
        <w:t>reach the depth at which they could interfere with the pipeline.</w:t>
      </w:r>
      <w:r w:rsidR="00FB3531">
        <w:t xml:space="preserve"> </w:t>
      </w:r>
      <w:r w:rsidR="001F29DB" w:rsidRPr="002E3CF1">
        <w:t>However,</w:t>
      </w:r>
      <w:r w:rsidRPr="002E3CF1">
        <w:t xml:space="preserve"> no allowance </w:t>
      </w:r>
      <w:r>
        <w:t>was</w:t>
      </w:r>
      <w:r w:rsidRPr="002E3CF1">
        <w:t xml:space="preserve"> made by HSE for </w:t>
      </w:r>
      <w:r>
        <w:t>l</w:t>
      </w:r>
      <w:r w:rsidRPr="002E3CF1">
        <w:t xml:space="preserve">and </w:t>
      </w:r>
      <w:r>
        <w:t>u</w:t>
      </w:r>
      <w:r w:rsidRPr="002E3CF1">
        <w:t xml:space="preserve">se </w:t>
      </w:r>
      <w:r>
        <w:t>p</w:t>
      </w:r>
      <w:r w:rsidRPr="002E3CF1">
        <w:t>lanning assessments for depth of burial greater than</w:t>
      </w:r>
      <w:r>
        <w:t xml:space="preserve"> the standard</w:t>
      </w:r>
      <w:r w:rsidRPr="002E3CF1">
        <w:t xml:space="preserve"> 1.1</w:t>
      </w:r>
      <w:r w:rsidR="002603BA">
        <w:t> </w:t>
      </w:r>
      <w:r w:rsidRPr="002E3CF1">
        <w:t>metres</w:t>
      </w:r>
      <w:r>
        <w:t xml:space="preserve"> even though they increase failure rates for depths less than this.</w:t>
      </w:r>
    </w:p>
    <w:p w14:paraId="4A25DA54" w14:textId="1289E4DF" w:rsidR="002E3CF1" w:rsidRDefault="0066140E" w:rsidP="009A11D7">
      <w:pPr>
        <w:pStyle w:val="BodyText"/>
      </w:pPr>
      <w:r>
        <w:lastRenderedPageBreak/>
        <w:t xml:space="preserve">An original study and programme of experimental work by the </w:t>
      </w:r>
      <w:r w:rsidRPr="0066140E">
        <w:t>British Gas Engineering Research Station</w:t>
      </w:r>
      <w:r>
        <w:t xml:space="preserve"> in 1989 had demonstrated that there was a significant reduction in risk of excavating a deeper buried pipeline, especially when marker tape was installed above the pipeline to warn the excavation team</w:t>
      </w:r>
      <w:sdt>
        <w:sdtPr>
          <w:id w:val="-2116195617"/>
          <w:citation/>
        </w:sdtPr>
        <w:sdtEndPr/>
        <w:sdtContent>
          <w:r w:rsidR="00DB1E80">
            <w:fldChar w:fldCharType="begin"/>
          </w:r>
          <w:r w:rsidR="00DB1E80">
            <w:instrText xml:space="preserve"> CITATION Corder_IMechE_1995 \l 2057 </w:instrText>
          </w:r>
          <w:r w:rsidR="00DB1E80">
            <w:fldChar w:fldCharType="separate"/>
          </w:r>
          <w:r w:rsidR="00C8658D">
            <w:rPr>
              <w:noProof/>
            </w:rPr>
            <w:t xml:space="preserve"> [32]</w:t>
          </w:r>
          <w:r w:rsidR="00DB1E80">
            <w:fldChar w:fldCharType="end"/>
          </w:r>
        </w:sdtContent>
      </w:sdt>
      <w:r>
        <w:t>.</w:t>
      </w:r>
    </w:p>
    <w:p w14:paraId="657698A6" w14:textId="78860F16" w:rsidR="00B44E4E" w:rsidRDefault="00B44E4E" w:rsidP="009A11D7">
      <w:pPr>
        <w:pStyle w:val="BodyText"/>
      </w:pPr>
      <w:r>
        <w:t xml:space="preserve">For the first issue of the </w:t>
      </w:r>
      <w:r w:rsidR="0066140E">
        <w:t xml:space="preserve">IGEM and BSI risk </w:t>
      </w:r>
      <w:r w:rsidR="00DF0908">
        <w:t>standards</w:t>
      </w:r>
      <w:r w:rsidR="0066140E">
        <w:t xml:space="preserve">, </w:t>
      </w:r>
      <w:r>
        <w:t>an assessment of previous</w:t>
      </w:r>
      <w:r w:rsidR="00033590">
        <w:t>ly</w:t>
      </w:r>
      <w:r>
        <w:t xml:space="preserve"> published and HSE work was synthesised to produce a graph of risk reduction factor for increased depth of cover.</w:t>
      </w:r>
      <w:r w:rsidR="00FB3531">
        <w:t xml:space="preserve"> </w:t>
      </w:r>
      <w:r w:rsidR="00DB1E80">
        <w:t>However,</w:t>
      </w:r>
      <w:r>
        <w:t xml:space="preserve"> for the revised versions in 2012 </w:t>
      </w:r>
      <w:r w:rsidR="0066140E">
        <w:t xml:space="preserve">UKOPA commissioned GL Noble Denton to study the issue in detail </w:t>
      </w:r>
      <w:sdt>
        <w:sdtPr>
          <w:id w:val="1541702490"/>
          <w:citation/>
        </w:sdtPr>
        <w:sdtEndPr/>
        <w:sdtContent>
          <w:r w:rsidR="00DB1E80">
            <w:fldChar w:fldCharType="begin"/>
          </w:r>
          <w:r w:rsidR="00DB1E80">
            <w:instrText xml:space="preserve"> CITATION GLND_R10074_1 \l 2057 </w:instrText>
          </w:r>
          <w:r w:rsidR="00DB1E80">
            <w:fldChar w:fldCharType="separate"/>
          </w:r>
          <w:r w:rsidR="00C8658D">
            <w:rPr>
              <w:noProof/>
            </w:rPr>
            <w:t>[33]</w:t>
          </w:r>
          <w:r w:rsidR="00DB1E80">
            <w:fldChar w:fldCharType="end"/>
          </w:r>
        </w:sdtContent>
      </w:sdt>
      <w:r w:rsidR="00DB1E80">
        <w:t xml:space="preserve"> </w:t>
      </w:r>
      <w:r w:rsidR="0066140E">
        <w:t xml:space="preserve">and their </w:t>
      </w:r>
      <w:r w:rsidR="00DB1E80">
        <w:t xml:space="preserve">2012 draft </w:t>
      </w:r>
      <w:r w:rsidR="0066140E">
        <w:t xml:space="preserve">report </w:t>
      </w:r>
      <w:r>
        <w:t xml:space="preserve">and results </w:t>
      </w:r>
      <w:r w:rsidR="0066140E">
        <w:t>w</w:t>
      </w:r>
      <w:r>
        <w:t>ere used to publish the revised graph.</w:t>
      </w:r>
    </w:p>
    <w:p w14:paraId="1B5BCAEF" w14:textId="44E55E1B" w:rsidR="0066140E" w:rsidRDefault="00B44E4E" w:rsidP="00B44E4E">
      <w:pPr>
        <w:pStyle w:val="BodyText"/>
      </w:pPr>
      <w:r>
        <w:t>In 2013, HSE wrote to UKOPA stating “In conclusion, HSE will change its current policy and accept that increased depth of cover can be used to reduce pipeline failure rates (and therefore risks) due to third party activity in its land use planning risk assessments provided that pipeline operators fulfil the commitments placed on them in TD/2 and PD8010: Part 3”.</w:t>
      </w:r>
    </w:p>
    <w:p w14:paraId="4B322C83" w14:textId="52ED5637" w:rsidR="0081679A" w:rsidRDefault="0081679A" w:rsidP="00AA4EBB">
      <w:pPr>
        <w:pStyle w:val="Heading2"/>
      </w:pPr>
      <w:bookmarkStart w:id="39" w:name="_Ref531818813"/>
      <w:bookmarkStart w:id="40" w:name="_Toc534624868"/>
      <w:r>
        <w:t xml:space="preserve">Event Trees for Non-Natural Gas </w:t>
      </w:r>
      <w:r w:rsidR="00B6547F">
        <w:t>Pipelines</w:t>
      </w:r>
      <w:bookmarkEnd w:id="39"/>
      <w:bookmarkEnd w:id="40"/>
    </w:p>
    <w:p w14:paraId="3141D06B" w14:textId="00000EDD" w:rsidR="00B44E4E" w:rsidRDefault="0081679A" w:rsidP="00B44E4E">
      <w:pPr>
        <w:pStyle w:val="BodyText"/>
      </w:pPr>
      <w:r w:rsidRPr="0081679A">
        <w:t xml:space="preserve">HSE </w:t>
      </w:r>
      <w:r w:rsidR="00B6547F">
        <w:t>were</w:t>
      </w:r>
      <w:r w:rsidRPr="0081679A">
        <w:t xml:space="preserve"> apply</w:t>
      </w:r>
      <w:r w:rsidR="00B6547F">
        <w:t>ing</w:t>
      </w:r>
      <w:r w:rsidRPr="0081679A">
        <w:t xml:space="preserve"> an ignition probability of 0.84 (84%) for non-natural gas substances (including ethylene, spiked crude, NGLs, propane) compared to 0.4375 (43.75%) for natural gas.</w:t>
      </w:r>
      <w:r w:rsidR="00FB3531">
        <w:t xml:space="preserve"> </w:t>
      </w:r>
      <w:r w:rsidRPr="0081679A">
        <w:t xml:space="preserve">The background and logic for this </w:t>
      </w:r>
      <w:r w:rsidR="00B6547F">
        <w:t>wa</w:t>
      </w:r>
      <w:r w:rsidRPr="0081679A">
        <w:t>s not recorded.</w:t>
      </w:r>
      <w:r w:rsidR="00FB3531">
        <w:t xml:space="preserve"> </w:t>
      </w:r>
      <w:r w:rsidRPr="0081679A">
        <w:t xml:space="preserve">The result </w:t>
      </w:r>
      <w:r w:rsidR="00B6547F">
        <w:t>wa</w:t>
      </w:r>
      <w:r w:rsidRPr="0081679A">
        <w:t xml:space="preserve">s that Land Use Planning zones are automatically made significantly larger for </w:t>
      </w:r>
      <w:r w:rsidR="00F250EC" w:rsidRPr="0081679A">
        <w:t>non-natural gas</w:t>
      </w:r>
      <w:r w:rsidRPr="0081679A">
        <w:t xml:space="preserve"> substances.</w:t>
      </w:r>
    </w:p>
    <w:p w14:paraId="7DA4F4E5" w14:textId="1D46E6DD" w:rsidR="00B6547F" w:rsidRDefault="00B6547F" w:rsidP="00B44E4E">
      <w:pPr>
        <w:pStyle w:val="BodyText"/>
      </w:pPr>
      <w:r>
        <w:t>A logical approach to reduce the ignition probabilities based on minimum ignition energy was proposed by UKOPA in 2008.</w:t>
      </w:r>
      <w:r w:rsidR="00FB3531">
        <w:t xml:space="preserve"> </w:t>
      </w:r>
    </w:p>
    <w:p w14:paraId="735ED783" w14:textId="44137711" w:rsidR="00630280" w:rsidRDefault="00817A31" w:rsidP="00B44E4E">
      <w:pPr>
        <w:pStyle w:val="BodyText"/>
      </w:pPr>
      <w:r>
        <w:t>In February 2012</w:t>
      </w:r>
      <w:r w:rsidR="006063E7">
        <w:t xml:space="preserve"> HSL subsequently produced a comprehensive study report</w:t>
      </w:r>
      <w:r>
        <w:t xml:space="preserve"> [</w:t>
      </w:r>
      <w:r w:rsidR="00B9121A">
        <w:t>9</w:t>
      </w:r>
      <w:r>
        <w:t>] which recommended the same event tree for natural gas but change</w:t>
      </w:r>
      <w:r w:rsidR="00630280">
        <w:t>d</w:t>
      </w:r>
      <w:r>
        <w:t xml:space="preserve"> the ethylene, LPG and other flammable substances event trees.</w:t>
      </w:r>
      <w:r w:rsidR="00FB3531">
        <w:t xml:space="preserve"> </w:t>
      </w:r>
      <w:r w:rsidR="00630280">
        <w:t xml:space="preserve">Three event trees were presented covering three levels of minimum ignition energy / flammability. </w:t>
      </w:r>
    </w:p>
    <w:p w14:paraId="558F4CD8" w14:textId="39CB9314" w:rsidR="00B6547F" w:rsidRDefault="00817A31" w:rsidP="00B44E4E">
      <w:pPr>
        <w:pStyle w:val="BodyText"/>
      </w:pPr>
      <w:r>
        <w:t xml:space="preserve">The ethylene event tree used for LUP assessments </w:t>
      </w:r>
      <w:r w:rsidR="00630280">
        <w:t xml:space="preserve">was therefore </w:t>
      </w:r>
      <w:r>
        <w:t xml:space="preserve">changed to </w:t>
      </w:r>
      <w:r w:rsidR="00630280">
        <w:t xml:space="preserve">overall </w:t>
      </w:r>
      <w:r>
        <w:t>ignition probability 0.7712 (77.12%) with the fireball probability increasing from 0.2</w:t>
      </w:r>
      <w:r w:rsidR="00630280">
        <w:t xml:space="preserve"> </w:t>
      </w:r>
      <w:r>
        <w:t>to 0.35 (2</w:t>
      </w:r>
      <w:r w:rsidR="00630280">
        <w:t>0</w:t>
      </w:r>
      <w:r>
        <w:t>% to 35%), and the probability of flash fire reducing from 0.12</w:t>
      </w:r>
      <w:r w:rsidR="00630280">
        <w:t>8</w:t>
      </w:r>
      <w:r>
        <w:t xml:space="preserve"> to 0.0962</w:t>
      </w:r>
      <w:r w:rsidR="00630280">
        <w:t xml:space="preserve"> (12.8% to 9.62%).</w:t>
      </w:r>
      <w:r w:rsidR="00FB3531">
        <w:t xml:space="preserve"> </w:t>
      </w:r>
      <w:r w:rsidR="00630280">
        <w:t>Delayed ignition jet fire probability therefore reduced from 0.512 (51.2%) to 0.325 (32.5%).</w:t>
      </w:r>
    </w:p>
    <w:p w14:paraId="239B4F5D" w14:textId="7C10E1EE" w:rsidR="00630280" w:rsidRDefault="00630280" w:rsidP="00630280">
      <w:pPr>
        <w:pStyle w:val="Heading2"/>
      </w:pPr>
      <w:bookmarkStart w:id="41" w:name="_Toc534624869"/>
      <w:r>
        <w:t>Update to CONCAWE Data for HSE’s PIPIN Assessments</w:t>
      </w:r>
      <w:bookmarkEnd w:id="41"/>
    </w:p>
    <w:p w14:paraId="37D261CC" w14:textId="139932AE" w:rsidR="003B3295" w:rsidRDefault="00630280" w:rsidP="00B44E4E">
      <w:pPr>
        <w:pStyle w:val="BodyText"/>
      </w:pPr>
      <w:r>
        <w:t>Concern was raised by UKOPA about very high failure rates derived from CONCAWE data which was then being applied to HSE’s gasoline LUP assessment methodology.</w:t>
      </w:r>
      <w:r w:rsidR="00FB3531">
        <w:t xml:space="preserve"> </w:t>
      </w:r>
    </w:p>
    <w:p w14:paraId="09103020" w14:textId="55055212" w:rsidR="00630280" w:rsidRDefault="003B3295" w:rsidP="00B44E4E">
      <w:pPr>
        <w:pStyle w:val="BodyText"/>
      </w:pPr>
      <w:r>
        <w:t xml:space="preserve">In December 2012, </w:t>
      </w:r>
      <w:r w:rsidR="00DF0908">
        <w:t>HSL</w:t>
      </w:r>
      <w:r w:rsidR="00630280">
        <w:t xml:space="preserve"> </w:t>
      </w:r>
      <w:r w:rsidR="003D2501">
        <w:t xml:space="preserve">issued </w:t>
      </w:r>
      <w:r>
        <w:t>a comprehensive report covering failure rates for all pipeline categories including gasoline pipelines with revised CONCAWE data</w:t>
      </w:r>
      <w:sdt>
        <w:sdtPr>
          <w:id w:val="-255988279"/>
          <w:citation/>
        </w:sdtPr>
        <w:sdtEndPr/>
        <w:sdtContent>
          <w:r w:rsidR="00094AE5">
            <w:fldChar w:fldCharType="begin"/>
          </w:r>
          <w:r w:rsidR="00094AE5">
            <w:instrText xml:space="preserve"> CITATION MSU_2012_38 \l 2057 </w:instrText>
          </w:r>
          <w:r w:rsidR="00094AE5">
            <w:fldChar w:fldCharType="separate"/>
          </w:r>
          <w:r w:rsidR="00C8658D">
            <w:rPr>
              <w:noProof/>
            </w:rPr>
            <w:t xml:space="preserve"> [34]</w:t>
          </w:r>
          <w:r w:rsidR="00094AE5">
            <w:fldChar w:fldCharType="end"/>
          </w:r>
        </w:sdtContent>
      </w:sdt>
      <w:r>
        <w:t>.</w:t>
      </w:r>
      <w:r w:rsidR="00FB3531">
        <w:t xml:space="preserve"> </w:t>
      </w:r>
      <w:r>
        <w:t xml:space="preserve">This was the result of extensive discussions with </w:t>
      </w:r>
      <w:r w:rsidR="002603BA">
        <w:t>UKOPA and</w:t>
      </w:r>
      <w:r>
        <w:t xml:space="preserve"> use of the UKOPA Fault Database to obtain failure rates for MAHPs.</w:t>
      </w:r>
      <w:r w:rsidR="00FB3531">
        <w:t xml:space="preserve"> </w:t>
      </w:r>
      <w:r>
        <w:t>This report provides the basis for failure rates currently applied for LUP assessments.</w:t>
      </w:r>
    </w:p>
    <w:p w14:paraId="70D8019E" w14:textId="33160056" w:rsidR="003B3295" w:rsidRDefault="003B3295" w:rsidP="003B3295">
      <w:pPr>
        <w:pStyle w:val="Heading2"/>
      </w:pPr>
      <w:bookmarkStart w:id="42" w:name="_Toc534624870"/>
      <w:r w:rsidRPr="003B3295">
        <w:lastRenderedPageBreak/>
        <w:t>Methodology to Assess Gasoline Land Use Planning Zones</w:t>
      </w:r>
      <w:bookmarkEnd w:id="42"/>
    </w:p>
    <w:p w14:paraId="07824A1D" w14:textId="3B9292DC" w:rsidR="00CA40D6" w:rsidRDefault="001F29DB" w:rsidP="008C6BCC">
      <w:pPr>
        <w:pStyle w:val="BodyText"/>
      </w:pPr>
      <w:r>
        <w:t xml:space="preserve">UKOPA </w:t>
      </w:r>
      <w:r w:rsidR="003B3295">
        <w:t xml:space="preserve">outlined concerns </w:t>
      </w:r>
      <w:r w:rsidR="00CA40D6">
        <w:t>about HSE’s earlier proposed methodology for gasoline pipelines LUP zones, and recommended adoption of UKOPA’s approach.</w:t>
      </w:r>
      <w:r>
        <w:t xml:space="preserve"> </w:t>
      </w:r>
      <w:r w:rsidR="00CA40D6">
        <w:t xml:space="preserve">Section </w:t>
      </w:r>
      <w:r>
        <w:fldChar w:fldCharType="begin"/>
      </w:r>
      <w:r>
        <w:instrText xml:space="preserve"> REF _Ref534572730 \r \h </w:instrText>
      </w:r>
      <w:r>
        <w:fldChar w:fldCharType="separate"/>
      </w:r>
      <w:r>
        <w:t>7</w:t>
      </w:r>
      <w:r>
        <w:fldChar w:fldCharType="end"/>
      </w:r>
      <w:r w:rsidR="00CA40D6">
        <w:t xml:space="preserve"> above describes the background and history of gasoline pipeline LUP zones.</w:t>
      </w:r>
    </w:p>
    <w:p w14:paraId="24BA5078" w14:textId="16AA65A9" w:rsidR="00CA40D6" w:rsidRDefault="00CA40D6" w:rsidP="00CA40D6">
      <w:pPr>
        <w:pStyle w:val="Heading2"/>
      </w:pPr>
      <w:bookmarkStart w:id="43" w:name="_Toc534624871"/>
      <w:r>
        <w:t>Natural Gas Fireball Consequence Distances</w:t>
      </w:r>
      <w:bookmarkEnd w:id="43"/>
    </w:p>
    <w:p w14:paraId="6ACAFD46" w14:textId="34F7F0DC" w:rsidR="00CA40D6" w:rsidRDefault="00CA40D6" w:rsidP="008C6BCC">
      <w:pPr>
        <w:pStyle w:val="BodyText"/>
      </w:pPr>
      <w:r>
        <w:t>UKOPA noted that the consequence distances from the initial fireball following pipeline rupture are significantly greater using the HSE model compared to the model developed and contained within DNV GL PIPESAFE model.</w:t>
      </w:r>
    </w:p>
    <w:p w14:paraId="535C52DB" w14:textId="6A0E5CA3" w:rsidR="00CA40D6" w:rsidRDefault="00CA40D6" w:rsidP="008C6BCC">
      <w:pPr>
        <w:pStyle w:val="BodyText"/>
      </w:pPr>
      <w:r>
        <w:t xml:space="preserve">The HSE </w:t>
      </w:r>
      <w:r w:rsidRPr="00CA40D6">
        <w:t>method accumulates the incremental release rate from the ruptured pipeline second-by-second until the side of the fireball is equal to the burn-time</w:t>
      </w:r>
      <w:r>
        <w:t xml:space="preserve"> assuming all gas released in contained within the fireball</w:t>
      </w:r>
      <w:r w:rsidRPr="00CA40D6">
        <w:t>.</w:t>
      </w:r>
      <w:r w:rsidR="00FB3531">
        <w:t xml:space="preserve"> </w:t>
      </w:r>
      <w:r w:rsidRPr="00CA40D6">
        <w:t>This is usually 8 – 25 seconds for the population of UK gas pipelines.</w:t>
      </w:r>
      <w:r w:rsidR="00FB3531">
        <w:t xml:space="preserve"> </w:t>
      </w:r>
      <w:r w:rsidRPr="00CA40D6">
        <w:t>During this time the release rate is rapidly reducing.</w:t>
      </w:r>
      <w:r w:rsidR="00FB3531">
        <w:t xml:space="preserve"> </w:t>
      </w:r>
      <w:r w:rsidRPr="00CA40D6">
        <w:t>The method then assumes the fireball is located on the ground when calculating the thermal radiation effects.</w:t>
      </w:r>
    </w:p>
    <w:p w14:paraId="62373BC4" w14:textId="7878DF75" w:rsidR="00CA40D6" w:rsidRDefault="00CA40D6" w:rsidP="008C6BCC">
      <w:pPr>
        <w:pStyle w:val="BodyText"/>
      </w:pPr>
      <w:r>
        <w:t>C</w:t>
      </w:r>
      <w:r w:rsidRPr="00CA40D6">
        <w:t>omparison of the PIPESAFE method have shown that the HSE method calculates a higher initial release rate (by a factor of 2-10 times), and this will therefore result in a larger fireball.</w:t>
      </w:r>
    </w:p>
    <w:p w14:paraId="73B9D1F3" w14:textId="59372E78" w:rsidR="00CA40D6" w:rsidRDefault="00CA40D6" w:rsidP="00CA40D6">
      <w:pPr>
        <w:pStyle w:val="BodyText"/>
      </w:pPr>
      <w:r>
        <w:t>Subsequent discussions were held between DNV</w:t>
      </w:r>
      <w:r w:rsidR="002603BA">
        <w:t xml:space="preserve"> </w:t>
      </w:r>
      <w:r>
        <w:t xml:space="preserve">GL and </w:t>
      </w:r>
      <w:r w:rsidR="00DF0908">
        <w:t>HSL</w:t>
      </w:r>
      <w:r w:rsidR="00F250EC">
        <w:t xml:space="preserve"> in an attempt to resolve the differences.</w:t>
      </w:r>
      <w:r w:rsidR="00FB3531">
        <w:t xml:space="preserve"> </w:t>
      </w:r>
      <w:r w:rsidR="00094AE5">
        <w:t>However,</w:t>
      </w:r>
      <w:r>
        <w:t xml:space="preserve"> HSE </w:t>
      </w:r>
      <w:r w:rsidR="00F250EC">
        <w:t xml:space="preserve">have </w:t>
      </w:r>
      <w:r>
        <w:t>decided they w</w:t>
      </w:r>
      <w:r w:rsidR="00F250EC">
        <w:t>ill</w:t>
      </w:r>
      <w:r>
        <w:t xml:space="preserve"> continue to use their original model.</w:t>
      </w:r>
      <w:r w:rsidR="00FB3531">
        <w:t xml:space="preserve"> </w:t>
      </w:r>
    </w:p>
    <w:p w14:paraId="691F602F" w14:textId="56A1FDF9" w:rsidR="00CA40D6" w:rsidRDefault="00605CC9" w:rsidP="00605CC9">
      <w:pPr>
        <w:pStyle w:val="Heading2"/>
      </w:pPr>
      <w:bookmarkStart w:id="44" w:name="_Toc534624872"/>
      <w:r>
        <w:t>Conclusions from this Work Programme</w:t>
      </w:r>
      <w:bookmarkEnd w:id="44"/>
    </w:p>
    <w:p w14:paraId="6380935B" w14:textId="628F6C5F" w:rsidR="00605CC9" w:rsidRDefault="00605CC9" w:rsidP="008C6BCC">
      <w:pPr>
        <w:pStyle w:val="BodyText"/>
      </w:pPr>
      <w:r>
        <w:t>In all these cases apart from one</w:t>
      </w:r>
      <w:r w:rsidR="00F250EC">
        <w:t>,</w:t>
      </w:r>
      <w:r>
        <w:t xml:space="preserve"> ground movement</w:t>
      </w:r>
      <w:proofErr w:type="gramStart"/>
      <w:r>
        <w:t>/</w:t>
      </w:r>
      <w:r w:rsidR="001F29DB">
        <w:t>“</w:t>
      </w:r>
      <w:proofErr w:type="gramEnd"/>
      <w:r>
        <w:t xml:space="preserve">other” failure rate </w:t>
      </w:r>
      <w:r w:rsidR="00F250EC">
        <w:t>(</w:t>
      </w:r>
      <w:r>
        <w:t xml:space="preserve">discussed below) HSE and HSL have </w:t>
      </w:r>
      <w:r w:rsidR="00F250EC">
        <w:t>worked with</w:t>
      </w:r>
      <w:r>
        <w:t xml:space="preserve"> UKOPA </w:t>
      </w:r>
      <w:r w:rsidR="00F250EC">
        <w:t xml:space="preserve">on the </w:t>
      </w:r>
      <w:r>
        <w:t xml:space="preserve">issues raised and in most cases a mutually </w:t>
      </w:r>
      <w:r w:rsidR="001F29DB">
        <w:t xml:space="preserve">agreed </w:t>
      </w:r>
      <w:r>
        <w:t xml:space="preserve">approach </w:t>
      </w:r>
      <w:r w:rsidR="00F250EC">
        <w:t xml:space="preserve">and solution </w:t>
      </w:r>
      <w:r>
        <w:t>has been achieved.</w:t>
      </w:r>
      <w:r w:rsidR="00FB3531">
        <w:t xml:space="preserve"> </w:t>
      </w:r>
    </w:p>
    <w:p w14:paraId="224CC863" w14:textId="32312623" w:rsidR="004A209C" w:rsidRDefault="003A05DB" w:rsidP="003A05DB">
      <w:pPr>
        <w:pStyle w:val="Heading1"/>
      </w:pPr>
      <w:bookmarkStart w:id="45" w:name="_Toc534624873"/>
      <w:r>
        <w:lastRenderedPageBreak/>
        <w:t xml:space="preserve">HSE Revised </w:t>
      </w:r>
      <w:r w:rsidR="002603BA">
        <w:t>A</w:t>
      </w:r>
      <w:r>
        <w:t xml:space="preserve">pproach </w:t>
      </w:r>
      <w:r w:rsidR="002603BA">
        <w:t>&amp; C</w:t>
      </w:r>
      <w:r>
        <w:t>hanges to LUP Zones 20</w:t>
      </w:r>
      <w:r w:rsidR="00C24873">
        <w:t>08</w:t>
      </w:r>
      <w:r>
        <w:t>-2015</w:t>
      </w:r>
      <w:bookmarkEnd w:id="45"/>
    </w:p>
    <w:p w14:paraId="18166153" w14:textId="5DF4D7EF" w:rsidR="00C24873" w:rsidRDefault="00C24873" w:rsidP="00C24873">
      <w:pPr>
        <w:pStyle w:val="BodyText"/>
      </w:pPr>
      <w:r>
        <w:t>HSE contracted the development work for pipeline risk assessment to the Health &amp; Safety Laboratory at Buxton during the period 2008-2015. The programme of work commenced with the issue of UKOPA’s 10 issues di</w:t>
      </w:r>
      <w:r w:rsidR="00671A9C">
        <w:t>s</w:t>
      </w:r>
      <w:r>
        <w:t xml:space="preserve">cussed above and has </w:t>
      </w:r>
      <w:r w:rsidR="00671A9C">
        <w:t>resulted</w:t>
      </w:r>
      <w:r>
        <w:t xml:space="preserve"> </w:t>
      </w:r>
      <w:r w:rsidR="001F29DB">
        <w:t xml:space="preserve">in </w:t>
      </w:r>
      <w:r>
        <w:t>significant developments to the</w:t>
      </w:r>
      <w:r w:rsidR="001F29DB">
        <w:t>ir</w:t>
      </w:r>
      <w:r>
        <w:t xml:space="preserve"> methodology</w:t>
      </w:r>
      <w:r w:rsidR="00671A9C">
        <w:t>.</w:t>
      </w:r>
      <w:r w:rsidR="00FB3531">
        <w:t xml:space="preserve"> </w:t>
      </w:r>
      <w:r w:rsidR="00671A9C">
        <w:t xml:space="preserve">A series of joint meetings throughout this period was held with HSE </w:t>
      </w:r>
      <w:r w:rsidR="0088447A">
        <w:t xml:space="preserve">with </w:t>
      </w:r>
      <w:r w:rsidR="00671A9C">
        <w:t>Dr</w:t>
      </w:r>
      <w:r w:rsidR="0088447A">
        <w:t> </w:t>
      </w:r>
      <w:r w:rsidR="00671A9C">
        <w:t>P</w:t>
      </w:r>
      <w:r w:rsidR="0088447A">
        <w:t>eter</w:t>
      </w:r>
      <w:r w:rsidR="00671A9C">
        <w:t xml:space="preserve"> Harper usually in attendance. </w:t>
      </w:r>
    </w:p>
    <w:p w14:paraId="319B8393" w14:textId="366BD085" w:rsidR="00671A9C" w:rsidRDefault="00671A9C" w:rsidP="00C24873">
      <w:pPr>
        <w:pStyle w:val="BodyText"/>
      </w:pPr>
      <w:r>
        <w:t xml:space="preserve">Final decisions on significant changes in approach (e.g. adopting risk reduction factors for concrete slabbing and depth of cover) were taken by HSE’s </w:t>
      </w:r>
      <w:r w:rsidRPr="00671A9C">
        <w:t>HID CI5 Panel (HSE’s internal peer review system for land use planning issues)</w:t>
      </w:r>
      <w:r>
        <w:t>.</w:t>
      </w:r>
    </w:p>
    <w:p w14:paraId="7F13D1FD" w14:textId="30E5D800" w:rsidR="00671A9C" w:rsidRDefault="00671A9C" w:rsidP="00C24873">
      <w:pPr>
        <w:pStyle w:val="BodyText"/>
      </w:pPr>
      <w:r>
        <w:t>Major areas affecting LUP zones include:</w:t>
      </w:r>
    </w:p>
    <w:p w14:paraId="612B50A9" w14:textId="0A3C4F54" w:rsidR="00671A9C" w:rsidRDefault="00671A9C" w:rsidP="00671A9C">
      <w:pPr>
        <w:pStyle w:val="BodyText"/>
        <w:numPr>
          <w:ilvl w:val="0"/>
          <w:numId w:val="35"/>
        </w:numPr>
      </w:pPr>
      <w:r>
        <w:t>Revision of HSE’s predictive model for 3</w:t>
      </w:r>
      <w:r w:rsidRPr="00671A9C">
        <w:rPr>
          <w:vertAlign w:val="superscript"/>
        </w:rPr>
        <w:t>rd</w:t>
      </w:r>
      <w:r>
        <w:t xml:space="preserve"> party failure rates including adopting results from the UKOPA Fault Database for hit rates</w:t>
      </w:r>
      <w:r w:rsidR="00DF0908">
        <w:t>;</w:t>
      </w:r>
    </w:p>
    <w:p w14:paraId="18BA3C28" w14:textId="15F576E5" w:rsidR="00671A9C" w:rsidRDefault="00671A9C" w:rsidP="00671A9C">
      <w:pPr>
        <w:pStyle w:val="BodyText"/>
        <w:numPr>
          <w:ilvl w:val="0"/>
          <w:numId w:val="35"/>
        </w:numPr>
      </w:pPr>
      <w:r>
        <w:t>Adopting UKOPA failure rate data to obtain corrosion and mechanical failure rates including reducing failure rates for thicker wall pipelines</w:t>
      </w:r>
      <w:r w:rsidR="00DF0908">
        <w:t>;</w:t>
      </w:r>
    </w:p>
    <w:p w14:paraId="7B838958" w14:textId="056E8475" w:rsidR="00671A9C" w:rsidRDefault="00671A9C" w:rsidP="00671A9C">
      <w:pPr>
        <w:pStyle w:val="BodyText"/>
        <w:numPr>
          <w:ilvl w:val="0"/>
          <w:numId w:val="35"/>
        </w:numPr>
      </w:pPr>
      <w:r>
        <w:t>Agreeing to extend UKOPA failure rates to non-natural gas pipelines included in the UKOPA Fault Database</w:t>
      </w:r>
      <w:r w:rsidR="00DF0908">
        <w:t>;</w:t>
      </w:r>
    </w:p>
    <w:p w14:paraId="17C199AF" w14:textId="6D0F9930" w:rsidR="00671A9C" w:rsidRDefault="00671A9C" w:rsidP="00671A9C">
      <w:pPr>
        <w:pStyle w:val="BodyText"/>
        <w:numPr>
          <w:ilvl w:val="0"/>
          <w:numId w:val="35"/>
        </w:numPr>
      </w:pPr>
      <w:r>
        <w:t>Agreeing to include some mitigation measures which reduce 3</w:t>
      </w:r>
      <w:r w:rsidRPr="00671A9C">
        <w:rPr>
          <w:vertAlign w:val="superscript"/>
        </w:rPr>
        <w:t>rd</w:t>
      </w:r>
      <w:r>
        <w:t xml:space="preserve"> party failure rates</w:t>
      </w:r>
      <w:r w:rsidR="00DF0908">
        <w:t>.</w:t>
      </w:r>
    </w:p>
    <w:p w14:paraId="35199EED" w14:textId="261372D6" w:rsidR="00A95B71" w:rsidRDefault="00A95B71" w:rsidP="00A95B71">
      <w:pPr>
        <w:pStyle w:val="BodyText"/>
      </w:pPr>
      <w:r>
        <w:t>The extensive programme of work is described in a series of HSE Research reports available on the HSE website:</w:t>
      </w:r>
    </w:p>
    <w:p w14:paraId="2380EA1C" w14:textId="33B02B42" w:rsidR="00A95B71" w:rsidRDefault="00A95B71" w:rsidP="00A95B71">
      <w:pPr>
        <w:pStyle w:val="BodyText"/>
        <w:numPr>
          <w:ilvl w:val="0"/>
          <w:numId w:val="37"/>
        </w:numPr>
      </w:pPr>
      <w:r>
        <w:t>RR1034 - Review of the event tree structure and ignition probabilities used in HSE's pipeline risk assessment code MISHAP</w:t>
      </w:r>
      <w:r w:rsidR="006610D9">
        <w:t xml:space="preserve"> </w:t>
      </w:r>
      <w:sdt>
        <w:sdtPr>
          <w:id w:val="1781988581"/>
          <w:citation/>
        </w:sdtPr>
        <w:sdtEndPr/>
        <w:sdtContent>
          <w:r w:rsidR="006610D9">
            <w:fldChar w:fldCharType="begin"/>
          </w:r>
          <w:r w:rsidR="006610D9">
            <w:instrText xml:space="preserve"> CITATION RR1034 \l 2057 </w:instrText>
          </w:r>
          <w:r w:rsidR="006610D9">
            <w:fldChar w:fldCharType="separate"/>
          </w:r>
          <w:r w:rsidR="00C8658D">
            <w:rPr>
              <w:noProof/>
            </w:rPr>
            <w:t>[25]</w:t>
          </w:r>
          <w:r w:rsidR="006610D9">
            <w:fldChar w:fldCharType="end"/>
          </w:r>
        </w:sdtContent>
      </w:sdt>
      <w:r w:rsidR="00DF0908">
        <w:t>;</w:t>
      </w:r>
    </w:p>
    <w:p w14:paraId="16BC0BE9" w14:textId="4CBE084A" w:rsidR="00A95B71" w:rsidRDefault="00A95B71" w:rsidP="00A95B71">
      <w:pPr>
        <w:pStyle w:val="BodyText"/>
        <w:numPr>
          <w:ilvl w:val="0"/>
          <w:numId w:val="37"/>
        </w:numPr>
      </w:pPr>
      <w:r>
        <w:t>RR1035 - Update of pipeline failure rates for land use planning assessments</w:t>
      </w:r>
      <w:r w:rsidR="006610D9">
        <w:t xml:space="preserve"> </w:t>
      </w:r>
      <w:sdt>
        <w:sdtPr>
          <w:id w:val="-1810006010"/>
          <w:citation/>
        </w:sdtPr>
        <w:sdtEndPr/>
        <w:sdtContent>
          <w:r w:rsidR="006610D9">
            <w:fldChar w:fldCharType="begin"/>
          </w:r>
          <w:r w:rsidR="006610D9">
            <w:instrText xml:space="preserve"> CITATION RR1035 \l 2057 </w:instrText>
          </w:r>
          <w:r w:rsidR="006610D9">
            <w:fldChar w:fldCharType="separate"/>
          </w:r>
          <w:r w:rsidR="00C8658D">
            <w:rPr>
              <w:noProof/>
            </w:rPr>
            <w:t>[26]</w:t>
          </w:r>
          <w:r w:rsidR="006610D9">
            <w:fldChar w:fldCharType="end"/>
          </w:r>
        </w:sdtContent>
      </w:sdt>
      <w:r w:rsidR="00DF0908">
        <w:t>;</w:t>
      </w:r>
    </w:p>
    <w:p w14:paraId="6E7BCC9B" w14:textId="54BBC126" w:rsidR="00A95B71" w:rsidRDefault="00A95B71" w:rsidP="00A95B71">
      <w:pPr>
        <w:pStyle w:val="BodyText"/>
        <w:numPr>
          <w:ilvl w:val="0"/>
          <w:numId w:val="37"/>
        </w:numPr>
      </w:pPr>
      <w:r>
        <w:t>RR1036 - Rewriting the PIPIN code to use a Monte Carlo solution approach</w:t>
      </w:r>
      <w:r w:rsidR="006610D9">
        <w:t xml:space="preserve"> </w:t>
      </w:r>
      <w:sdt>
        <w:sdtPr>
          <w:id w:val="37934841"/>
          <w:citation/>
        </w:sdtPr>
        <w:sdtEndPr/>
        <w:sdtContent>
          <w:r w:rsidR="006610D9">
            <w:fldChar w:fldCharType="begin"/>
          </w:r>
          <w:r w:rsidR="006610D9">
            <w:instrText xml:space="preserve"> CITATION RR1036 \l 2057 </w:instrText>
          </w:r>
          <w:r w:rsidR="006610D9">
            <w:fldChar w:fldCharType="separate"/>
          </w:r>
          <w:r w:rsidR="00C8658D">
            <w:rPr>
              <w:noProof/>
            </w:rPr>
            <w:t>[27]</w:t>
          </w:r>
          <w:r w:rsidR="006610D9">
            <w:fldChar w:fldCharType="end"/>
          </w:r>
        </w:sdtContent>
      </w:sdt>
      <w:r w:rsidR="00DF0908">
        <w:t>;</w:t>
      </w:r>
    </w:p>
    <w:p w14:paraId="1E6543EE" w14:textId="707766C0" w:rsidR="00A95B71" w:rsidRDefault="00A95B71" w:rsidP="00A95B71">
      <w:pPr>
        <w:pStyle w:val="BodyText"/>
        <w:numPr>
          <w:ilvl w:val="0"/>
          <w:numId w:val="37"/>
        </w:numPr>
      </w:pPr>
      <w:r>
        <w:t xml:space="preserve">RR1037 - Science updates to HSE's </w:t>
      </w:r>
      <w:proofErr w:type="spellStart"/>
      <w:r>
        <w:t>PIPeline</w:t>
      </w:r>
      <w:proofErr w:type="spellEnd"/>
      <w:r>
        <w:t xml:space="preserve"> </w:t>
      </w:r>
      <w:proofErr w:type="spellStart"/>
      <w:r>
        <w:t>INtegritv</w:t>
      </w:r>
      <w:proofErr w:type="spellEnd"/>
      <w:r>
        <w:t xml:space="preserve"> model (PIPIN)</w:t>
      </w:r>
      <w:r w:rsidR="006610D9">
        <w:t xml:space="preserve"> </w:t>
      </w:r>
      <w:sdt>
        <w:sdtPr>
          <w:id w:val="-1353182196"/>
          <w:citation/>
        </w:sdtPr>
        <w:sdtEndPr/>
        <w:sdtContent>
          <w:r w:rsidR="006610D9">
            <w:fldChar w:fldCharType="begin"/>
          </w:r>
          <w:r w:rsidR="006610D9">
            <w:instrText xml:space="preserve"> CITATION RR1037 \l 2057 </w:instrText>
          </w:r>
          <w:r w:rsidR="006610D9">
            <w:fldChar w:fldCharType="separate"/>
          </w:r>
          <w:r w:rsidR="00C8658D">
            <w:rPr>
              <w:noProof/>
            </w:rPr>
            <w:t>[28]</w:t>
          </w:r>
          <w:r w:rsidR="006610D9">
            <w:fldChar w:fldCharType="end"/>
          </w:r>
        </w:sdtContent>
      </w:sdt>
      <w:r w:rsidR="00DF0908">
        <w:t>;</w:t>
      </w:r>
    </w:p>
    <w:p w14:paraId="2DEBD169" w14:textId="7804E61F" w:rsidR="00A95B71" w:rsidRDefault="00A95B71" w:rsidP="00A95B71">
      <w:pPr>
        <w:pStyle w:val="BodyText"/>
        <w:numPr>
          <w:ilvl w:val="0"/>
          <w:numId w:val="37"/>
        </w:numPr>
      </w:pPr>
      <w:r>
        <w:t xml:space="preserve">RR1038 - Data updates to HSE's </w:t>
      </w:r>
      <w:proofErr w:type="spellStart"/>
      <w:r>
        <w:t>PIPeline</w:t>
      </w:r>
      <w:proofErr w:type="spellEnd"/>
      <w:r>
        <w:t xml:space="preserve"> </w:t>
      </w:r>
      <w:proofErr w:type="spellStart"/>
      <w:r>
        <w:t>INtegritv</w:t>
      </w:r>
      <w:proofErr w:type="spellEnd"/>
      <w:r>
        <w:t xml:space="preserve"> model (PIPIN)</w:t>
      </w:r>
      <w:sdt>
        <w:sdtPr>
          <w:id w:val="-138726252"/>
          <w:citation/>
        </w:sdtPr>
        <w:sdtEndPr/>
        <w:sdtContent>
          <w:r w:rsidR="006610D9">
            <w:fldChar w:fldCharType="begin"/>
          </w:r>
          <w:r w:rsidR="006610D9">
            <w:instrText xml:space="preserve"> CITATION RR1038 \l 2057 </w:instrText>
          </w:r>
          <w:r w:rsidR="006610D9">
            <w:fldChar w:fldCharType="separate"/>
          </w:r>
          <w:r w:rsidR="00C8658D">
            <w:rPr>
              <w:noProof/>
            </w:rPr>
            <w:t xml:space="preserve"> [29]</w:t>
          </w:r>
          <w:r w:rsidR="006610D9">
            <w:fldChar w:fldCharType="end"/>
          </w:r>
        </w:sdtContent>
      </w:sdt>
      <w:r w:rsidR="006610D9">
        <w:t>;</w:t>
      </w:r>
    </w:p>
    <w:p w14:paraId="480FFBC3" w14:textId="0AACAF88" w:rsidR="00A95B71" w:rsidRDefault="00A95B71" w:rsidP="00A95B71">
      <w:pPr>
        <w:pStyle w:val="BodyText"/>
        <w:numPr>
          <w:ilvl w:val="0"/>
          <w:numId w:val="37"/>
        </w:numPr>
      </w:pPr>
      <w:r>
        <w:t xml:space="preserve">RR1039 - Summary of the rewrite of HSE's </w:t>
      </w:r>
      <w:proofErr w:type="spellStart"/>
      <w:r>
        <w:t>PIPeline</w:t>
      </w:r>
      <w:proofErr w:type="spellEnd"/>
      <w:r>
        <w:t xml:space="preserve"> </w:t>
      </w:r>
      <w:proofErr w:type="spellStart"/>
      <w:r>
        <w:t>INtegritv</w:t>
      </w:r>
      <w:proofErr w:type="spellEnd"/>
      <w:r>
        <w:t xml:space="preserve"> </w:t>
      </w:r>
      <w:r w:rsidR="006610D9">
        <w:t xml:space="preserve">model </w:t>
      </w:r>
      <w:r>
        <w:t>(PIPIN)</w:t>
      </w:r>
      <w:sdt>
        <w:sdtPr>
          <w:id w:val="1243909128"/>
          <w:citation/>
        </w:sdtPr>
        <w:sdtEndPr/>
        <w:sdtContent>
          <w:r w:rsidR="006610D9">
            <w:fldChar w:fldCharType="begin"/>
          </w:r>
          <w:r w:rsidR="006610D9">
            <w:instrText xml:space="preserve"> CITATION RR1039 \l 2057 </w:instrText>
          </w:r>
          <w:r w:rsidR="006610D9">
            <w:fldChar w:fldCharType="separate"/>
          </w:r>
          <w:r w:rsidR="00C8658D">
            <w:rPr>
              <w:noProof/>
            </w:rPr>
            <w:t xml:space="preserve"> [30]</w:t>
          </w:r>
          <w:r w:rsidR="006610D9">
            <w:fldChar w:fldCharType="end"/>
          </w:r>
        </w:sdtContent>
      </w:sdt>
      <w:r w:rsidR="006610D9">
        <w:t>; and,</w:t>
      </w:r>
    </w:p>
    <w:p w14:paraId="033F81BF" w14:textId="02093309" w:rsidR="00A95B71" w:rsidRDefault="00A95B71" w:rsidP="00A95B71">
      <w:pPr>
        <w:pStyle w:val="BodyText"/>
        <w:numPr>
          <w:ilvl w:val="0"/>
          <w:numId w:val="37"/>
        </w:numPr>
      </w:pPr>
      <w:r>
        <w:t>RR1040 Rewriting MISHAP: The development of MISHAP12</w:t>
      </w:r>
      <w:r w:rsidR="006610D9">
        <w:t xml:space="preserve"> </w:t>
      </w:r>
      <w:sdt>
        <w:sdtPr>
          <w:id w:val="-122152725"/>
          <w:citation/>
        </w:sdtPr>
        <w:sdtEndPr/>
        <w:sdtContent>
          <w:r w:rsidR="006610D9">
            <w:fldChar w:fldCharType="begin"/>
          </w:r>
          <w:r w:rsidR="006610D9">
            <w:instrText xml:space="preserve"> CITATION RR1040 \l 2057 </w:instrText>
          </w:r>
          <w:r w:rsidR="006610D9">
            <w:fldChar w:fldCharType="separate"/>
          </w:r>
          <w:r w:rsidR="00C8658D">
            <w:rPr>
              <w:noProof/>
            </w:rPr>
            <w:t>[31]</w:t>
          </w:r>
          <w:r w:rsidR="006610D9">
            <w:fldChar w:fldCharType="end"/>
          </w:r>
        </w:sdtContent>
      </w:sdt>
      <w:r w:rsidR="006610D9">
        <w:t>.</w:t>
      </w:r>
    </w:p>
    <w:p w14:paraId="5CFF2A4F" w14:textId="2AED7E62" w:rsidR="00671A9C" w:rsidRDefault="00671A9C" w:rsidP="00671A9C">
      <w:pPr>
        <w:pStyle w:val="Heading2"/>
      </w:pPr>
      <w:bookmarkStart w:id="46" w:name="_Toc534624874"/>
      <w:r>
        <w:t>Revision of Ethylene LUP Zones 2014-</w:t>
      </w:r>
      <w:r w:rsidR="002603BA">
        <w:t>1</w:t>
      </w:r>
      <w:r>
        <w:t>5</w:t>
      </w:r>
      <w:bookmarkEnd w:id="46"/>
    </w:p>
    <w:p w14:paraId="2D514AD5" w14:textId="14051664" w:rsidR="00671A9C" w:rsidRDefault="00671A9C" w:rsidP="00671A9C">
      <w:pPr>
        <w:pStyle w:val="BodyText"/>
      </w:pPr>
      <w:r>
        <w:t xml:space="preserve">The extent of LUP zones for ethylene pipelines has concerned operators since the zones were imposed in 1989. </w:t>
      </w:r>
      <w:r w:rsidR="00513BAD">
        <w:t>The zones were significantly larger than for natural gas pipelines, and this was largely due to two factors:</w:t>
      </w:r>
    </w:p>
    <w:p w14:paraId="13959CB4" w14:textId="2F68A6A6" w:rsidR="00513BAD" w:rsidRDefault="00513BAD" w:rsidP="00513BAD">
      <w:pPr>
        <w:pStyle w:val="BodyText"/>
        <w:numPr>
          <w:ilvl w:val="0"/>
          <w:numId w:val="36"/>
        </w:numPr>
      </w:pPr>
      <w:r>
        <w:t>The higher dense phase density of ethylene (200-300 kg/m</w:t>
      </w:r>
      <w:r w:rsidRPr="00513BAD">
        <w:rPr>
          <w:vertAlign w:val="superscript"/>
        </w:rPr>
        <w:t>3</w:t>
      </w:r>
      <w:r>
        <w:t>) compared to natural gas (30-80 kg/m</w:t>
      </w:r>
      <w:r w:rsidRPr="00513BAD">
        <w:rPr>
          <w:vertAlign w:val="superscript"/>
        </w:rPr>
        <w:t>3</w:t>
      </w:r>
      <w:r>
        <w:t>) resulting in very large fireball radius from a ruptured pipeline</w:t>
      </w:r>
      <w:r w:rsidR="00DF0908">
        <w:t>;</w:t>
      </w:r>
    </w:p>
    <w:p w14:paraId="75566288" w14:textId="57682F11" w:rsidR="00513BAD" w:rsidRDefault="00513BAD" w:rsidP="00513BAD">
      <w:pPr>
        <w:pStyle w:val="BodyText"/>
        <w:numPr>
          <w:ilvl w:val="0"/>
          <w:numId w:val="36"/>
        </w:numPr>
      </w:pPr>
      <w:r>
        <w:lastRenderedPageBreak/>
        <w:t>The very large drifting clouds of ethylene predicted by 1980s dispersion models which resulted in large outer zone distances, especially for still night time conditions.</w:t>
      </w:r>
    </w:p>
    <w:p w14:paraId="52E29676" w14:textId="0A489182" w:rsidR="00513BAD" w:rsidRDefault="00513BAD" w:rsidP="00513BAD">
      <w:pPr>
        <w:pStyle w:val="BodyText"/>
      </w:pPr>
      <w:r>
        <w:t>The first issue was resolved following discussions in 2005-6 when HSE agreed to adopt the University College, London model called P</w:t>
      </w:r>
      <w:r w:rsidR="006610D9">
        <w:t>ipeTech</w:t>
      </w:r>
      <w:r>
        <w:t xml:space="preserve"> for calculating the initial 2-phase release from a ruptured ethylene pipeline.</w:t>
      </w:r>
      <w:r w:rsidR="00FB3531">
        <w:t xml:space="preserve"> </w:t>
      </w:r>
      <w:r>
        <w:t xml:space="preserve">This results in release rates </w:t>
      </w:r>
      <w:r w:rsidR="00DF0908">
        <w:t xml:space="preserve">which are </w:t>
      </w:r>
      <w:r>
        <w:t>20-30% of the original LOSSP model in HSE’s PRAM and so reduces the fireball radius and the inner and middle LUP zones.</w:t>
      </w:r>
    </w:p>
    <w:p w14:paraId="7B3B9CB7" w14:textId="35285F00" w:rsidR="00513BAD" w:rsidRDefault="00513BAD" w:rsidP="00513BAD">
      <w:pPr>
        <w:pStyle w:val="BodyText"/>
      </w:pPr>
      <w:r>
        <w:t xml:space="preserve">The second issue was resolved in 2015 when HSL applied a new program called DRIFT to ethylene dispersion cases, along with the new event tree described in </w:t>
      </w:r>
      <w:r w:rsidR="0088447A">
        <w:t>S</w:t>
      </w:r>
      <w:r>
        <w:t xml:space="preserve">ection </w:t>
      </w:r>
      <w:r w:rsidR="0088447A">
        <w:fldChar w:fldCharType="begin"/>
      </w:r>
      <w:r w:rsidR="0088447A">
        <w:instrText xml:space="preserve"> REF _Ref531818813 \r \h </w:instrText>
      </w:r>
      <w:r w:rsidR="0088447A">
        <w:fldChar w:fldCharType="separate"/>
      </w:r>
      <w:r w:rsidR="0088447A">
        <w:t>9.7</w:t>
      </w:r>
      <w:r w:rsidR="0088447A">
        <w:fldChar w:fldCharType="end"/>
      </w:r>
      <w:r w:rsidR="0088447A">
        <w:t xml:space="preserve"> </w:t>
      </w:r>
      <w:r>
        <w:t>above and depth of cover reduction factors.</w:t>
      </w:r>
      <w:r w:rsidR="00FB3531">
        <w:t xml:space="preserve"> </w:t>
      </w:r>
      <w:r>
        <w:t>Also</w:t>
      </w:r>
      <w:r w:rsidR="006610D9">
        <w:t>,</w:t>
      </w:r>
      <w:r>
        <w:t xml:space="preserve"> HSE agreed to apply the PD 8010</w:t>
      </w:r>
      <w:r w:rsidR="0088447A">
        <w:t xml:space="preserve">-1 </w:t>
      </w:r>
      <w:r>
        <w:t xml:space="preserve">Minimum Distance to Occupied Buildings </w:t>
      </w:r>
      <w:r w:rsidR="00DF0908">
        <w:t xml:space="preserve">(MDOB) </w:t>
      </w:r>
      <w:r>
        <w:t>as the inner zone distance which resulted in a significant reduction compared to the previous fireball radius calculation.</w:t>
      </w:r>
    </w:p>
    <w:p w14:paraId="7003E539" w14:textId="0B4FEFAF" w:rsidR="00513BAD" w:rsidRPr="00671A9C" w:rsidRDefault="00513BAD" w:rsidP="00513BAD">
      <w:pPr>
        <w:pStyle w:val="BodyText"/>
      </w:pPr>
      <w:r>
        <w:t xml:space="preserve">The result has been a significant </w:t>
      </w:r>
      <w:r w:rsidR="006521A7">
        <w:t>reduction in LUP zones for all the UK ethylene pipelines.</w:t>
      </w:r>
    </w:p>
    <w:p w14:paraId="72C5BDDA" w14:textId="17FED258" w:rsidR="00723245" w:rsidRPr="00723245" w:rsidRDefault="003709B2" w:rsidP="00723245">
      <w:pPr>
        <w:pStyle w:val="Heading1"/>
      </w:pPr>
      <w:bookmarkStart w:id="47" w:name="_Toc534624875"/>
      <w:r>
        <w:lastRenderedPageBreak/>
        <w:t>R</w:t>
      </w:r>
      <w:r w:rsidR="00723245">
        <w:t xml:space="preserve">emaining </w:t>
      </w:r>
      <w:r>
        <w:t>I</w:t>
      </w:r>
      <w:r w:rsidR="00723245">
        <w:t xml:space="preserve">ssue – </w:t>
      </w:r>
      <w:r>
        <w:t>HSE D</w:t>
      </w:r>
      <w:r w:rsidR="00723245">
        <w:t>efinition of “Other”</w:t>
      </w:r>
      <w:r w:rsidR="00C162E3">
        <w:t xml:space="preserve"> Failures</w:t>
      </w:r>
      <w:bookmarkEnd w:id="47"/>
    </w:p>
    <w:p w14:paraId="38CF0887" w14:textId="1CFD7A74" w:rsidR="00477C58" w:rsidRDefault="00477C58" w:rsidP="009A11D7">
      <w:pPr>
        <w:pStyle w:val="BodyText"/>
      </w:pPr>
      <w:r>
        <w:t>The original approach for thick-wall pipelines is defined in the IGEM/TD/1 code which applies a reduced Building Proximity Distance of 3</w:t>
      </w:r>
      <w:r w:rsidR="0088447A">
        <w:t xml:space="preserve"> </w:t>
      </w:r>
      <w:r>
        <w:t xml:space="preserve">m for wall thickness greater than or equal </w:t>
      </w:r>
      <w:r w:rsidR="00623960">
        <w:t>to 11</w:t>
      </w:r>
      <w:r>
        <w:t>.91</w:t>
      </w:r>
      <w:r w:rsidR="0088447A">
        <w:t xml:space="preserve"> </w:t>
      </w:r>
      <w:r>
        <w:t xml:space="preserve">mm with </w:t>
      </w:r>
      <w:r w:rsidR="0023111A">
        <w:t xml:space="preserve">a </w:t>
      </w:r>
      <w:r>
        <w:t>design factor less than</w:t>
      </w:r>
      <w:r w:rsidR="00FB3531">
        <w:t xml:space="preserve"> </w:t>
      </w:r>
      <w:r>
        <w:t>or equal to 0.3.</w:t>
      </w:r>
      <w:r w:rsidR="00FB3531">
        <w:t xml:space="preserve"> </w:t>
      </w:r>
      <w:r>
        <w:t xml:space="preserve">This is based on early research work carried out by British Gas which demonstrated that such pipelines were very unlikely </w:t>
      </w:r>
      <w:r w:rsidR="00623960">
        <w:t xml:space="preserve">to </w:t>
      </w:r>
      <w:r>
        <w:t>rupture when impacted by earth moving machinery.</w:t>
      </w:r>
      <w:r w:rsidR="00FB3531">
        <w:t xml:space="preserve"> </w:t>
      </w:r>
      <w:r w:rsidR="007179AF">
        <w:t>A similar approach is included in PD</w:t>
      </w:r>
      <w:r w:rsidR="0088447A">
        <w:t> </w:t>
      </w:r>
      <w:r w:rsidR="007179AF">
        <w:t>8010</w:t>
      </w:r>
      <w:r w:rsidR="0088447A">
        <w:t>-</w:t>
      </w:r>
      <w:r w:rsidR="00623960">
        <w:t xml:space="preserve">1 </w:t>
      </w:r>
      <w:r w:rsidR="007179AF">
        <w:t>for other pipelines with a calculation for MDOB.</w:t>
      </w:r>
    </w:p>
    <w:p w14:paraId="04C14F39" w14:textId="3C9377BA" w:rsidR="007179AF" w:rsidRDefault="007179AF" w:rsidP="007179AF">
      <w:pPr>
        <w:pStyle w:val="Heading2"/>
      </w:pPr>
      <w:bookmarkStart w:id="48" w:name="_Toc534624876"/>
      <w:r>
        <w:t xml:space="preserve">Re-Assessment of LUP Zones </w:t>
      </w:r>
      <w:r w:rsidR="0088447A">
        <w:t>by</w:t>
      </w:r>
      <w:r>
        <w:t xml:space="preserve"> HSE 2001-2</w:t>
      </w:r>
      <w:bookmarkEnd w:id="48"/>
    </w:p>
    <w:p w14:paraId="196642D2" w14:textId="6A9386DD" w:rsidR="00477C58" w:rsidRDefault="009A11D7" w:rsidP="009A11D7">
      <w:pPr>
        <w:pStyle w:val="BodyText"/>
      </w:pPr>
      <w:r>
        <w:t>During the development of HSE’s failure rates to assess Land Use Planning Zones for natural gas pipelines during 2001-2, one pipeline rupture case (13</w:t>
      </w:r>
      <w:r w:rsidR="007371A7" w:rsidRPr="007371A7">
        <w:rPr>
          <w:vertAlign w:val="superscript"/>
        </w:rPr>
        <w:t>th</w:t>
      </w:r>
      <w:r>
        <w:t xml:space="preserve"> Oct</w:t>
      </w:r>
      <w:r w:rsidR="007371A7">
        <w:t>ober</w:t>
      </w:r>
      <w:r>
        <w:t xml:space="preserve"> 1984, Bushey Heath) was caused by ground movement, resulting in a rupture failure rate of 0.002 per 1000</w:t>
      </w:r>
      <w:r w:rsidR="007371A7">
        <w:t> </w:t>
      </w:r>
      <w:r>
        <w:t>km</w:t>
      </w:r>
      <w:r w:rsidR="007371A7">
        <w:t xml:space="preserve"> </w:t>
      </w:r>
      <w:r>
        <w:t>years (2 x 10</w:t>
      </w:r>
      <w:r w:rsidRPr="009A11D7">
        <w:rPr>
          <w:vertAlign w:val="superscript"/>
        </w:rPr>
        <w:t>-6</w:t>
      </w:r>
      <w:r>
        <w:t xml:space="preserve"> per km year) based on data in the UKOPA database. </w:t>
      </w:r>
    </w:p>
    <w:p w14:paraId="1090C756" w14:textId="1FC99F81" w:rsidR="0088447A" w:rsidRDefault="009A11D7" w:rsidP="009A11D7">
      <w:pPr>
        <w:pStyle w:val="BodyText"/>
      </w:pPr>
      <w:r>
        <w:t>This failure rate had little effect on the risks from rural pipeline</w:t>
      </w:r>
      <w:r w:rsidR="00623960">
        <w:t>s</w:t>
      </w:r>
      <w:r>
        <w:t xml:space="preserve"> where the combination of lower wall thickness and higher design factor resulted in 3</w:t>
      </w:r>
      <w:r w:rsidRPr="0023111A">
        <w:rPr>
          <w:vertAlign w:val="superscript"/>
        </w:rPr>
        <w:t>rd</w:t>
      </w:r>
      <w:r>
        <w:t xml:space="preserve"> party failure rates dominating the rupture rate. </w:t>
      </w:r>
      <w:r w:rsidR="0088447A">
        <w:t>However,</w:t>
      </w:r>
      <w:r>
        <w:t xml:space="preserve"> in suburban areas where the wall thickness is greater than 11.91 mm and the design factor is below 0.3, the rupture failure rate is dominated by this ground movement</w:t>
      </w:r>
      <w:r w:rsidR="0088447A">
        <w:t xml:space="preserve"> value</w:t>
      </w:r>
      <w:r>
        <w:t>.</w:t>
      </w:r>
      <w:r w:rsidR="00FB3531">
        <w:t xml:space="preserve"> </w:t>
      </w:r>
      <w:r>
        <w:t xml:space="preserve">As a </w:t>
      </w:r>
      <w:r w:rsidR="0023111A">
        <w:t>result,</w:t>
      </w:r>
      <w:r>
        <w:t xml:space="preserve"> risk-based middle and outer land use planning zones were increased substantially because of the single point rupture ground movement failure rate. </w:t>
      </w:r>
    </w:p>
    <w:p w14:paraId="5D3ABC98" w14:textId="4398BDA4" w:rsidR="009A11D7" w:rsidRDefault="0088447A" w:rsidP="009A11D7">
      <w:pPr>
        <w:pStyle w:val="BodyText"/>
      </w:pPr>
      <w:r>
        <w:t>I</w:t>
      </w:r>
      <w:r w:rsidR="009A11D7">
        <w:t>n an analysis carried out in October 2006, the listing of HSE pipeline calculation cases contained a total of 759 calculations for pipelines with diameters 1219 mm down to 168 mm.</w:t>
      </w:r>
      <w:r w:rsidR="00FB3531">
        <w:t xml:space="preserve"> </w:t>
      </w:r>
      <w:r w:rsidR="009A11D7">
        <w:t xml:space="preserve">From this total, 107 cases were identified where the contribution from natural </w:t>
      </w:r>
      <w:r>
        <w:t xml:space="preserve">ground movement </w:t>
      </w:r>
      <w:r w:rsidR="009A11D7">
        <w:t>rupture frequency exceeded 50% of the total rupture frequency.</w:t>
      </w:r>
    </w:p>
    <w:p w14:paraId="6DB48112" w14:textId="211751F1" w:rsidR="007179AF" w:rsidRDefault="007179AF" w:rsidP="007179AF">
      <w:pPr>
        <w:pStyle w:val="Heading2"/>
      </w:pPr>
      <w:bookmarkStart w:id="49" w:name="_Toc534624877"/>
      <w:r>
        <w:t>Further Development by HSL in 2009</w:t>
      </w:r>
      <w:bookmarkEnd w:id="49"/>
    </w:p>
    <w:p w14:paraId="0AAD1520" w14:textId="1CA27276" w:rsidR="0099639E" w:rsidRDefault="009A11D7" w:rsidP="0099639E">
      <w:pPr>
        <w:pStyle w:val="BodyText"/>
      </w:pPr>
      <w:r>
        <w:t xml:space="preserve">When the Health &amp; Safety Laboratory (HSL) carried out further re-assessment of failure rates based on UKOPA data during 2009-2010, they decided to use 20 years data covering 1987 to 2006, so the 1984 </w:t>
      </w:r>
      <w:r w:rsidR="007371A7">
        <w:t xml:space="preserve">Bushey Heath </w:t>
      </w:r>
      <w:r>
        <w:t>event was no longer included.</w:t>
      </w:r>
      <w:r w:rsidR="00FB3531">
        <w:t xml:space="preserve"> </w:t>
      </w:r>
      <w:r w:rsidR="00A23FAF">
        <w:t>However,</w:t>
      </w:r>
      <w:r>
        <w:t xml:space="preserve"> HSL decided to include one event previously recorded </w:t>
      </w:r>
      <w:r w:rsidR="0099639E">
        <w:t xml:space="preserve">in the UKOPA database </w:t>
      </w:r>
      <w:r>
        <w:t xml:space="preserve">as not relevant </w:t>
      </w:r>
      <w:r w:rsidR="0099639E">
        <w:t>a</w:t>
      </w:r>
      <w:r w:rsidR="006D5253">
        <w:t>n</w:t>
      </w:r>
      <w:r w:rsidR="0099639E">
        <w:t xml:space="preserve">d </w:t>
      </w:r>
      <w:r w:rsidR="006D5253">
        <w:t xml:space="preserve">therefore </w:t>
      </w:r>
      <w:r w:rsidR="0099639E">
        <w:t xml:space="preserve">classed as “other” </w:t>
      </w:r>
      <w:r>
        <w:t>because it was not in the main pipe section.</w:t>
      </w:r>
      <w:r w:rsidR="00FB3531">
        <w:t xml:space="preserve"> </w:t>
      </w:r>
    </w:p>
    <w:p w14:paraId="3C538436" w14:textId="431A1124" w:rsidR="00110681" w:rsidRDefault="0099639E" w:rsidP="0099639E">
      <w:pPr>
        <w:pStyle w:val="BodyText"/>
      </w:pPr>
      <w:r>
        <w:t>Th</w:t>
      </w:r>
      <w:r w:rsidR="006D5253">
        <w:t>is</w:t>
      </w:r>
      <w:r>
        <w:t xml:space="preserve"> </w:t>
      </w:r>
      <w:r w:rsidR="006D5253">
        <w:t>event was</w:t>
      </w:r>
      <w:r>
        <w:t xml:space="preserve"> </w:t>
      </w:r>
      <w:r w:rsidR="0088447A">
        <w:t xml:space="preserve">the </w:t>
      </w:r>
      <w:r>
        <w:t>Palaceknowe failure</w:t>
      </w:r>
      <w:r w:rsidR="0088447A">
        <w:t>,</w:t>
      </w:r>
      <w:r>
        <w:t xml:space="preserve"> which occurred </w:t>
      </w:r>
      <w:r w:rsidR="00A23FAF">
        <w:t>on 22</w:t>
      </w:r>
      <w:r w:rsidR="00A23FAF" w:rsidRPr="00A23FAF">
        <w:rPr>
          <w:vertAlign w:val="superscript"/>
        </w:rPr>
        <w:t>nd</w:t>
      </w:r>
      <w:r>
        <w:t xml:space="preserve"> December 1993 and was therefore included in the 20</w:t>
      </w:r>
      <w:r w:rsidR="00A23FAF">
        <w:t>-</w:t>
      </w:r>
      <w:r>
        <w:t>year 1987-2006 dataset by HSL. The failure occurred following a modification of the pipeline</w:t>
      </w:r>
      <w:r w:rsidR="004D667D">
        <w:t xml:space="preserve"> which</w:t>
      </w:r>
      <w:r w:rsidR="006D5253">
        <w:t xml:space="preserve"> </w:t>
      </w:r>
      <w:r>
        <w:t>involved welding a thick wall (19.1</w:t>
      </w:r>
      <w:r w:rsidR="0088447A">
        <w:t xml:space="preserve"> </w:t>
      </w:r>
      <w:r>
        <w:t>mm) section of pipe to an existing forged end seal at a road crossing. The forged end seal was modified on site, and the connection weld was carried out on site. The failure occurred in the forged end seal close to the connection weld</w:t>
      </w:r>
      <w:r w:rsidR="00A23FAF">
        <w:t xml:space="preserve"> due to a</w:t>
      </w:r>
      <w:r>
        <w:t xml:space="preserve"> </w:t>
      </w:r>
      <w:r w:rsidR="00A23FAF">
        <w:t>combination</w:t>
      </w:r>
      <w:r>
        <w:t xml:space="preserve"> of high external loading due to </w:t>
      </w:r>
      <w:r w:rsidR="00A23FAF">
        <w:t xml:space="preserve">increased </w:t>
      </w:r>
      <w:r>
        <w:t xml:space="preserve">overburden on the </w:t>
      </w:r>
      <w:r w:rsidR="0088447A">
        <w:t xml:space="preserve">new thick wall </w:t>
      </w:r>
      <w:r>
        <w:t xml:space="preserve">pipe, </w:t>
      </w:r>
      <w:r w:rsidR="004D667D">
        <w:t xml:space="preserve">inadequate </w:t>
      </w:r>
      <w:r>
        <w:t xml:space="preserve">compaction of the backfill below </w:t>
      </w:r>
      <w:r w:rsidR="0088447A">
        <w:t xml:space="preserve">this </w:t>
      </w:r>
      <w:r>
        <w:t>pipe which reduced support, and the presence of a concrete raft above the pipeline which concentrated the overburden on the</w:t>
      </w:r>
      <w:r w:rsidR="0088447A">
        <w:t xml:space="preserve"> thick wall</w:t>
      </w:r>
      <w:r>
        <w:t xml:space="preserve"> pipe</w:t>
      </w:r>
      <w:r w:rsidR="00A23FAF">
        <w:t>. A further contributory factor was use of an unsuitable weld procedure for the field connection weld.</w:t>
      </w:r>
    </w:p>
    <w:p w14:paraId="106454B4" w14:textId="648CA955" w:rsidR="00342D85" w:rsidRDefault="0099639E" w:rsidP="0099639E">
      <w:pPr>
        <w:pStyle w:val="BodyText"/>
      </w:pPr>
      <w:r>
        <w:t>The failure occurred as a leak (not a rupture) in the forged end seal component, not in the thick wall pipe.</w:t>
      </w:r>
      <w:r w:rsidR="00110681" w:rsidRPr="00110681">
        <w:t xml:space="preserve"> The failure resulted in a circumferential slot running between the circumferential positions of 8 o’clock and 4 o’clock. The measured total area of the slot was </w:t>
      </w:r>
      <w:r w:rsidR="00110681">
        <w:t xml:space="preserve">equivalent to a circular hole </w:t>
      </w:r>
      <w:r w:rsidR="006D5253">
        <w:t xml:space="preserve">of </w:t>
      </w:r>
      <w:r w:rsidR="00110681">
        <w:t>diameter</w:t>
      </w:r>
      <w:r w:rsidR="0088447A">
        <w:t xml:space="preserve"> </w:t>
      </w:r>
      <w:r w:rsidR="00110681" w:rsidRPr="00110681">
        <w:t>130</w:t>
      </w:r>
      <w:r w:rsidR="0088447A">
        <w:t xml:space="preserve"> </w:t>
      </w:r>
      <w:r w:rsidR="00110681" w:rsidRPr="00110681">
        <w:t>mm</w:t>
      </w:r>
      <w:r w:rsidR="00110681">
        <w:t xml:space="preserve"> and </w:t>
      </w:r>
      <w:r w:rsidR="006D5253">
        <w:t xml:space="preserve">was </w:t>
      </w:r>
      <w:r w:rsidR="00110681">
        <w:t xml:space="preserve">therefore within </w:t>
      </w:r>
      <w:r w:rsidR="006D5253">
        <w:t xml:space="preserve">the </w:t>
      </w:r>
      <w:r w:rsidR="00110681">
        <w:t xml:space="preserve">HSE definition of “rupture” which is </w:t>
      </w:r>
      <w:r w:rsidR="006D5253">
        <w:t xml:space="preserve">between </w:t>
      </w:r>
      <w:r w:rsidR="00110681">
        <w:t xml:space="preserve">110 mm </w:t>
      </w:r>
      <w:r w:rsidR="0088447A">
        <w:t xml:space="preserve">diameter </w:t>
      </w:r>
      <w:r w:rsidR="006D5253">
        <w:t>and</w:t>
      </w:r>
      <w:r w:rsidR="00FB3531">
        <w:t xml:space="preserve"> </w:t>
      </w:r>
      <w:r w:rsidR="00110681">
        <w:t>full bore.</w:t>
      </w:r>
    </w:p>
    <w:p w14:paraId="31620171" w14:textId="4CA6E6D1" w:rsidR="009A11D7" w:rsidRDefault="009A11D7" w:rsidP="009A11D7">
      <w:pPr>
        <w:pStyle w:val="BodyText"/>
      </w:pPr>
      <w:r>
        <w:lastRenderedPageBreak/>
        <w:t>This</w:t>
      </w:r>
      <w:r w:rsidR="00110681">
        <w:t xml:space="preserve"> failure was</w:t>
      </w:r>
      <w:r>
        <w:t xml:space="preserve"> identified as unknown category “Other” and calculated a fixed failure rate of 0.0025 per 1000 </w:t>
      </w:r>
      <w:proofErr w:type="spellStart"/>
      <w:r>
        <w:t>kmyears</w:t>
      </w:r>
      <w:proofErr w:type="spellEnd"/>
      <w:r>
        <w:t xml:space="preserve"> (2.5 x 10</w:t>
      </w:r>
      <w:r w:rsidRPr="009A11D7">
        <w:rPr>
          <w:vertAlign w:val="superscript"/>
        </w:rPr>
        <w:t>-6</w:t>
      </w:r>
      <w:r>
        <w:t xml:space="preserve"> per km per year</w:t>
      </w:r>
      <w:proofErr w:type="gramStart"/>
      <w:r>
        <w:t>)</w:t>
      </w:r>
      <w:r w:rsidR="006D5253">
        <w:t>.This</w:t>
      </w:r>
      <w:proofErr w:type="gramEnd"/>
      <w:r w:rsidR="006D5253">
        <w:t xml:space="preserve"> is now applied to all pipelines, however thick the wall.</w:t>
      </w:r>
    </w:p>
    <w:p w14:paraId="76395DA8" w14:textId="3F36BBFE" w:rsidR="006D5253" w:rsidRDefault="006D5253" w:rsidP="00A142EC">
      <w:pPr>
        <w:pStyle w:val="Heading2"/>
      </w:pPr>
      <w:bookmarkStart w:id="50" w:name="_Toc534624878"/>
      <w:r>
        <w:t>Issues Caused by the “Other” Failure Rate</w:t>
      </w:r>
      <w:bookmarkEnd w:id="50"/>
    </w:p>
    <w:p w14:paraId="1B42947A" w14:textId="750B4C9C" w:rsidR="006D5253" w:rsidRDefault="006D5253" w:rsidP="009A11D7">
      <w:pPr>
        <w:pStyle w:val="BodyText"/>
      </w:pPr>
      <w:r>
        <w:t>Several issues have since arisen when a sensitive development is identified within the outer zone distance from a thick wall pipeline created by the residual “other” fixed failure rate.</w:t>
      </w:r>
      <w:r w:rsidR="00FB3531">
        <w:t xml:space="preserve"> </w:t>
      </w:r>
      <w:r>
        <w:t xml:space="preserve">In some </w:t>
      </w:r>
      <w:r w:rsidR="002F2D3D">
        <w:t>cases,</w:t>
      </w:r>
      <w:r>
        <w:t xml:space="preserve"> this is due </w:t>
      </w:r>
      <w:r w:rsidR="0088447A">
        <w:t xml:space="preserve">to </w:t>
      </w:r>
      <w:r>
        <w:t>a planning application to develop a sensitive development (e.g. care home), and in other cases the need to route a pipeline close to a sensitive development.</w:t>
      </w:r>
      <w:r w:rsidR="00FB3531">
        <w:t xml:space="preserve"> </w:t>
      </w:r>
      <w:r>
        <w:t>In both cases the option to reduce the risk by increasing wall thickness still further is not possible because the failure rate remains fixed however thick the pipe.</w:t>
      </w:r>
    </w:p>
    <w:p w14:paraId="266A6EDE" w14:textId="19581FE2" w:rsidR="0099639E" w:rsidRDefault="0099639E" w:rsidP="009A11D7">
      <w:pPr>
        <w:pStyle w:val="BodyText"/>
      </w:pPr>
      <w:r>
        <w:t>Extensive representations were made by UKOPA during 2010-2015 with presentations and papers describing how</w:t>
      </w:r>
      <w:r w:rsidR="006D5253">
        <w:t xml:space="preserve"> the Palaceknowe failure is not </w:t>
      </w:r>
      <w:r w:rsidR="0088447A">
        <w:t>relevant and</w:t>
      </w:r>
      <w:r w:rsidR="006D5253">
        <w:t xml:space="preserve"> urging HSE to adopt a more </w:t>
      </w:r>
      <w:r w:rsidR="00D84F17">
        <w:t xml:space="preserve">realistic </w:t>
      </w:r>
      <w:r w:rsidR="006D5253">
        <w:t>approach to this issue.</w:t>
      </w:r>
      <w:r w:rsidR="00FB3531">
        <w:t xml:space="preserve"> </w:t>
      </w:r>
      <w:r w:rsidR="006D5253">
        <w:t xml:space="preserve">However this has not met </w:t>
      </w:r>
      <w:r w:rsidR="00D84F17">
        <w:t>with agreement</w:t>
      </w:r>
      <w:r w:rsidR="006D5253">
        <w:t xml:space="preserve"> so far.</w:t>
      </w:r>
    </w:p>
    <w:p w14:paraId="6823AF3B" w14:textId="16A669E0" w:rsidR="002F2D3D" w:rsidRDefault="006D5253" w:rsidP="009A11D7">
      <w:pPr>
        <w:pStyle w:val="BodyText"/>
      </w:pPr>
      <w:r>
        <w:t>HSE point out that in theory it would therefore be possible to allow sensitive developments right up to the thick wall BPD (3</w:t>
      </w:r>
      <w:r w:rsidR="002F2D3D">
        <w:t xml:space="preserve"> </w:t>
      </w:r>
      <w:r>
        <w:t xml:space="preserve">m) if the pipe wall was very thick, and they could not agree </w:t>
      </w:r>
      <w:r w:rsidR="00A142EC">
        <w:t>with this</w:t>
      </w:r>
      <w:r w:rsidR="002F2D3D">
        <w:t xml:space="preserve"> even where the risk levels can be shown to be low.</w:t>
      </w:r>
    </w:p>
    <w:p w14:paraId="18E187BD" w14:textId="4750218B" w:rsidR="006D5253" w:rsidRDefault="00A142EC" w:rsidP="009A11D7">
      <w:pPr>
        <w:pStyle w:val="BodyText"/>
      </w:pPr>
      <w:r>
        <w:t>The issue remains unresolved.</w:t>
      </w:r>
    </w:p>
    <w:p w14:paraId="51E355FA" w14:textId="77777777" w:rsidR="00477C58" w:rsidRDefault="00477C58" w:rsidP="009A11D7">
      <w:pPr>
        <w:pStyle w:val="BodyText"/>
      </w:pPr>
    </w:p>
    <w:p w14:paraId="295A6D74" w14:textId="77777777" w:rsidR="00203CEE" w:rsidRPr="007E4142" w:rsidRDefault="00203CEE" w:rsidP="007E4142">
      <w:pPr>
        <w:pStyle w:val="BodyText"/>
      </w:pPr>
    </w:p>
    <w:p w14:paraId="33F4384B" w14:textId="449D082E" w:rsidR="00A6718A" w:rsidRPr="00273DB5" w:rsidRDefault="00A6718A" w:rsidP="00A6718A">
      <w:pPr>
        <w:pStyle w:val="Heading1"/>
      </w:pPr>
      <w:bookmarkStart w:id="51" w:name="_Toc534624879"/>
      <w:r w:rsidRPr="00273DB5">
        <w:lastRenderedPageBreak/>
        <w:t>Conclusions</w:t>
      </w:r>
      <w:bookmarkEnd w:id="51"/>
    </w:p>
    <w:p w14:paraId="197A02BD" w14:textId="3C055527" w:rsidR="00034581" w:rsidRDefault="00034581" w:rsidP="00034581">
      <w:pPr>
        <w:pStyle w:val="BodyText"/>
      </w:pPr>
      <w:r>
        <w:t>In spite of several setbacks during the early years the close liaison between UKOPA the HSE during the period since the formation of UKOPA in 1997 has proved fruitful</w:t>
      </w:r>
      <w:r w:rsidR="0087539A">
        <w:t>. This has</w:t>
      </w:r>
      <w:r>
        <w:t xml:space="preserve"> result</w:t>
      </w:r>
      <w:r w:rsidR="0087539A">
        <w:t>ed</w:t>
      </w:r>
      <w:r>
        <w:t xml:space="preserve"> in </w:t>
      </w:r>
      <w:r w:rsidR="0087539A">
        <w:t>realistic, quantifiably demonstrable</w:t>
      </w:r>
      <w:r>
        <w:t xml:space="preserve"> and a generally agreed approach to risk-based calculations to assess Land Use Planning zones</w:t>
      </w:r>
      <w:r w:rsidR="0087539A">
        <w:t>.</w:t>
      </w:r>
      <w:r w:rsidR="00FB3531">
        <w:t xml:space="preserve"> </w:t>
      </w:r>
      <w:r w:rsidR="0087539A">
        <w:t>It</w:t>
      </w:r>
      <w:r>
        <w:t xml:space="preserve"> can be seen </w:t>
      </w:r>
      <w:r w:rsidR="0087539A">
        <w:t xml:space="preserve">very much </w:t>
      </w:r>
      <w:r>
        <w:t>as a major success</w:t>
      </w:r>
      <w:r w:rsidR="0087539A">
        <w:t xml:space="preserve"> of Industry and the Regulator working collaboratively together</w:t>
      </w:r>
      <w:r>
        <w:t>.</w:t>
      </w:r>
    </w:p>
    <w:p w14:paraId="05922007" w14:textId="77777777" w:rsidR="00477C58" w:rsidRDefault="00477C58" w:rsidP="00034581">
      <w:pPr>
        <w:pStyle w:val="BodyText"/>
      </w:pPr>
    </w:p>
    <w:bookmarkStart w:id="52" w:name="_Toc534624880" w:displacedByCustomXml="next"/>
    <w:sdt>
      <w:sdtPr>
        <w:rPr>
          <w:rFonts w:asciiTheme="minorHAnsi" w:hAnsiTheme="minorHAnsi"/>
          <w:b w:val="0"/>
          <w:caps w:val="0"/>
          <w:noProof w:val="0"/>
          <w:color w:val="auto"/>
          <w:kern w:val="0"/>
          <w:sz w:val="20"/>
        </w:rPr>
        <w:id w:val="449435953"/>
        <w:docPartObj>
          <w:docPartGallery w:val="Bibliographies"/>
          <w:docPartUnique/>
        </w:docPartObj>
      </w:sdtPr>
      <w:sdtEndPr/>
      <w:sdtContent>
        <w:p w14:paraId="32CD9A92" w14:textId="0EE54A6C" w:rsidR="002F2D3D" w:rsidRDefault="002F2D3D">
          <w:pPr>
            <w:pStyle w:val="Heading1"/>
          </w:pPr>
          <w:r>
            <w:t>References</w:t>
          </w:r>
          <w:bookmarkEnd w:id="52"/>
        </w:p>
        <w:sdt>
          <w:sdtPr>
            <w:id w:val="-573587230"/>
            <w:bibliography/>
          </w:sdtPr>
          <w:sdtEndPr/>
          <w:sdtContent>
            <w:p w14:paraId="45695048" w14:textId="77777777" w:rsidR="00C8658D" w:rsidRDefault="002F2D3D">
              <w:pPr>
                <w:rPr>
                  <w:rFonts w:ascii="Times New Roman" w:hAnsi="Times New Roman"/>
                  <w:noProof/>
                  <w:lang w:eastAsia="en-GB"/>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754"/>
              </w:tblGrid>
              <w:tr w:rsidR="00C8658D" w14:paraId="7281DD08" w14:textId="77777777">
                <w:trPr>
                  <w:divId w:val="436943895"/>
                  <w:tblCellSpacing w:w="15" w:type="dxa"/>
                </w:trPr>
                <w:tc>
                  <w:tcPr>
                    <w:tcW w:w="50" w:type="pct"/>
                    <w:hideMark/>
                  </w:tcPr>
                  <w:p w14:paraId="6825C541" w14:textId="5E1E2474" w:rsidR="00C8658D" w:rsidRDefault="00C8658D">
                    <w:pPr>
                      <w:pStyle w:val="Bibliography"/>
                      <w:rPr>
                        <w:noProof/>
                        <w:sz w:val="24"/>
                        <w:szCs w:val="24"/>
                      </w:rPr>
                    </w:pPr>
                    <w:r>
                      <w:rPr>
                        <w:noProof/>
                      </w:rPr>
                      <w:t xml:space="preserve">[1] </w:t>
                    </w:r>
                  </w:p>
                </w:tc>
                <w:tc>
                  <w:tcPr>
                    <w:tcW w:w="0" w:type="auto"/>
                    <w:hideMark/>
                  </w:tcPr>
                  <w:p w14:paraId="0C0D3A4A" w14:textId="77777777" w:rsidR="00C8658D" w:rsidRDefault="00C8658D">
                    <w:pPr>
                      <w:pStyle w:val="Bibliography"/>
                      <w:rPr>
                        <w:noProof/>
                      </w:rPr>
                    </w:pPr>
                    <w:r>
                      <w:rPr>
                        <w:noProof/>
                      </w:rPr>
                      <w:t xml:space="preserve">SI 1996 No. 825, </w:t>
                    </w:r>
                    <w:r>
                      <w:rPr>
                        <w:i/>
                        <w:iCs/>
                        <w:noProof/>
                      </w:rPr>
                      <w:t xml:space="preserve">The Pipelines Safety Regulations 1996, as amended, </w:t>
                    </w:r>
                    <w:r>
                      <w:rPr>
                        <w:noProof/>
                      </w:rPr>
                      <w:t xml:space="preserve">HMSO. </w:t>
                    </w:r>
                  </w:p>
                </w:tc>
              </w:tr>
              <w:tr w:rsidR="00C8658D" w14:paraId="14641B2C" w14:textId="77777777">
                <w:trPr>
                  <w:divId w:val="436943895"/>
                  <w:tblCellSpacing w:w="15" w:type="dxa"/>
                </w:trPr>
                <w:tc>
                  <w:tcPr>
                    <w:tcW w:w="50" w:type="pct"/>
                    <w:hideMark/>
                  </w:tcPr>
                  <w:p w14:paraId="7B0965ED" w14:textId="77777777" w:rsidR="00C8658D" w:rsidRDefault="00C8658D">
                    <w:pPr>
                      <w:pStyle w:val="Bibliography"/>
                      <w:rPr>
                        <w:noProof/>
                      </w:rPr>
                    </w:pPr>
                    <w:r>
                      <w:rPr>
                        <w:noProof/>
                      </w:rPr>
                      <w:t xml:space="preserve">[2] </w:t>
                    </w:r>
                  </w:p>
                </w:tc>
                <w:tc>
                  <w:tcPr>
                    <w:tcW w:w="0" w:type="auto"/>
                    <w:hideMark/>
                  </w:tcPr>
                  <w:p w14:paraId="32983633" w14:textId="77777777" w:rsidR="00C8658D" w:rsidRDefault="00C8658D">
                    <w:pPr>
                      <w:pStyle w:val="Bibliography"/>
                      <w:rPr>
                        <w:noProof/>
                      </w:rPr>
                    </w:pPr>
                    <w:r>
                      <w:rPr>
                        <w:noProof/>
                      </w:rPr>
                      <w:t xml:space="preserve">Health and Safety Commission, Advisory Committee on Major Hazards, </w:t>
                    </w:r>
                    <w:r>
                      <w:rPr>
                        <w:i/>
                        <w:iCs/>
                        <w:noProof/>
                      </w:rPr>
                      <w:t xml:space="preserve">First Report, </w:t>
                    </w:r>
                    <w:r>
                      <w:rPr>
                        <w:noProof/>
                      </w:rPr>
                      <w:t xml:space="preserve">London: HMSO, 1976. </w:t>
                    </w:r>
                  </w:p>
                </w:tc>
              </w:tr>
              <w:tr w:rsidR="00C8658D" w14:paraId="07003632" w14:textId="77777777">
                <w:trPr>
                  <w:divId w:val="436943895"/>
                  <w:tblCellSpacing w:w="15" w:type="dxa"/>
                </w:trPr>
                <w:tc>
                  <w:tcPr>
                    <w:tcW w:w="50" w:type="pct"/>
                    <w:hideMark/>
                  </w:tcPr>
                  <w:p w14:paraId="5F7315E3" w14:textId="77777777" w:rsidR="00C8658D" w:rsidRDefault="00C8658D">
                    <w:pPr>
                      <w:pStyle w:val="Bibliography"/>
                      <w:rPr>
                        <w:noProof/>
                      </w:rPr>
                    </w:pPr>
                    <w:r>
                      <w:rPr>
                        <w:noProof/>
                      </w:rPr>
                      <w:t xml:space="preserve">[3] </w:t>
                    </w:r>
                  </w:p>
                </w:tc>
                <w:tc>
                  <w:tcPr>
                    <w:tcW w:w="0" w:type="auto"/>
                    <w:hideMark/>
                  </w:tcPr>
                  <w:p w14:paraId="5D1B9A6D" w14:textId="77777777" w:rsidR="00C8658D" w:rsidRDefault="00C8658D">
                    <w:pPr>
                      <w:pStyle w:val="Bibliography"/>
                      <w:rPr>
                        <w:noProof/>
                      </w:rPr>
                    </w:pPr>
                    <w:r>
                      <w:rPr>
                        <w:noProof/>
                      </w:rPr>
                      <w:t xml:space="preserve">Health and Safety Commission, Advisory Committee on Major Hazards, </w:t>
                    </w:r>
                    <w:r>
                      <w:rPr>
                        <w:i/>
                        <w:iCs/>
                        <w:noProof/>
                      </w:rPr>
                      <w:t xml:space="preserve">Second Report, </w:t>
                    </w:r>
                    <w:r>
                      <w:rPr>
                        <w:noProof/>
                      </w:rPr>
                      <w:t xml:space="preserve">London: HMSO, 1979. </w:t>
                    </w:r>
                  </w:p>
                </w:tc>
              </w:tr>
              <w:tr w:rsidR="00C8658D" w14:paraId="74302AF3" w14:textId="77777777">
                <w:trPr>
                  <w:divId w:val="436943895"/>
                  <w:tblCellSpacing w:w="15" w:type="dxa"/>
                </w:trPr>
                <w:tc>
                  <w:tcPr>
                    <w:tcW w:w="50" w:type="pct"/>
                    <w:hideMark/>
                  </w:tcPr>
                  <w:p w14:paraId="2E2BD38A" w14:textId="77777777" w:rsidR="00C8658D" w:rsidRDefault="00C8658D">
                    <w:pPr>
                      <w:pStyle w:val="Bibliography"/>
                      <w:rPr>
                        <w:noProof/>
                      </w:rPr>
                    </w:pPr>
                    <w:r>
                      <w:rPr>
                        <w:noProof/>
                      </w:rPr>
                      <w:t xml:space="preserve">[4] </w:t>
                    </w:r>
                  </w:p>
                </w:tc>
                <w:tc>
                  <w:tcPr>
                    <w:tcW w:w="0" w:type="auto"/>
                    <w:hideMark/>
                  </w:tcPr>
                  <w:p w14:paraId="625F1186" w14:textId="77777777" w:rsidR="00C8658D" w:rsidRDefault="00C8658D">
                    <w:pPr>
                      <w:pStyle w:val="Bibliography"/>
                      <w:rPr>
                        <w:noProof/>
                      </w:rPr>
                    </w:pPr>
                    <w:r>
                      <w:rPr>
                        <w:noProof/>
                      </w:rPr>
                      <w:t xml:space="preserve">Health and Safety Commission, Advisory Committee on Major Hazards, </w:t>
                    </w:r>
                    <w:r>
                      <w:rPr>
                        <w:i/>
                        <w:iCs/>
                        <w:noProof/>
                      </w:rPr>
                      <w:t xml:space="preserve">Third Report. The control of major hazards, </w:t>
                    </w:r>
                    <w:r>
                      <w:rPr>
                        <w:noProof/>
                      </w:rPr>
                      <w:t xml:space="preserve">London: HMSO, 1984. </w:t>
                    </w:r>
                  </w:p>
                </w:tc>
              </w:tr>
              <w:tr w:rsidR="00C8658D" w14:paraId="42A5370B" w14:textId="77777777">
                <w:trPr>
                  <w:divId w:val="436943895"/>
                  <w:tblCellSpacing w:w="15" w:type="dxa"/>
                </w:trPr>
                <w:tc>
                  <w:tcPr>
                    <w:tcW w:w="50" w:type="pct"/>
                    <w:hideMark/>
                  </w:tcPr>
                  <w:p w14:paraId="76ECB458" w14:textId="77777777" w:rsidR="00C8658D" w:rsidRDefault="00C8658D">
                    <w:pPr>
                      <w:pStyle w:val="Bibliography"/>
                      <w:rPr>
                        <w:noProof/>
                      </w:rPr>
                    </w:pPr>
                    <w:r>
                      <w:rPr>
                        <w:noProof/>
                      </w:rPr>
                      <w:t xml:space="preserve">[5] </w:t>
                    </w:r>
                  </w:p>
                </w:tc>
                <w:tc>
                  <w:tcPr>
                    <w:tcW w:w="0" w:type="auto"/>
                    <w:hideMark/>
                  </w:tcPr>
                  <w:p w14:paraId="71CF8EC6" w14:textId="77777777" w:rsidR="00C8658D" w:rsidRDefault="00C8658D">
                    <w:pPr>
                      <w:pStyle w:val="Bibliography"/>
                      <w:rPr>
                        <w:noProof/>
                      </w:rPr>
                    </w:pPr>
                    <w:r>
                      <w:rPr>
                        <w:noProof/>
                      </w:rPr>
                      <w:t xml:space="preserve">SI 1984 No. 1902, </w:t>
                    </w:r>
                    <w:r>
                      <w:rPr>
                        <w:i/>
                        <w:iCs/>
                        <w:noProof/>
                      </w:rPr>
                      <w:t xml:space="preserve">The Control of Industrial Major Accident Hazards Regulations 1984, </w:t>
                    </w:r>
                    <w:r>
                      <w:rPr>
                        <w:noProof/>
                      </w:rPr>
                      <w:t xml:space="preserve">HMSO, 1984. </w:t>
                    </w:r>
                  </w:p>
                </w:tc>
              </w:tr>
              <w:tr w:rsidR="00C8658D" w14:paraId="5F402225" w14:textId="77777777">
                <w:trPr>
                  <w:divId w:val="436943895"/>
                  <w:tblCellSpacing w:w="15" w:type="dxa"/>
                </w:trPr>
                <w:tc>
                  <w:tcPr>
                    <w:tcW w:w="50" w:type="pct"/>
                    <w:hideMark/>
                  </w:tcPr>
                  <w:p w14:paraId="573D773D" w14:textId="77777777" w:rsidR="00C8658D" w:rsidRDefault="00C8658D">
                    <w:pPr>
                      <w:pStyle w:val="Bibliography"/>
                      <w:rPr>
                        <w:noProof/>
                      </w:rPr>
                    </w:pPr>
                    <w:r>
                      <w:rPr>
                        <w:noProof/>
                      </w:rPr>
                      <w:t xml:space="preserve">[6] </w:t>
                    </w:r>
                  </w:p>
                </w:tc>
                <w:tc>
                  <w:tcPr>
                    <w:tcW w:w="0" w:type="auto"/>
                    <w:hideMark/>
                  </w:tcPr>
                  <w:p w14:paraId="6C143B9F" w14:textId="77777777" w:rsidR="00C8658D" w:rsidRDefault="00C8658D">
                    <w:pPr>
                      <w:pStyle w:val="Bibliography"/>
                      <w:rPr>
                        <w:noProof/>
                      </w:rPr>
                    </w:pPr>
                    <w:r>
                      <w:rPr>
                        <w:noProof/>
                      </w:rPr>
                      <w:t>Health and Safety Executive, “Risk criteria for land-use planning in the vicinity of major industrial hazards,” HMSO, London, 1989.</w:t>
                    </w:r>
                  </w:p>
                </w:tc>
              </w:tr>
              <w:tr w:rsidR="00C8658D" w14:paraId="7609B380" w14:textId="77777777">
                <w:trPr>
                  <w:divId w:val="436943895"/>
                  <w:tblCellSpacing w:w="15" w:type="dxa"/>
                </w:trPr>
                <w:tc>
                  <w:tcPr>
                    <w:tcW w:w="50" w:type="pct"/>
                    <w:hideMark/>
                  </w:tcPr>
                  <w:p w14:paraId="3A6AC81F" w14:textId="77777777" w:rsidR="00C8658D" w:rsidRDefault="00C8658D">
                    <w:pPr>
                      <w:pStyle w:val="Bibliography"/>
                      <w:rPr>
                        <w:noProof/>
                      </w:rPr>
                    </w:pPr>
                    <w:r>
                      <w:rPr>
                        <w:noProof/>
                      </w:rPr>
                      <w:t xml:space="preserve">[7] </w:t>
                    </w:r>
                  </w:p>
                </w:tc>
                <w:tc>
                  <w:tcPr>
                    <w:tcW w:w="0" w:type="auto"/>
                    <w:hideMark/>
                  </w:tcPr>
                  <w:p w14:paraId="2D8C2F92" w14:textId="77777777" w:rsidR="00C8658D" w:rsidRDefault="00C8658D">
                    <w:pPr>
                      <w:pStyle w:val="Bibliography"/>
                      <w:rPr>
                        <w:noProof/>
                      </w:rPr>
                    </w:pPr>
                    <w:r>
                      <w:rPr>
                        <w:noProof/>
                      </w:rPr>
                      <w:t xml:space="preserve">SI 1982 No. 1357, </w:t>
                    </w:r>
                    <w:r>
                      <w:rPr>
                        <w:i/>
                        <w:iCs/>
                        <w:noProof/>
                      </w:rPr>
                      <w:t xml:space="preserve">The Notification of Installations Handling Hazardous Substances Regulations 1982, </w:t>
                    </w:r>
                    <w:r>
                      <w:rPr>
                        <w:noProof/>
                      </w:rPr>
                      <w:t xml:space="preserve">London: HMSO, 1982. </w:t>
                    </w:r>
                  </w:p>
                </w:tc>
              </w:tr>
              <w:tr w:rsidR="00C8658D" w14:paraId="00C08171" w14:textId="77777777">
                <w:trPr>
                  <w:divId w:val="436943895"/>
                  <w:tblCellSpacing w:w="15" w:type="dxa"/>
                </w:trPr>
                <w:tc>
                  <w:tcPr>
                    <w:tcW w:w="50" w:type="pct"/>
                    <w:hideMark/>
                  </w:tcPr>
                  <w:p w14:paraId="6D382FEE" w14:textId="77777777" w:rsidR="00C8658D" w:rsidRDefault="00C8658D">
                    <w:pPr>
                      <w:pStyle w:val="Bibliography"/>
                      <w:rPr>
                        <w:noProof/>
                      </w:rPr>
                    </w:pPr>
                    <w:r>
                      <w:rPr>
                        <w:noProof/>
                      </w:rPr>
                      <w:t xml:space="preserve">[8] </w:t>
                    </w:r>
                  </w:p>
                </w:tc>
                <w:tc>
                  <w:tcPr>
                    <w:tcW w:w="0" w:type="auto"/>
                    <w:hideMark/>
                  </w:tcPr>
                  <w:p w14:paraId="1F93B62C" w14:textId="77777777" w:rsidR="00C8658D" w:rsidRDefault="00C8658D">
                    <w:pPr>
                      <w:pStyle w:val="Bibliography"/>
                      <w:rPr>
                        <w:noProof/>
                      </w:rPr>
                    </w:pPr>
                    <w:r>
                      <w:rPr>
                        <w:i/>
                        <w:iCs/>
                        <w:noProof/>
                      </w:rPr>
                      <w:t xml:space="preserve">Gas Act, </w:t>
                    </w:r>
                    <w:r>
                      <w:rPr>
                        <w:noProof/>
                      </w:rPr>
                      <w:t xml:space="preserve">1995. </w:t>
                    </w:r>
                  </w:p>
                </w:tc>
              </w:tr>
              <w:tr w:rsidR="00C8658D" w14:paraId="3FF9C767" w14:textId="77777777">
                <w:trPr>
                  <w:divId w:val="436943895"/>
                  <w:tblCellSpacing w:w="15" w:type="dxa"/>
                </w:trPr>
                <w:tc>
                  <w:tcPr>
                    <w:tcW w:w="50" w:type="pct"/>
                    <w:hideMark/>
                  </w:tcPr>
                  <w:p w14:paraId="74327C27" w14:textId="77777777" w:rsidR="00C8658D" w:rsidRDefault="00C8658D">
                    <w:pPr>
                      <w:pStyle w:val="Bibliography"/>
                      <w:rPr>
                        <w:noProof/>
                      </w:rPr>
                    </w:pPr>
                    <w:r>
                      <w:rPr>
                        <w:noProof/>
                      </w:rPr>
                      <w:t xml:space="preserve">[9] </w:t>
                    </w:r>
                  </w:p>
                </w:tc>
                <w:tc>
                  <w:tcPr>
                    <w:tcW w:w="0" w:type="auto"/>
                    <w:hideMark/>
                  </w:tcPr>
                  <w:p w14:paraId="4FD1D589" w14:textId="77777777" w:rsidR="00C8658D" w:rsidRDefault="00C8658D">
                    <w:pPr>
                      <w:pStyle w:val="Bibliography"/>
                      <w:rPr>
                        <w:noProof/>
                      </w:rPr>
                    </w:pPr>
                    <w:r>
                      <w:rPr>
                        <w:noProof/>
                      </w:rPr>
                      <w:t xml:space="preserve">IGEM/TD/1 Edition 5 with amendments, </w:t>
                    </w:r>
                    <w:r>
                      <w:rPr>
                        <w:i/>
                        <w:iCs/>
                        <w:noProof/>
                      </w:rPr>
                      <w:t xml:space="preserve">Steel pipelines and associated installations for high pressure gas transmission, </w:t>
                    </w:r>
                    <w:r>
                      <w:rPr>
                        <w:noProof/>
                      </w:rPr>
                      <w:t xml:space="preserve">Communication 1789, Institution of Gas Engineers &amp; Managers, July 2016. </w:t>
                    </w:r>
                  </w:p>
                </w:tc>
              </w:tr>
              <w:tr w:rsidR="00C8658D" w14:paraId="3FBFF5B3" w14:textId="77777777">
                <w:trPr>
                  <w:divId w:val="436943895"/>
                  <w:tblCellSpacing w:w="15" w:type="dxa"/>
                </w:trPr>
                <w:tc>
                  <w:tcPr>
                    <w:tcW w:w="50" w:type="pct"/>
                    <w:hideMark/>
                  </w:tcPr>
                  <w:p w14:paraId="6C63A411" w14:textId="77777777" w:rsidR="00C8658D" w:rsidRDefault="00C8658D">
                    <w:pPr>
                      <w:pStyle w:val="Bibliography"/>
                      <w:rPr>
                        <w:noProof/>
                      </w:rPr>
                    </w:pPr>
                    <w:r>
                      <w:rPr>
                        <w:noProof/>
                      </w:rPr>
                      <w:t xml:space="preserve">[10] </w:t>
                    </w:r>
                  </w:p>
                </w:tc>
                <w:tc>
                  <w:tcPr>
                    <w:tcW w:w="0" w:type="auto"/>
                    <w:hideMark/>
                  </w:tcPr>
                  <w:p w14:paraId="4599FE5C" w14:textId="77777777" w:rsidR="00C8658D" w:rsidRDefault="00C8658D">
                    <w:pPr>
                      <w:pStyle w:val="Bibliography"/>
                      <w:rPr>
                        <w:noProof/>
                      </w:rPr>
                    </w:pPr>
                    <w:r>
                      <w:rPr>
                        <w:i/>
                        <w:iCs/>
                        <w:noProof/>
                      </w:rPr>
                      <w:t xml:space="preserve">Pipelines Act, </w:t>
                    </w:r>
                    <w:r>
                      <w:rPr>
                        <w:noProof/>
                      </w:rPr>
                      <w:t xml:space="preserve">1962. </w:t>
                    </w:r>
                  </w:p>
                </w:tc>
              </w:tr>
              <w:tr w:rsidR="00C8658D" w14:paraId="0CDE2392" w14:textId="77777777">
                <w:trPr>
                  <w:divId w:val="436943895"/>
                  <w:tblCellSpacing w:w="15" w:type="dxa"/>
                </w:trPr>
                <w:tc>
                  <w:tcPr>
                    <w:tcW w:w="50" w:type="pct"/>
                    <w:hideMark/>
                  </w:tcPr>
                  <w:p w14:paraId="4241AB8B" w14:textId="77777777" w:rsidR="00C8658D" w:rsidRDefault="00C8658D">
                    <w:pPr>
                      <w:pStyle w:val="Bibliography"/>
                      <w:rPr>
                        <w:noProof/>
                      </w:rPr>
                    </w:pPr>
                    <w:r>
                      <w:rPr>
                        <w:noProof/>
                      </w:rPr>
                      <w:t xml:space="preserve">[11] </w:t>
                    </w:r>
                  </w:p>
                </w:tc>
                <w:tc>
                  <w:tcPr>
                    <w:tcW w:w="0" w:type="auto"/>
                    <w:hideMark/>
                  </w:tcPr>
                  <w:p w14:paraId="6C5ED354" w14:textId="77777777" w:rsidR="00C8658D" w:rsidRDefault="00C8658D">
                    <w:pPr>
                      <w:pStyle w:val="Bibliography"/>
                      <w:rPr>
                        <w:noProof/>
                      </w:rPr>
                    </w:pPr>
                    <w:r>
                      <w:rPr>
                        <w:noProof/>
                      </w:rPr>
                      <w:t xml:space="preserve">PD 8010-1:2015, </w:t>
                    </w:r>
                    <w:r>
                      <w:rPr>
                        <w:i/>
                        <w:iCs/>
                        <w:noProof/>
                      </w:rPr>
                      <w:t xml:space="preserve">Pipeline systems - Part 1: Steel Pipelines on land - Code of practice, </w:t>
                    </w:r>
                    <w:r>
                      <w:rPr>
                        <w:noProof/>
                      </w:rPr>
                      <w:t xml:space="preserve">British Standards Institution, March 2015. </w:t>
                    </w:r>
                  </w:p>
                </w:tc>
              </w:tr>
              <w:tr w:rsidR="00C8658D" w14:paraId="12E7AD36" w14:textId="77777777">
                <w:trPr>
                  <w:divId w:val="436943895"/>
                  <w:tblCellSpacing w:w="15" w:type="dxa"/>
                </w:trPr>
                <w:tc>
                  <w:tcPr>
                    <w:tcW w:w="50" w:type="pct"/>
                    <w:hideMark/>
                  </w:tcPr>
                  <w:p w14:paraId="41075ACD" w14:textId="77777777" w:rsidR="00C8658D" w:rsidRDefault="00C8658D">
                    <w:pPr>
                      <w:pStyle w:val="Bibliography"/>
                      <w:rPr>
                        <w:noProof/>
                      </w:rPr>
                    </w:pPr>
                    <w:r>
                      <w:rPr>
                        <w:noProof/>
                      </w:rPr>
                      <w:t xml:space="preserve">[12] </w:t>
                    </w:r>
                  </w:p>
                </w:tc>
                <w:tc>
                  <w:tcPr>
                    <w:tcW w:w="0" w:type="auto"/>
                    <w:hideMark/>
                  </w:tcPr>
                  <w:p w14:paraId="52333E3E" w14:textId="77777777" w:rsidR="00C8658D" w:rsidRDefault="00C8658D">
                    <w:pPr>
                      <w:pStyle w:val="Bibliography"/>
                      <w:rPr>
                        <w:noProof/>
                      </w:rPr>
                    </w:pPr>
                    <w:r>
                      <w:rPr>
                        <w:noProof/>
                      </w:rPr>
                      <w:t>Health and Safety Executive, “HSE’S LAND USE PLANNING METHODOLOGY,” [Online]. Available: http://www.hse.gov.uk/landuseplanning/methodology.pdf. [Accessed 15 12 2017].</w:t>
                    </w:r>
                  </w:p>
                </w:tc>
              </w:tr>
              <w:tr w:rsidR="00C8658D" w14:paraId="75C71F1E" w14:textId="77777777">
                <w:trPr>
                  <w:divId w:val="436943895"/>
                  <w:tblCellSpacing w:w="15" w:type="dxa"/>
                </w:trPr>
                <w:tc>
                  <w:tcPr>
                    <w:tcW w:w="50" w:type="pct"/>
                    <w:hideMark/>
                  </w:tcPr>
                  <w:p w14:paraId="5CECBE8B" w14:textId="77777777" w:rsidR="00C8658D" w:rsidRDefault="00C8658D">
                    <w:pPr>
                      <w:pStyle w:val="Bibliography"/>
                      <w:rPr>
                        <w:noProof/>
                      </w:rPr>
                    </w:pPr>
                    <w:r>
                      <w:rPr>
                        <w:noProof/>
                      </w:rPr>
                      <w:t xml:space="preserve">[13] </w:t>
                    </w:r>
                  </w:p>
                </w:tc>
                <w:tc>
                  <w:tcPr>
                    <w:tcW w:w="0" w:type="auto"/>
                    <w:hideMark/>
                  </w:tcPr>
                  <w:p w14:paraId="0156B0BE" w14:textId="77777777" w:rsidR="00C8658D" w:rsidRDefault="00C8658D">
                    <w:pPr>
                      <w:pStyle w:val="Bibliography"/>
                      <w:rPr>
                        <w:noProof/>
                      </w:rPr>
                    </w:pPr>
                    <w:r>
                      <w:rPr>
                        <w:noProof/>
                      </w:rPr>
                      <w:t xml:space="preserve">Anon, </w:t>
                    </w:r>
                    <w:r>
                      <w:rPr>
                        <w:i/>
                        <w:iCs/>
                        <w:noProof/>
                      </w:rPr>
                      <w:t xml:space="preserve">The Pipeline Safety Regulations 1996 - Guidance on Regulations, </w:t>
                    </w:r>
                    <w:r>
                      <w:rPr>
                        <w:noProof/>
                      </w:rPr>
                      <w:t xml:space="preserve">HMSO, 1996. </w:t>
                    </w:r>
                  </w:p>
                </w:tc>
              </w:tr>
              <w:tr w:rsidR="00C8658D" w14:paraId="24014D3A" w14:textId="77777777">
                <w:trPr>
                  <w:divId w:val="436943895"/>
                  <w:tblCellSpacing w:w="15" w:type="dxa"/>
                </w:trPr>
                <w:tc>
                  <w:tcPr>
                    <w:tcW w:w="50" w:type="pct"/>
                    <w:hideMark/>
                  </w:tcPr>
                  <w:p w14:paraId="7301C7A5" w14:textId="77777777" w:rsidR="00C8658D" w:rsidRDefault="00C8658D">
                    <w:pPr>
                      <w:pStyle w:val="Bibliography"/>
                      <w:rPr>
                        <w:noProof/>
                      </w:rPr>
                    </w:pPr>
                    <w:r>
                      <w:rPr>
                        <w:noProof/>
                      </w:rPr>
                      <w:t xml:space="preserve">[14] </w:t>
                    </w:r>
                  </w:p>
                </w:tc>
                <w:tc>
                  <w:tcPr>
                    <w:tcW w:w="0" w:type="auto"/>
                    <w:hideMark/>
                  </w:tcPr>
                  <w:p w14:paraId="2654F32A" w14:textId="77777777" w:rsidR="00C8658D" w:rsidRDefault="00C8658D">
                    <w:pPr>
                      <w:pStyle w:val="Bibliography"/>
                      <w:rPr>
                        <w:noProof/>
                      </w:rPr>
                    </w:pPr>
                    <w:r>
                      <w:rPr>
                        <w:noProof/>
                      </w:rPr>
                      <w:t>Contract Research Report CRR 206/1999, prepared by Arthur D. Little Limited for the Health and Safety Executive, “Risks from gasoline pipelines in the United Kingdom,” HSE Books, 1999.</w:t>
                    </w:r>
                  </w:p>
                </w:tc>
              </w:tr>
              <w:tr w:rsidR="00C8658D" w14:paraId="1C71CC8D" w14:textId="77777777">
                <w:trPr>
                  <w:divId w:val="436943895"/>
                  <w:tblCellSpacing w:w="15" w:type="dxa"/>
                </w:trPr>
                <w:tc>
                  <w:tcPr>
                    <w:tcW w:w="50" w:type="pct"/>
                    <w:hideMark/>
                  </w:tcPr>
                  <w:p w14:paraId="60FC8209" w14:textId="77777777" w:rsidR="00C8658D" w:rsidRDefault="00C8658D">
                    <w:pPr>
                      <w:pStyle w:val="Bibliography"/>
                      <w:rPr>
                        <w:noProof/>
                      </w:rPr>
                    </w:pPr>
                    <w:r>
                      <w:rPr>
                        <w:noProof/>
                      </w:rPr>
                      <w:t xml:space="preserve">[15] </w:t>
                    </w:r>
                  </w:p>
                </w:tc>
                <w:tc>
                  <w:tcPr>
                    <w:tcW w:w="0" w:type="auto"/>
                    <w:hideMark/>
                  </w:tcPr>
                  <w:p w14:paraId="5215768C" w14:textId="77777777" w:rsidR="00C8658D" w:rsidRDefault="00C8658D">
                    <w:pPr>
                      <w:pStyle w:val="Bibliography"/>
                      <w:rPr>
                        <w:noProof/>
                      </w:rPr>
                    </w:pPr>
                    <w:r>
                      <w:rPr>
                        <w:noProof/>
                      </w:rPr>
                      <w:t>Contract Research Report CRR 210/1999, prepared by WS Atkins Safety &amp; Reliability for the Health and Safety Executive, “Assessing the risk from gasoline pipelines in the United Kingdom based on a review of historical experience,” HSE Books, 1999.</w:t>
                    </w:r>
                  </w:p>
                </w:tc>
              </w:tr>
              <w:tr w:rsidR="00C8658D" w14:paraId="5762A70D" w14:textId="77777777">
                <w:trPr>
                  <w:divId w:val="436943895"/>
                  <w:tblCellSpacing w:w="15" w:type="dxa"/>
                </w:trPr>
                <w:tc>
                  <w:tcPr>
                    <w:tcW w:w="50" w:type="pct"/>
                    <w:hideMark/>
                  </w:tcPr>
                  <w:p w14:paraId="54C10215" w14:textId="77777777" w:rsidR="00C8658D" w:rsidRDefault="00C8658D">
                    <w:pPr>
                      <w:pStyle w:val="Bibliography"/>
                      <w:rPr>
                        <w:noProof/>
                      </w:rPr>
                    </w:pPr>
                    <w:r>
                      <w:rPr>
                        <w:noProof/>
                      </w:rPr>
                      <w:t xml:space="preserve">[16] </w:t>
                    </w:r>
                  </w:p>
                </w:tc>
                <w:tc>
                  <w:tcPr>
                    <w:tcW w:w="0" w:type="auto"/>
                    <w:hideMark/>
                  </w:tcPr>
                  <w:p w14:paraId="0B79B6B3" w14:textId="77777777" w:rsidR="00C8658D" w:rsidRDefault="00C8658D">
                    <w:pPr>
                      <w:pStyle w:val="Bibliography"/>
                      <w:rPr>
                        <w:noProof/>
                      </w:rPr>
                    </w:pPr>
                    <w:r>
                      <w:rPr>
                        <w:noProof/>
                      </w:rPr>
                      <w:t xml:space="preserve">IGEM/TD/2, </w:t>
                    </w:r>
                    <w:r>
                      <w:rPr>
                        <w:i/>
                        <w:iCs/>
                        <w:noProof/>
                      </w:rPr>
                      <w:t xml:space="preserve">Application of pipeline risk assessment to proposed developments in the vicinity of high pressure Natural Gas pipelines, </w:t>
                    </w:r>
                    <w:r>
                      <w:rPr>
                        <w:noProof/>
                      </w:rPr>
                      <w:t xml:space="preserve">Institution of Gas Engineers &amp; Managers, 2009. </w:t>
                    </w:r>
                  </w:p>
                </w:tc>
              </w:tr>
              <w:tr w:rsidR="00C8658D" w14:paraId="2E14E117" w14:textId="77777777">
                <w:trPr>
                  <w:divId w:val="436943895"/>
                  <w:tblCellSpacing w:w="15" w:type="dxa"/>
                </w:trPr>
                <w:tc>
                  <w:tcPr>
                    <w:tcW w:w="50" w:type="pct"/>
                    <w:hideMark/>
                  </w:tcPr>
                  <w:p w14:paraId="7EAF7622" w14:textId="77777777" w:rsidR="00C8658D" w:rsidRDefault="00C8658D">
                    <w:pPr>
                      <w:pStyle w:val="Bibliography"/>
                      <w:rPr>
                        <w:noProof/>
                      </w:rPr>
                    </w:pPr>
                    <w:r>
                      <w:rPr>
                        <w:noProof/>
                      </w:rPr>
                      <w:t xml:space="preserve">[17] </w:t>
                    </w:r>
                  </w:p>
                </w:tc>
                <w:tc>
                  <w:tcPr>
                    <w:tcW w:w="0" w:type="auto"/>
                    <w:hideMark/>
                  </w:tcPr>
                  <w:p w14:paraId="2C540371" w14:textId="77777777" w:rsidR="00C8658D" w:rsidRDefault="00C8658D">
                    <w:pPr>
                      <w:pStyle w:val="Bibliography"/>
                      <w:rPr>
                        <w:noProof/>
                      </w:rPr>
                    </w:pPr>
                    <w:r>
                      <w:rPr>
                        <w:noProof/>
                      </w:rPr>
                      <w:t xml:space="preserve">PD 8010-3:2009, </w:t>
                    </w:r>
                    <w:r>
                      <w:rPr>
                        <w:i/>
                        <w:iCs/>
                        <w:noProof/>
                      </w:rPr>
                      <w:t xml:space="preserve">Code of practice for pipelines - Part 3: Steel pipelines on land - Guide to the application of pipeline risk assessement to proposed developments in the vicinity of major accident hazard pipelines containing flammables - Supplement to PD 8010-1:2004, </w:t>
                    </w:r>
                    <w:r>
                      <w:rPr>
                        <w:noProof/>
                      </w:rPr>
                      <w:t xml:space="preserve">British Standards Institution, December 2008. </w:t>
                    </w:r>
                  </w:p>
                </w:tc>
              </w:tr>
              <w:tr w:rsidR="00C8658D" w14:paraId="7930BE5F" w14:textId="77777777">
                <w:trPr>
                  <w:divId w:val="436943895"/>
                  <w:tblCellSpacing w:w="15" w:type="dxa"/>
                </w:trPr>
                <w:tc>
                  <w:tcPr>
                    <w:tcW w:w="50" w:type="pct"/>
                    <w:hideMark/>
                  </w:tcPr>
                  <w:p w14:paraId="720BFD6E" w14:textId="77777777" w:rsidR="00C8658D" w:rsidRDefault="00C8658D">
                    <w:pPr>
                      <w:pStyle w:val="Bibliography"/>
                      <w:rPr>
                        <w:noProof/>
                      </w:rPr>
                    </w:pPr>
                    <w:r>
                      <w:rPr>
                        <w:noProof/>
                      </w:rPr>
                      <w:t xml:space="preserve">[18] </w:t>
                    </w:r>
                  </w:p>
                </w:tc>
                <w:tc>
                  <w:tcPr>
                    <w:tcW w:w="0" w:type="auto"/>
                    <w:hideMark/>
                  </w:tcPr>
                  <w:p w14:paraId="51064924" w14:textId="77777777" w:rsidR="00C8658D" w:rsidRDefault="00C8658D">
                    <w:pPr>
                      <w:pStyle w:val="Bibliography"/>
                      <w:rPr>
                        <w:noProof/>
                      </w:rPr>
                    </w:pPr>
                    <w:r>
                      <w:rPr>
                        <w:noProof/>
                      </w:rPr>
                      <w:t xml:space="preserve">IGEM/TD/2 Edition 2, </w:t>
                    </w:r>
                    <w:r>
                      <w:rPr>
                        <w:i/>
                        <w:iCs/>
                        <w:noProof/>
                      </w:rPr>
                      <w:t xml:space="preserve">Assessing the risks from high pressure natural gas pipelines, </w:t>
                    </w:r>
                    <w:r>
                      <w:rPr>
                        <w:noProof/>
                      </w:rPr>
                      <w:t xml:space="preserve">Institution of Gas Engineers &amp; Managers, 2013. </w:t>
                    </w:r>
                  </w:p>
                </w:tc>
              </w:tr>
              <w:tr w:rsidR="00C8658D" w14:paraId="57D2782F" w14:textId="77777777">
                <w:trPr>
                  <w:divId w:val="436943895"/>
                  <w:tblCellSpacing w:w="15" w:type="dxa"/>
                </w:trPr>
                <w:tc>
                  <w:tcPr>
                    <w:tcW w:w="50" w:type="pct"/>
                    <w:hideMark/>
                  </w:tcPr>
                  <w:p w14:paraId="5E04299D" w14:textId="77777777" w:rsidR="00C8658D" w:rsidRDefault="00C8658D">
                    <w:pPr>
                      <w:pStyle w:val="Bibliography"/>
                      <w:rPr>
                        <w:noProof/>
                      </w:rPr>
                    </w:pPr>
                    <w:r>
                      <w:rPr>
                        <w:noProof/>
                      </w:rPr>
                      <w:t xml:space="preserve">[19] </w:t>
                    </w:r>
                  </w:p>
                </w:tc>
                <w:tc>
                  <w:tcPr>
                    <w:tcW w:w="0" w:type="auto"/>
                    <w:hideMark/>
                  </w:tcPr>
                  <w:p w14:paraId="60BD437A" w14:textId="77777777" w:rsidR="00C8658D" w:rsidRDefault="00C8658D">
                    <w:pPr>
                      <w:pStyle w:val="Bibliography"/>
                      <w:rPr>
                        <w:noProof/>
                      </w:rPr>
                    </w:pPr>
                    <w:r>
                      <w:rPr>
                        <w:noProof/>
                      </w:rPr>
                      <w:t xml:space="preserve">PD 8010-3:2009+A1:2013, </w:t>
                    </w:r>
                    <w:r>
                      <w:rPr>
                        <w:i/>
                        <w:iCs/>
                        <w:noProof/>
                      </w:rPr>
                      <w:t xml:space="preserve">Pipeline systems. Part 3: Steel pipelines on land and subsea pipelines - Guide to the application of pipeline risk assessement to proposed developments in the vicinity of major accident hazard pipelines containing flammables - Supplement to PD 8010-1:2004, </w:t>
                    </w:r>
                    <w:r>
                      <w:rPr>
                        <w:noProof/>
                      </w:rPr>
                      <w:t xml:space="preserve">British </w:t>
                    </w:r>
                    <w:r>
                      <w:rPr>
                        <w:noProof/>
                      </w:rPr>
                      <w:lastRenderedPageBreak/>
                      <w:t xml:space="preserve">Standards Institution, July 2013. </w:t>
                    </w:r>
                  </w:p>
                </w:tc>
              </w:tr>
              <w:tr w:rsidR="00C8658D" w14:paraId="19DC8EC5" w14:textId="77777777">
                <w:trPr>
                  <w:divId w:val="436943895"/>
                  <w:tblCellSpacing w:w="15" w:type="dxa"/>
                </w:trPr>
                <w:tc>
                  <w:tcPr>
                    <w:tcW w:w="50" w:type="pct"/>
                    <w:hideMark/>
                  </w:tcPr>
                  <w:p w14:paraId="40598D3F" w14:textId="77777777" w:rsidR="00C8658D" w:rsidRDefault="00C8658D">
                    <w:pPr>
                      <w:pStyle w:val="Bibliography"/>
                      <w:rPr>
                        <w:noProof/>
                      </w:rPr>
                    </w:pPr>
                    <w:r>
                      <w:rPr>
                        <w:noProof/>
                      </w:rPr>
                      <w:lastRenderedPageBreak/>
                      <w:t xml:space="preserve">[20] </w:t>
                    </w:r>
                  </w:p>
                </w:tc>
                <w:tc>
                  <w:tcPr>
                    <w:tcW w:w="0" w:type="auto"/>
                    <w:hideMark/>
                  </w:tcPr>
                  <w:p w14:paraId="468C927D" w14:textId="77777777" w:rsidR="00C8658D" w:rsidRDefault="00C8658D">
                    <w:pPr>
                      <w:pStyle w:val="Bibliography"/>
                      <w:rPr>
                        <w:noProof/>
                      </w:rPr>
                    </w:pPr>
                    <w:r>
                      <w:rPr>
                        <w:noProof/>
                      </w:rPr>
                      <w:t>G. Toes and M. Rogers, “A Revised Fault Tree Method for Determining the Effectiveness of Slabbing,” GL Noble Denton Report Number: 9551 Issue 1.0, 11th May 2010.</w:t>
                    </w:r>
                  </w:p>
                </w:tc>
              </w:tr>
              <w:tr w:rsidR="00C8658D" w14:paraId="20116B3E" w14:textId="77777777">
                <w:trPr>
                  <w:divId w:val="436943895"/>
                  <w:tblCellSpacing w:w="15" w:type="dxa"/>
                </w:trPr>
                <w:tc>
                  <w:tcPr>
                    <w:tcW w:w="50" w:type="pct"/>
                    <w:hideMark/>
                  </w:tcPr>
                  <w:p w14:paraId="3D5DC860" w14:textId="77777777" w:rsidR="00C8658D" w:rsidRDefault="00C8658D">
                    <w:pPr>
                      <w:pStyle w:val="Bibliography"/>
                      <w:rPr>
                        <w:noProof/>
                      </w:rPr>
                    </w:pPr>
                    <w:r>
                      <w:rPr>
                        <w:noProof/>
                      </w:rPr>
                      <w:t xml:space="preserve">[21] </w:t>
                    </w:r>
                  </w:p>
                </w:tc>
                <w:tc>
                  <w:tcPr>
                    <w:tcW w:w="0" w:type="auto"/>
                    <w:hideMark/>
                  </w:tcPr>
                  <w:p w14:paraId="51DCD62D" w14:textId="77777777" w:rsidR="00C8658D" w:rsidRDefault="00C8658D">
                    <w:pPr>
                      <w:pStyle w:val="Bibliography"/>
                      <w:rPr>
                        <w:noProof/>
                      </w:rPr>
                    </w:pPr>
                    <w:r>
                      <w:rPr>
                        <w:noProof/>
                      </w:rPr>
                      <w:t>T. Oldfield and A. Young, “UKOPA Specification. Impact Protection Slabs,” Penspen Integrity Document Number: 12631-SPC-001 Rev 1, 13th June 2013.</w:t>
                    </w:r>
                  </w:p>
                </w:tc>
              </w:tr>
              <w:tr w:rsidR="00C8658D" w14:paraId="6A2D7383" w14:textId="77777777">
                <w:trPr>
                  <w:divId w:val="436943895"/>
                  <w:tblCellSpacing w:w="15" w:type="dxa"/>
                </w:trPr>
                <w:tc>
                  <w:tcPr>
                    <w:tcW w:w="50" w:type="pct"/>
                    <w:hideMark/>
                  </w:tcPr>
                  <w:p w14:paraId="574BFCC5" w14:textId="77777777" w:rsidR="00C8658D" w:rsidRDefault="00C8658D">
                    <w:pPr>
                      <w:pStyle w:val="Bibliography"/>
                      <w:rPr>
                        <w:noProof/>
                      </w:rPr>
                    </w:pPr>
                    <w:r>
                      <w:rPr>
                        <w:noProof/>
                      </w:rPr>
                      <w:t xml:space="preserve">[22] </w:t>
                    </w:r>
                  </w:p>
                </w:tc>
                <w:tc>
                  <w:tcPr>
                    <w:tcW w:w="0" w:type="auto"/>
                    <w:hideMark/>
                  </w:tcPr>
                  <w:p w14:paraId="192CE3D7" w14:textId="77777777" w:rsidR="00C8658D" w:rsidRDefault="00C8658D">
                    <w:pPr>
                      <w:pStyle w:val="Bibliography"/>
                      <w:rPr>
                        <w:noProof/>
                      </w:rPr>
                    </w:pPr>
                    <w:r>
                      <w:rPr>
                        <w:noProof/>
                      </w:rPr>
                      <w:t>UKOPA, “UK Onshore Pipeline Operators' Association - Industry Good Practice Guide, Impact Protection Slabs,” UKOPA/GP/006 Edition 1, January 2016.</w:t>
                    </w:r>
                  </w:p>
                </w:tc>
              </w:tr>
              <w:tr w:rsidR="00C8658D" w14:paraId="04425E6A" w14:textId="77777777">
                <w:trPr>
                  <w:divId w:val="436943895"/>
                  <w:tblCellSpacing w:w="15" w:type="dxa"/>
                </w:trPr>
                <w:tc>
                  <w:tcPr>
                    <w:tcW w:w="50" w:type="pct"/>
                    <w:hideMark/>
                  </w:tcPr>
                  <w:p w14:paraId="6CB56292" w14:textId="77777777" w:rsidR="00C8658D" w:rsidRDefault="00C8658D">
                    <w:pPr>
                      <w:pStyle w:val="Bibliography"/>
                      <w:rPr>
                        <w:noProof/>
                      </w:rPr>
                    </w:pPr>
                    <w:r>
                      <w:rPr>
                        <w:noProof/>
                      </w:rPr>
                      <w:t xml:space="preserve">[23] </w:t>
                    </w:r>
                  </w:p>
                </w:tc>
                <w:tc>
                  <w:tcPr>
                    <w:tcW w:w="0" w:type="auto"/>
                    <w:hideMark/>
                  </w:tcPr>
                  <w:p w14:paraId="05937028" w14:textId="77777777" w:rsidR="00C8658D" w:rsidRDefault="00C8658D">
                    <w:pPr>
                      <w:pStyle w:val="Bibliography"/>
                      <w:rPr>
                        <w:noProof/>
                      </w:rPr>
                    </w:pPr>
                    <w:r>
                      <w:rPr>
                        <w:noProof/>
                      </w:rPr>
                      <w:t>CONCAWE, “Performance of European cross-country oil pipelines. Statistical summary of reported spillages in 2010 and since 1971,” Brussels, report no. 8/11, December 2011.</w:t>
                    </w:r>
                  </w:p>
                </w:tc>
              </w:tr>
              <w:tr w:rsidR="00C8658D" w14:paraId="0961ABE9" w14:textId="77777777">
                <w:trPr>
                  <w:divId w:val="436943895"/>
                  <w:tblCellSpacing w:w="15" w:type="dxa"/>
                </w:trPr>
                <w:tc>
                  <w:tcPr>
                    <w:tcW w:w="50" w:type="pct"/>
                    <w:hideMark/>
                  </w:tcPr>
                  <w:p w14:paraId="012CBE9C" w14:textId="77777777" w:rsidR="00C8658D" w:rsidRDefault="00C8658D">
                    <w:pPr>
                      <w:pStyle w:val="Bibliography"/>
                      <w:rPr>
                        <w:noProof/>
                      </w:rPr>
                    </w:pPr>
                    <w:r>
                      <w:rPr>
                        <w:noProof/>
                      </w:rPr>
                      <w:t xml:space="preserve">[24] </w:t>
                    </w:r>
                  </w:p>
                </w:tc>
                <w:tc>
                  <w:tcPr>
                    <w:tcW w:w="0" w:type="auto"/>
                    <w:hideMark/>
                  </w:tcPr>
                  <w:p w14:paraId="2C991FB2" w14:textId="77777777" w:rsidR="00C8658D" w:rsidRDefault="00C8658D">
                    <w:pPr>
                      <w:pStyle w:val="Bibliography"/>
                      <w:rPr>
                        <w:noProof/>
                      </w:rPr>
                    </w:pPr>
                    <w:r>
                      <w:rPr>
                        <w:noProof/>
                      </w:rPr>
                      <w:t>Research Report RR774, “An investigation into the preformance of the PipeTech computer code in calculating Isle of Grain pipeline blowdown tests,” Prepared by the Health and Safety Laboratory for the Health and Safety Executive 2010, HSE Books, 2010.</w:t>
                    </w:r>
                  </w:p>
                </w:tc>
              </w:tr>
              <w:tr w:rsidR="00C8658D" w14:paraId="144EB140" w14:textId="77777777">
                <w:trPr>
                  <w:divId w:val="436943895"/>
                  <w:tblCellSpacing w:w="15" w:type="dxa"/>
                </w:trPr>
                <w:tc>
                  <w:tcPr>
                    <w:tcW w:w="50" w:type="pct"/>
                    <w:hideMark/>
                  </w:tcPr>
                  <w:p w14:paraId="030CCA20" w14:textId="77777777" w:rsidR="00C8658D" w:rsidRDefault="00C8658D">
                    <w:pPr>
                      <w:pStyle w:val="Bibliography"/>
                      <w:rPr>
                        <w:noProof/>
                      </w:rPr>
                    </w:pPr>
                    <w:r>
                      <w:rPr>
                        <w:noProof/>
                      </w:rPr>
                      <w:t xml:space="preserve">[25] </w:t>
                    </w:r>
                  </w:p>
                </w:tc>
                <w:tc>
                  <w:tcPr>
                    <w:tcW w:w="0" w:type="auto"/>
                    <w:hideMark/>
                  </w:tcPr>
                  <w:p w14:paraId="1CB2D97F" w14:textId="77777777" w:rsidR="00C8658D" w:rsidRDefault="00C8658D">
                    <w:pPr>
                      <w:pStyle w:val="Bibliography"/>
                      <w:rPr>
                        <w:noProof/>
                      </w:rPr>
                    </w:pPr>
                    <w:r>
                      <w:rPr>
                        <w:noProof/>
                      </w:rPr>
                      <w:t>Research Report RR1034, “Review of the event tree structure and ignition probabilities used in HSE's pipeline risk assessement code MISHAP,” Prepared by the Health and Safety Laboratory for the Health and Safety Executive 2015, HSE Books, 2015.</w:t>
                    </w:r>
                  </w:p>
                </w:tc>
              </w:tr>
              <w:tr w:rsidR="00C8658D" w14:paraId="44DB2368" w14:textId="77777777">
                <w:trPr>
                  <w:divId w:val="436943895"/>
                  <w:tblCellSpacing w:w="15" w:type="dxa"/>
                </w:trPr>
                <w:tc>
                  <w:tcPr>
                    <w:tcW w:w="50" w:type="pct"/>
                    <w:hideMark/>
                  </w:tcPr>
                  <w:p w14:paraId="29F29764" w14:textId="77777777" w:rsidR="00C8658D" w:rsidRDefault="00C8658D">
                    <w:pPr>
                      <w:pStyle w:val="Bibliography"/>
                      <w:rPr>
                        <w:noProof/>
                      </w:rPr>
                    </w:pPr>
                    <w:r>
                      <w:rPr>
                        <w:noProof/>
                      </w:rPr>
                      <w:t xml:space="preserve">[26] </w:t>
                    </w:r>
                  </w:p>
                </w:tc>
                <w:tc>
                  <w:tcPr>
                    <w:tcW w:w="0" w:type="auto"/>
                    <w:hideMark/>
                  </w:tcPr>
                  <w:p w14:paraId="5AA69CD3" w14:textId="77777777" w:rsidR="00C8658D" w:rsidRDefault="00C8658D">
                    <w:pPr>
                      <w:pStyle w:val="Bibliography"/>
                      <w:rPr>
                        <w:noProof/>
                      </w:rPr>
                    </w:pPr>
                    <w:r>
                      <w:rPr>
                        <w:noProof/>
                      </w:rPr>
                      <w:t>Research Report RR1035, “Update of pipeline failure rates for land use planning assessments,” Prepared by the Health and Safety Laboratory for the Health and Safety Executive 2015, HSE Books, 2015.</w:t>
                    </w:r>
                  </w:p>
                </w:tc>
              </w:tr>
              <w:tr w:rsidR="00C8658D" w14:paraId="26220C11" w14:textId="77777777">
                <w:trPr>
                  <w:divId w:val="436943895"/>
                  <w:tblCellSpacing w:w="15" w:type="dxa"/>
                </w:trPr>
                <w:tc>
                  <w:tcPr>
                    <w:tcW w:w="50" w:type="pct"/>
                    <w:hideMark/>
                  </w:tcPr>
                  <w:p w14:paraId="25EA195C" w14:textId="77777777" w:rsidR="00C8658D" w:rsidRDefault="00C8658D">
                    <w:pPr>
                      <w:pStyle w:val="Bibliography"/>
                      <w:rPr>
                        <w:noProof/>
                      </w:rPr>
                    </w:pPr>
                    <w:r>
                      <w:rPr>
                        <w:noProof/>
                      </w:rPr>
                      <w:t xml:space="preserve">[27] </w:t>
                    </w:r>
                  </w:p>
                </w:tc>
                <w:tc>
                  <w:tcPr>
                    <w:tcW w:w="0" w:type="auto"/>
                    <w:hideMark/>
                  </w:tcPr>
                  <w:p w14:paraId="20DBAA54" w14:textId="77777777" w:rsidR="00C8658D" w:rsidRDefault="00C8658D">
                    <w:pPr>
                      <w:pStyle w:val="Bibliography"/>
                      <w:rPr>
                        <w:noProof/>
                      </w:rPr>
                    </w:pPr>
                    <w:r>
                      <w:rPr>
                        <w:noProof/>
                      </w:rPr>
                      <w:t>Research Report RR1036, “Rewriting the PIPIN code to use a Monte Carlo solution approach,” Prepared by the Health and Safety Laboratory for the Health and Safety Executive 2015, HSE Books, 2015.</w:t>
                    </w:r>
                  </w:p>
                </w:tc>
              </w:tr>
              <w:tr w:rsidR="00C8658D" w14:paraId="7BDC37C3" w14:textId="77777777">
                <w:trPr>
                  <w:divId w:val="436943895"/>
                  <w:tblCellSpacing w:w="15" w:type="dxa"/>
                </w:trPr>
                <w:tc>
                  <w:tcPr>
                    <w:tcW w:w="50" w:type="pct"/>
                    <w:hideMark/>
                  </w:tcPr>
                  <w:p w14:paraId="0335C0D2" w14:textId="77777777" w:rsidR="00C8658D" w:rsidRDefault="00C8658D">
                    <w:pPr>
                      <w:pStyle w:val="Bibliography"/>
                      <w:rPr>
                        <w:noProof/>
                      </w:rPr>
                    </w:pPr>
                    <w:r>
                      <w:rPr>
                        <w:noProof/>
                      </w:rPr>
                      <w:t xml:space="preserve">[28] </w:t>
                    </w:r>
                  </w:p>
                </w:tc>
                <w:tc>
                  <w:tcPr>
                    <w:tcW w:w="0" w:type="auto"/>
                    <w:hideMark/>
                  </w:tcPr>
                  <w:p w14:paraId="4032E732" w14:textId="77777777" w:rsidR="00C8658D" w:rsidRDefault="00C8658D">
                    <w:pPr>
                      <w:pStyle w:val="Bibliography"/>
                      <w:rPr>
                        <w:noProof/>
                      </w:rPr>
                    </w:pPr>
                    <w:r>
                      <w:rPr>
                        <w:noProof/>
                      </w:rPr>
                      <w:t>Research Report RR1037, “Science Updates to HSE's PIPeline INtegrity model (PIPIN),” Prepared by the Health and Safety Laboratory for the Health and Safety Executive 2015, HSE Books, 2015.</w:t>
                    </w:r>
                  </w:p>
                </w:tc>
              </w:tr>
              <w:tr w:rsidR="00C8658D" w14:paraId="6B633082" w14:textId="77777777">
                <w:trPr>
                  <w:divId w:val="436943895"/>
                  <w:tblCellSpacing w:w="15" w:type="dxa"/>
                </w:trPr>
                <w:tc>
                  <w:tcPr>
                    <w:tcW w:w="50" w:type="pct"/>
                    <w:hideMark/>
                  </w:tcPr>
                  <w:p w14:paraId="4A543970" w14:textId="77777777" w:rsidR="00C8658D" w:rsidRDefault="00C8658D">
                    <w:pPr>
                      <w:pStyle w:val="Bibliography"/>
                      <w:rPr>
                        <w:noProof/>
                      </w:rPr>
                    </w:pPr>
                    <w:r>
                      <w:rPr>
                        <w:noProof/>
                      </w:rPr>
                      <w:t xml:space="preserve">[29] </w:t>
                    </w:r>
                  </w:p>
                </w:tc>
                <w:tc>
                  <w:tcPr>
                    <w:tcW w:w="0" w:type="auto"/>
                    <w:hideMark/>
                  </w:tcPr>
                  <w:p w14:paraId="1C2C526F" w14:textId="77777777" w:rsidR="00C8658D" w:rsidRDefault="00C8658D">
                    <w:pPr>
                      <w:pStyle w:val="Bibliography"/>
                      <w:rPr>
                        <w:noProof/>
                      </w:rPr>
                    </w:pPr>
                    <w:r>
                      <w:rPr>
                        <w:noProof/>
                      </w:rPr>
                      <w:t>Research Report RR1038, “Data Updates to HSE's PIPeline INtegrity model (PIPIN),” Prepared by the Health and Safety Laboratory for the Health and Safety Executive 2015, HSE Books, 2015.</w:t>
                    </w:r>
                  </w:p>
                </w:tc>
              </w:tr>
              <w:tr w:rsidR="00C8658D" w14:paraId="1168BFB2" w14:textId="77777777">
                <w:trPr>
                  <w:divId w:val="436943895"/>
                  <w:tblCellSpacing w:w="15" w:type="dxa"/>
                </w:trPr>
                <w:tc>
                  <w:tcPr>
                    <w:tcW w:w="50" w:type="pct"/>
                    <w:hideMark/>
                  </w:tcPr>
                  <w:p w14:paraId="5748D04E" w14:textId="77777777" w:rsidR="00C8658D" w:rsidRDefault="00C8658D">
                    <w:pPr>
                      <w:pStyle w:val="Bibliography"/>
                      <w:rPr>
                        <w:noProof/>
                      </w:rPr>
                    </w:pPr>
                    <w:r>
                      <w:rPr>
                        <w:noProof/>
                      </w:rPr>
                      <w:t xml:space="preserve">[30] </w:t>
                    </w:r>
                  </w:p>
                </w:tc>
                <w:tc>
                  <w:tcPr>
                    <w:tcW w:w="0" w:type="auto"/>
                    <w:hideMark/>
                  </w:tcPr>
                  <w:p w14:paraId="1F6C1B87" w14:textId="77777777" w:rsidR="00C8658D" w:rsidRDefault="00C8658D">
                    <w:pPr>
                      <w:pStyle w:val="Bibliography"/>
                      <w:rPr>
                        <w:noProof/>
                      </w:rPr>
                    </w:pPr>
                    <w:r>
                      <w:rPr>
                        <w:noProof/>
                      </w:rPr>
                      <w:t>Research Report RR1039, “Summary of the rewrite of HSE's PIPeline INtegrity model (PIPIN),” Prepared by the Health and Safety Laboratory for the Health and Safety Executive 2015, HSE Books, 2015.</w:t>
                    </w:r>
                  </w:p>
                </w:tc>
              </w:tr>
              <w:tr w:rsidR="00C8658D" w14:paraId="518CED3A" w14:textId="77777777">
                <w:trPr>
                  <w:divId w:val="436943895"/>
                  <w:tblCellSpacing w:w="15" w:type="dxa"/>
                </w:trPr>
                <w:tc>
                  <w:tcPr>
                    <w:tcW w:w="50" w:type="pct"/>
                    <w:hideMark/>
                  </w:tcPr>
                  <w:p w14:paraId="7A8EC53C" w14:textId="77777777" w:rsidR="00C8658D" w:rsidRDefault="00C8658D">
                    <w:pPr>
                      <w:pStyle w:val="Bibliography"/>
                      <w:rPr>
                        <w:noProof/>
                      </w:rPr>
                    </w:pPr>
                    <w:r>
                      <w:rPr>
                        <w:noProof/>
                      </w:rPr>
                      <w:t xml:space="preserve">[31] </w:t>
                    </w:r>
                  </w:p>
                </w:tc>
                <w:tc>
                  <w:tcPr>
                    <w:tcW w:w="0" w:type="auto"/>
                    <w:hideMark/>
                  </w:tcPr>
                  <w:p w14:paraId="52318A21" w14:textId="77777777" w:rsidR="00C8658D" w:rsidRDefault="00C8658D">
                    <w:pPr>
                      <w:pStyle w:val="Bibliography"/>
                      <w:rPr>
                        <w:noProof/>
                      </w:rPr>
                    </w:pPr>
                    <w:r>
                      <w:rPr>
                        <w:noProof/>
                      </w:rPr>
                      <w:t>Research Report RR1040, “Rewriting MISHAP: The development of MISHAP12,” Prepared by the Health and Safety Laboratory for the Health and Safety Executive 2015, HSE Books, 2015.</w:t>
                    </w:r>
                  </w:p>
                </w:tc>
              </w:tr>
              <w:tr w:rsidR="00C8658D" w14:paraId="6314FF1E" w14:textId="77777777">
                <w:trPr>
                  <w:divId w:val="436943895"/>
                  <w:tblCellSpacing w:w="15" w:type="dxa"/>
                </w:trPr>
                <w:tc>
                  <w:tcPr>
                    <w:tcW w:w="50" w:type="pct"/>
                    <w:hideMark/>
                  </w:tcPr>
                  <w:p w14:paraId="2675B0B9" w14:textId="77777777" w:rsidR="00C8658D" w:rsidRDefault="00C8658D">
                    <w:pPr>
                      <w:pStyle w:val="Bibliography"/>
                      <w:rPr>
                        <w:noProof/>
                      </w:rPr>
                    </w:pPr>
                    <w:r>
                      <w:rPr>
                        <w:noProof/>
                      </w:rPr>
                      <w:t xml:space="preserve">[32] </w:t>
                    </w:r>
                  </w:p>
                </w:tc>
                <w:tc>
                  <w:tcPr>
                    <w:tcW w:w="0" w:type="auto"/>
                    <w:hideMark/>
                  </w:tcPr>
                  <w:p w14:paraId="0C097D35" w14:textId="77777777" w:rsidR="00C8658D" w:rsidRDefault="00C8658D">
                    <w:pPr>
                      <w:pStyle w:val="Bibliography"/>
                      <w:rPr>
                        <w:noProof/>
                      </w:rPr>
                    </w:pPr>
                    <w:r>
                      <w:rPr>
                        <w:noProof/>
                      </w:rPr>
                      <w:t xml:space="preserve">I Corder, “The Application of Risk Techniques to the Design and Operation of Pipelines,” in </w:t>
                    </w:r>
                    <w:r>
                      <w:rPr>
                        <w:i/>
                        <w:iCs/>
                        <w:noProof/>
                      </w:rPr>
                      <w:t>Proceedings of International Conference on Pressure Systems: Operation and Risk Management</w:t>
                    </w:r>
                    <w:r>
                      <w:rPr>
                        <w:noProof/>
                      </w:rPr>
                      <w:t xml:space="preserve">, Institution of Mechanical Engineers, London, UK, pp 113-125, 1995. </w:t>
                    </w:r>
                  </w:p>
                </w:tc>
              </w:tr>
              <w:tr w:rsidR="00C8658D" w14:paraId="4A5080B6" w14:textId="77777777">
                <w:trPr>
                  <w:divId w:val="436943895"/>
                  <w:tblCellSpacing w:w="15" w:type="dxa"/>
                </w:trPr>
                <w:tc>
                  <w:tcPr>
                    <w:tcW w:w="50" w:type="pct"/>
                    <w:hideMark/>
                  </w:tcPr>
                  <w:p w14:paraId="378C09D3" w14:textId="77777777" w:rsidR="00C8658D" w:rsidRDefault="00C8658D">
                    <w:pPr>
                      <w:pStyle w:val="Bibliography"/>
                      <w:rPr>
                        <w:noProof/>
                      </w:rPr>
                    </w:pPr>
                    <w:r>
                      <w:rPr>
                        <w:noProof/>
                      </w:rPr>
                      <w:t xml:space="preserve">[33] </w:t>
                    </w:r>
                  </w:p>
                </w:tc>
                <w:tc>
                  <w:tcPr>
                    <w:tcW w:w="0" w:type="auto"/>
                    <w:hideMark/>
                  </w:tcPr>
                  <w:p w14:paraId="1261BB06" w14:textId="77777777" w:rsidR="00C8658D" w:rsidRDefault="00C8658D">
                    <w:pPr>
                      <w:pStyle w:val="Bibliography"/>
                      <w:rPr>
                        <w:noProof/>
                      </w:rPr>
                    </w:pPr>
                    <w:r>
                      <w:rPr>
                        <w:noProof/>
                      </w:rPr>
                      <w:t>C. Mumby, “Influence of Pipeline Depth of Cover on Failure Frequencies due to External Interference,” GL Noble Denton Report Number: 10074 Issue 1.0, 18th April 2013.</w:t>
                    </w:r>
                  </w:p>
                </w:tc>
              </w:tr>
              <w:tr w:rsidR="00C8658D" w14:paraId="5961F163" w14:textId="77777777">
                <w:trPr>
                  <w:divId w:val="436943895"/>
                  <w:tblCellSpacing w:w="15" w:type="dxa"/>
                </w:trPr>
                <w:tc>
                  <w:tcPr>
                    <w:tcW w:w="50" w:type="pct"/>
                    <w:hideMark/>
                  </w:tcPr>
                  <w:p w14:paraId="0D66B46A" w14:textId="77777777" w:rsidR="00C8658D" w:rsidRDefault="00C8658D">
                    <w:pPr>
                      <w:pStyle w:val="Bibliography"/>
                      <w:rPr>
                        <w:noProof/>
                      </w:rPr>
                    </w:pPr>
                    <w:r>
                      <w:rPr>
                        <w:noProof/>
                      </w:rPr>
                      <w:t xml:space="preserve">[34] </w:t>
                    </w:r>
                  </w:p>
                </w:tc>
                <w:tc>
                  <w:tcPr>
                    <w:tcW w:w="0" w:type="auto"/>
                    <w:hideMark/>
                  </w:tcPr>
                  <w:p w14:paraId="3824085F" w14:textId="77777777" w:rsidR="00C8658D" w:rsidRDefault="00C8658D">
                    <w:pPr>
                      <w:pStyle w:val="Bibliography"/>
                      <w:rPr>
                        <w:noProof/>
                      </w:rPr>
                    </w:pPr>
                    <w:r>
                      <w:rPr>
                        <w:noProof/>
                      </w:rPr>
                      <w:t>Z. Chaplin, “Update of pipeline failure rates for land use planning assessments,” HSL report MSU/2012/38, 2012.</w:t>
                    </w:r>
                  </w:p>
                </w:tc>
              </w:tr>
            </w:tbl>
            <w:p w14:paraId="1D764ABE" w14:textId="77777777" w:rsidR="00C8658D" w:rsidRDefault="00C8658D">
              <w:pPr>
                <w:divId w:val="436943895"/>
                <w:rPr>
                  <w:noProof/>
                </w:rPr>
              </w:pPr>
            </w:p>
            <w:p w14:paraId="14AFB486" w14:textId="7595CCF8" w:rsidR="002F2D3D" w:rsidRDefault="002F2D3D">
              <w:r>
                <w:rPr>
                  <w:b/>
                  <w:bCs/>
                  <w:noProof/>
                </w:rPr>
                <w:fldChar w:fldCharType="end"/>
              </w:r>
            </w:p>
          </w:sdtContent>
        </w:sdt>
      </w:sdtContent>
    </w:sdt>
    <w:p w14:paraId="1E4DB904" w14:textId="77777777" w:rsidR="002F2D3D" w:rsidRPr="002F2D3D" w:rsidRDefault="002F2D3D" w:rsidP="002F2D3D">
      <w:pPr>
        <w:pStyle w:val="BodyText"/>
      </w:pPr>
    </w:p>
    <w:sectPr w:rsidR="002F2D3D" w:rsidRPr="002F2D3D" w:rsidSect="007D70C0">
      <w:footerReference w:type="default" r:id="rId19"/>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AF696" w14:textId="77777777" w:rsidR="00826AB9" w:rsidRDefault="00826AB9" w:rsidP="007D7FDC"/>
    <w:p w14:paraId="53727D95" w14:textId="77777777" w:rsidR="00826AB9" w:rsidRDefault="00826AB9"/>
  </w:endnote>
  <w:endnote w:type="continuationSeparator" w:id="0">
    <w:p w14:paraId="7D531F95" w14:textId="77777777" w:rsidR="00826AB9" w:rsidRDefault="00826AB9"/>
    <w:p w14:paraId="78EF9082" w14:textId="77777777" w:rsidR="00826AB9" w:rsidRDefault="00826AB9"/>
  </w:endnote>
  <w:endnote w:type="continuationNotice" w:id="1">
    <w:p w14:paraId="0B0F7BA4" w14:textId="77777777" w:rsidR="00826AB9" w:rsidRDefault="00826AB9"/>
    <w:p w14:paraId="6C06F5AD" w14:textId="77777777" w:rsidR="00826AB9" w:rsidRDefault="00826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Bold">
    <w:altName w:val="Arial"/>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82C63" w14:textId="77777777" w:rsidR="00137D4F" w:rsidRDefault="00137D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04BCC06" w14:textId="77777777" w:rsidR="00137D4F" w:rsidRDefault="00137D4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D6499" w14:textId="77777777" w:rsidR="00137D4F" w:rsidRPr="006E4D29" w:rsidRDefault="00137D4F" w:rsidP="006E4D29">
    <w:pPr>
      <w:pStyle w:val="Footer"/>
      <w:pBdr>
        <w:top w:val="none" w:sz="0" w:space="0" w:color="auto"/>
      </w:pBdr>
      <w:spacing w:before="120"/>
      <w:jc w:val="center"/>
      <w:rPr>
        <w:sz w:val="20"/>
      </w:rPr>
    </w:pPr>
    <w:r>
      <w:rPr>
        <w:noProof/>
        <w:lang w:val="en-US" w:eastAsia="zh-CN"/>
      </w:rPr>
      <mc:AlternateContent>
        <mc:Choice Requires="wps">
          <w:drawing>
            <wp:anchor distT="0" distB="0" distL="114300" distR="114300" simplePos="0" relativeHeight="251660288" behindDoc="0" locked="0" layoutInCell="1" allowOverlap="1" wp14:anchorId="22DDE423" wp14:editId="3585E3CA">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1443C0" w14:textId="77777777" w:rsidR="00137D4F" w:rsidRDefault="00137D4F"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DDE423" id="_x0000_t202" coordsize="21600,21600" o:spt="202" path="m,l,21600r21600,l21600,xe">
              <v:stroke joinstyle="miter"/>
              <v:path gradientshapeok="t" o:connecttype="rect"/>
            </v:shapetype>
            <v:shape id="Text Box 5" o:spid="_x0000_s1027" type="#_x0000_t202" style="position:absolute;left:0;text-align:left;margin-left:-36.75pt;margin-top:17.7pt;width:595.95pt;height:4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q91gIAABEGAAAOAAAAZHJzL2Uyb0RvYy54bWysVEtPGzEQvlfqf7B8D7sJSYCIDVqCUlWi&#10;gAoVZ8drk1W9Htd2kg1V/3vHdjaktD1QNYfNeN7zzeP8om0UWQvratAF7R/llAjNoar1U0G/PMx7&#10;p5Q4z3TFFGhR0K1w9GL6/t35xkzEAJagKmEJOtFusjEFXXpvJlnm+FI0zB2BERqFEmzDPD7tU1ZZ&#10;tkHvjcoGeT7ONmArY4EL55B7lYR0Gv1LKbi/ldIJT1RBMTcfvzZ+F+GbTc/Z5Mkys6z5Lg32D1k0&#10;rNYYdO/qinlGVrb+zVVTcwsOpD/i0GQgZc1FrAGr6eevqrlfMiNiLQiOM3uY3P9zy2/Wd5bUVUFH&#10;lGjWYIseROvJJbRkFNDZGDdBpXuDar5FNna54ztkhqJbaZvwj+UQlCPO2z22wRlH5slofDoaYxCO&#10;snH/eNiP4Gcv1sY6/0FAQwJRUIu9i5Cy9bXzmAmqdiohmANVV/NaqfgI8yJmypI1w04zzoX2x9Fc&#10;rZpPUCX+OMdf6jmycTISe9ixMUScvOApBvwliNIhlIYQNOWTOCLOWUqSTbBgJINmKD3OwPfZ6GRQ&#10;nozOeuNy1O9h6ae9sswHvat5mZf5cD47G17+CHlhAp19FpBPCEfKb5UIXpX+LCR2LAL919pjj9Bb&#10;1A5aEpN+i+FOP9YR63uLcUIELWJk0H5v3NQabOzLHujUg+prl7JM+gjGQd2B9O2ijaO6H8AFVFuc&#10;Swtpr53h8xqH55o5f8csLjKOIh4nf4sfqWBTUNhRlCzBPv+JH/Rxv1BKyQYPQ0HdtxWzghL1UePm&#10;nfWHw3BJ4mOIjcWHPZQsDiV61cwAJ7KPZ9DwSAZ9rzpSWmge8YaVISqKmOYYu6C+I2c+nSu8gVyU&#10;ZVTC22GYv9b3hgfXAeWwGg/tI7Nmtz8eB+kGuhPCJq/WKOkGSw3lyoOs444FnBOqO/zx7sSx3N3I&#10;cNgO31Hr5ZJPfwIAAP//AwBQSwMEFAAGAAgAAAAhAItgFLfgAAAACwEAAA8AAABkcnMvZG93bnJl&#10;di54bWxMj8FOwzAMhu9IvENkJG5b2nWDqTSdEGIXuLDCtGuWuE1F43RN1pW3JzvB7bf86ffnYjPZ&#10;jo04+NaRgHSeAENSTrfUCPj63M7WwHyQpGXnCAX8oIdNeXtTyFy7C+1wrELDYgn5XAowIfQ5514Z&#10;tNLPXY8Ud7UbrAxxHBquB3mJ5bbjiyR54Fa2FC8Y2eOLQfVdna2A12XdVPhW7w/v43Z3MieF+kMJ&#10;cX83PT8BCziFPxiu+lEdyuh0dGfSnnUCZo/ZKqICstUS2BVI03VMx5iyRQK8LPj/H8pfAAAA//8D&#10;AFBLAQItABQABgAIAAAAIQC2gziS/gAAAOEBAAATAAAAAAAAAAAAAAAAAAAAAABbQ29udGVudF9U&#10;eXBlc10ueG1sUEsBAi0AFAAGAAgAAAAhADj9If/WAAAAlAEAAAsAAAAAAAAAAAAAAAAALwEAAF9y&#10;ZWxzLy5yZWxzUEsBAi0AFAAGAAgAAAAhADAFWr3WAgAAEQYAAA4AAAAAAAAAAAAAAAAALgIAAGRy&#10;cy9lMm9Eb2MueG1sUEsBAi0AFAAGAAgAAAAhAItgFLfgAAAACwEAAA8AAAAAAAAAAAAAAAAAMAUA&#10;AGRycy9kb3ducmV2LnhtbFBLBQYAAAAABAAEAPMAAAA9BgAAAAA=&#10;" fillcolor="#bebfc1 [1942]" stroked="f">
              <v:textbox>
                <w:txbxContent>
                  <w:p w14:paraId="6B1443C0" w14:textId="77777777" w:rsidR="00137D4F" w:rsidRDefault="00137D4F" w:rsidP="006E4D29"/>
                </w:txbxContent>
              </v:textbox>
              <w10:wrap type="square"/>
            </v:shape>
          </w:pict>
        </mc:Fallback>
      </mc:AlternateContent>
    </w:r>
    <w:r w:rsidRPr="00D93473">
      <w:rPr>
        <w:sz w:val="20"/>
      </w:rPr>
      <w:t>Technical Briefing Notes (TBNs) are for internal use for UKOPA members only</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A4D48" w14:textId="0F83063B" w:rsidR="00137D4F" w:rsidRPr="008F1518" w:rsidRDefault="00137D4F" w:rsidP="00085E3B">
    <w:pPr>
      <w:pStyle w:val="Footer"/>
    </w:pPr>
    <w:r>
      <w:tab/>
    </w:r>
    <w:r>
      <w:tab/>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6DFD" w14:textId="767283F5" w:rsidR="00137D4F" w:rsidRPr="00F44755" w:rsidRDefault="00137D4F"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407441862"/>
        <w:dataBinding w:prefixMappings="xmlns:ns0='http://purl.org/dc/elements/1.1/' xmlns:ns1='http://schemas.openxmlformats.org/package/2006/metadata/core-properties' " w:xpath="/ns1:coreProperties[1]/ns0:description[1]" w:storeItemID="{6C3C8BC8-F283-45AE-878A-BAB7291924A1}"/>
        <w:text w:multiLine="1"/>
      </w:sdtPr>
      <w:sdtEndPr/>
      <w:sdtContent>
        <w:r w:rsidR="00085E3B">
          <w:rPr>
            <w:color w:val="00243A"/>
            <w:lang w:val="en-US"/>
          </w:rPr>
          <w:t>UKOPA/TBN/007 Edition 1</w:t>
        </w:r>
      </w:sdtContent>
    </w:sdt>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2C30D" w14:textId="2358CB50" w:rsidR="00137D4F" w:rsidRDefault="00137D4F" w:rsidP="008F1518">
    <w:pPr>
      <w:pStyle w:val="Footer"/>
    </w:pPr>
    <w:r>
      <w:rPr>
        <w:noProof/>
      </w:rPr>
      <w:fldChar w:fldCharType="begin"/>
    </w:r>
    <w:r>
      <w:rPr>
        <w:noProof/>
      </w:rPr>
      <w:instrText xml:space="preserve"> STYLEREF "Heading 1" \* MERGEFORMAT </w:instrText>
    </w:r>
    <w:r>
      <w:rPr>
        <w:noProof/>
      </w:rPr>
      <w:fldChar w:fldCharType="separate"/>
    </w:r>
    <w:r w:rsidR="00085E3B">
      <w:rPr>
        <w:noProof/>
      </w:rPr>
      <w:t>Executive Summary</w:t>
    </w:r>
    <w:r>
      <w:rPr>
        <w:noProof/>
      </w:rPr>
      <w:fldChar w:fldCharType="end"/>
    </w:r>
    <w:bookmarkStart w:id="53" w:name="Contents"/>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085E3B">
      <w:rPr>
        <w:rStyle w:val="PageNumber"/>
        <w:noProof/>
      </w:rPr>
      <w:t>1</w:t>
    </w:r>
    <w:r>
      <w:rPr>
        <w:rStyle w:val="PageNumber"/>
      </w:rPr>
      <w:fldChar w:fldCharType="end"/>
    </w:r>
    <w:r>
      <w:rPr>
        <w:rStyle w:val="PageNumber"/>
        <w:snapToGrid w:val="0"/>
      </w:rPr>
      <w:t xml:space="preserve"> of </w:t>
    </w:r>
    <w:r>
      <w:rPr>
        <w:rStyle w:val="PageNumber"/>
        <w:noProof/>
        <w:snapToGrid w:val="0"/>
      </w:rPr>
      <w:fldChar w:fldCharType="begin"/>
    </w:r>
    <w:r>
      <w:rPr>
        <w:rStyle w:val="PageNumber"/>
        <w:noProof/>
        <w:snapToGrid w:val="0"/>
      </w:rPr>
      <w:instrText xml:space="preserve"> SECTIONPAGES   \* MERGEFORMAT </w:instrText>
    </w:r>
    <w:r>
      <w:rPr>
        <w:rStyle w:val="PageNumber"/>
        <w:noProof/>
        <w:snapToGrid w:val="0"/>
      </w:rPr>
      <w:fldChar w:fldCharType="separate"/>
    </w:r>
    <w:r w:rsidR="00085E3B">
      <w:rPr>
        <w:rStyle w:val="PageNumber"/>
        <w:noProof/>
        <w:snapToGrid w:val="0"/>
      </w:rPr>
      <w:t>28</w:t>
    </w:r>
    <w:r>
      <w:rPr>
        <w:rStyle w:val="PageNumber"/>
        <w:noProof/>
        <w:snapToGrid w:val="0"/>
      </w:rPr>
      <w:fldChar w:fldCharType="end"/>
    </w:r>
    <w:r>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085E3B">
          <w:rPr>
            <w:lang w:val="en-US"/>
          </w:rPr>
          <w:t>UKOPA/TBN/007 Edition 1</w:t>
        </w:r>
      </w:sdtContent>
    </w:sdt>
    <w:bookmarkEnd w:id="53"/>
  </w:p>
  <w:p w14:paraId="68CC33C4" w14:textId="77777777" w:rsidR="00137D4F" w:rsidRDefault="00137D4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33F8C" w14:textId="77777777" w:rsidR="00826AB9" w:rsidRDefault="00826AB9" w:rsidP="004C3E6C">
      <w:pPr>
        <w:ind w:left="851"/>
      </w:pPr>
      <w:r>
        <w:separator/>
      </w:r>
    </w:p>
  </w:footnote>
  <w:footnote w:type="continuationSeparator" w:id="0">
    <w:p w14:paraId="775F7285" w14:textId="77777777" w:rsidR="00826AB9" w:rsidRDefault="00826AB9">
      <w:r>
        <w:continuationSeparator/>
      </w:r>
    </w:p>
    <w:p w14:paraId="23B96077" w14:textId="77777777" w:rsidR="00826AB9" w:rsidRDefault="00826AB9"/>
  </w:footnote>
  <w:footnote w:id="1">
    <w:p w14:paraId="33C802A9" w14:textId="4D580D86" w:rsidR="00137D4F" w:rsidRDefault="00137D4F">
      <w:pPr>
        <w:pStyle w:val="FootnoteText"/>
      </w:pPr>
      <w:r w:rsidRPr="00107E9E">
        <w:rPr>
          <w:rStyle w:val="FootnoteReference"/>
          <w:sz w:val="16"/>
        </w:rPr>
        <w:footnoteRef/>
      </w:r>
      <w:r>
        <w:t xml:space="preserve"> </w:t>
      </w:r>
      <w:r w:rsidRPr="00107E9E">
        <w:rPr>
          <w:sz w:val="16"/>
        </w:rPr>
        <w:t>The</w:t>
      </w:r>
      <w:r>
        <w:rPr>
          <w:sz w:val="16"/>
        </w:rPr>
        <w:t xml:space="preserve"> Risk Assessment and Fault Data Working Groups were combined in 2015 to form the Fault and Risk Working Group (FARWG).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2F69E" w14:textId="77777777" w:rsidR="00137D4F" w:rsidRDefault="00137D4F" w:rsidP="008D636A">
    <w:pPr>
      <w:pStyle w:val="Header"/>
      <w:pBdr>
        <w:top w:val="none" w:sz="0" w:space="0" w:color="auto"/>
        <w:bottom w:val="none" w:sz="0" w:space="0" w:color="auto"/>
      </w:pBdr>
      <w:spacing w:after="0"/>
      <w:jc w:val="left"/>
    </w:pPr>
    <w:r>
      <w:rPr>
        <w:noProof/>
        <w:lang w:val="en-US" w:eastAsia="zh-CN"/>
      </w:rPr>
      <mc:AlternateContent>
        <mc:Choice Requires="wps">
          <w:drawing>
            <wp:anchor distT="0" distB="0" distL="114300" distR="114300" simplePos="0" relativeHeight="251658240" behindDoc="0" locked="0" layoutInCell="1" allowOverlap="1" wp14:anchorId="09225A57" wp14:editId="05F06B0A">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1CB264" w14:textId="77777777" w:rsidR="00137D4F" w:rsidRDefault="00137D4F"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225A57"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Ji1gIAAAsGAAAOAAAAZHJzL2Uyb0RvYy54bWysVN1P2zAQf5+0/8Hye0ka2gIVKcqKOk1i&#10;gAYTz65j02iOz7PdNmza/76z3ZSObQ9M60N6vu/73cf5RdcqshHWNaBLOjzKKRGaQ93ox5J+vl8M&#10;TilxnumaKdCipE/C0YvZ2zfnWzMVBaxA1cISdKLddGtKuvLeTLPM8ZVomTsCIzQKJdiWeXzax6y2&#10;bIveW5UVeT7JtmBrY4EL55B7mYR0Fv1LKbi/kdIJT1RJMTcfvzZ+l+Gbzc7Z9NEys2r4Lg32D1m0&#10;rNEYdO/qknlG1rb5zVXbcAsOpD/i0GYgZcNFrAGrGeYvqrlbMSNiLQiOM3uY3P9zy683t5Y0dUmP&#10;KdGsxRbdi86Td9CR44DO1rgpKt0ZVPMdsrHLPd8hMxTdSduGfyyHoBxxftpjG5xxZJ6MJ6fjyZgS&#10;jrJhMS6KIqKfPZsb6/x7AS0JREktNi9iyjZXzmMqqNqrhGgOVFMvGqXiIwyMmCtLNgxbzTgX2h9H&#10;c7VuP0Kd+JMcf6npyMbRSOxRz8YQcfSCpxjwlyBKh1AaQtCUT+KIOGgpSTbFipEMmqH2OATf5+OT&#10;ojoZnw0m1Xg4GA3z00FV5cXgclHlVT5azM9G736EvDCB3j4L0CeII+WflAhelf4kJLYsIv3X2mOT&#10;0FvUDloSk36N4U4/1hHre41xQgQtYmTQfm/cNhps7Mse6NSD+kufskz6CMZB3YH03bLbjeQS6iec&#10;SAtpo53hiwan5oo5f8ssrjAOIZ4lf4MfqWBbUthRlKzAfvsTP+jjZqGUki2ehJK6r2tmBSXqg8ad&#10;OxuORuGGxMcIO4oPeyhZHkr0up0DjuIQD6DhkQz6XvWktNA+4PWqQlQUMc0xdkl9T859OlR4/bio&#10;qqiEV8Mwf6XvDA+uA7xhJ+67B2bNbnE8TtA19MeDTV/sT9INlhqqtQfZxOUKACdUd8DjxYnzuLuO&#10;4aQdvqPW8w2f/QQAAP//AwBQSwMEFAAGAAgAAAAhAJ2FGkLgAAAADAEAAA8AAABkcnMvZG93bnJl&#10;di54bWxMj8FOwzAQRO9I/IO1SNxaJwYBDXEqhOgFLjSAuLr2Jo6I7TR20/D3bE/ltqMZzb4p17Pr&#10;2YRj7IKXkC8zYOh1MJ1vJXx+bBYPwGJS3qg+eJTwixHW1eVFqQoTjn6LU51aRiU+FkqCTWkoOI/a&#10;olNxGQb05DVhdCqRHFtuRnWkctdzkWV33KnO0werBny2qH/qg5Pwctu0Nb42X99v02a7t3uN5l1L&#10;eX01Pz0CSzincxhO+IQOFTHtwsGbyHoJi3tBWxIZQqyAnRJ5vqJrJ+FGZDnwquT/R1R/AAAA//8D&#10;AFBLAQItABQABgAIAAAAIQC2gziS/gAAAOEBAAATAAAAAAAAAAAAAAAAAAAAAABbQ29udGVudF9U&#10;eXBlc10ueG1sUEsBAi0AFAAGAAgAAAAhADj9If/WAAAAlAEAAAsAAAAAAAAAAAAAAAAALwEAAF9y&#10;ZWxzLy5yZWxzUEsBAi0AFAAGAAgAAAAhAFq88mLWAgAACwYAAA4AAAAAAAAAAAAAAAAALgIAAGRy&#10;cy9lMm9Eb2MueG1sUEsBAi0AFAAGAAgAAAAhAJ2FGkLgAAAADAEAAA8AAAAAAAAAAAAAAAAAMAUA&#10;AGRycy9kb3ducmV2LnhtbFBLBQYAAAAABAAEAPMAAAA9BgAAAAA=&#10;" fillcolor="#bebfc1 [1942]" stroked="f">
              <v:textbox>
                <w:txbxContent>
                  <w:p w14:paraId="241CB264" w14:textId="77777777" w:rsidR="00137D4F" w:rsidRDefault="00137D4F" w:rsidP="006E4D29"/>
                </w:txbxContent>
              </v:textbox>
              <w10:wrap type="square"/>
            </v:shape>
          </w:pict>
        </mc:Fallback>
      </mc:AlternateContent>
    </w:r>
    <w:r>
      <w:rPr>
        <w:noProof/>
        <w:lang w:val="en-US" w:eastAsia="zh-CN"/>
      </w:rPr>
      <w:drawing>
        <wp:inline distT="0" distB="0" distL="0" distR="0" wp14:anchorId="73471148" wp14:editId="086EEF45">
          <wp:extent cx="6647815" cy="72326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10CBDEA6" w14:textId="77777777" w:rsidR="00137D4F" w:rsidRDefault="00137D4F"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534B2" w14:textId="77777777" w:rsidR="00137D4F" w:rsidRPr="00003254" w:rsidRDefault="00137D4F" w:rsidP="00003254">
    <w:pPr>
      <w:pStyle w:val="Header"/>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F2A4A" w14:textId="77777777" w:rsidR="00137D4F" w:rsidRDefault="00137D4F" w:rsidP="00FB3531">
    <w:pPr>
      <w:pStyle w:val="Header"/>
      <w:tabs>
        <w:tab w:val="right" w:pos="9072"/>
      </w:tabs>
      <w:spacing w:after="60"/>
      <w:jc w:val="left"/>
      <w:rPr>
        <w:color w:val="003656" w:themeColor="accent4" w:themeTint="E6"/>
      </w:rPr>
    </w:pPr>
    <w:r>
      <w:rPr>
        <w:noProof/>
        <w:lang w:val="en-US" w:eastAsia="zh-CN"/>
      </w:rPr>
      <w:drawing>
        <wp:anchor distT="0" distB="0" distL="114300" distR="114300" simplePos="0" relativeHeight="251670016" behindDoc="0" locked="0" layoutInCell="1" allowOverlap="1" wp14:anchorId="2FF755F4" wp14:editId="3D3FF966">
          <wp:simplePos x="0" y="0"/>
          <wp:positionH relativeFrom="column">
            <wp:posOffset>4445</wp:posOffset>
          </wp:positionH>
          <wp:positionV relativeFrom="paragraph">
            <wp:posOffset>140335</wp:posOffset>
          </wp:positionV>
          <wp:extent cx="1416894" cy="324000"/>
          <wp:effectExtent l="0" t="0" r="0" b="0"/>
          <wp:wrapSquare wrapText="bothSides"/>
          <wp:docPr id="11" name="Picture 11"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anchor>
      </w:drawing>
    </w:r>
    <w:r w:rsidRPr="00BF7AD5">
      <w:rPr>
        <w:color w:val="003656" w:themeColor="accent4" w:themeTint="E6"/>
      </w:rPr>
      <w:tab/>
    </w:r>
  </w:p>
  <w:p w14:paraId="3AE63252" w14:textId="47D76374" w:rsidR="00137D4F" w:rsidRPr="00F44755" w:rsidRDefault="00826AB9" w:rsidP="00FB3531">
    <w:pPr>
      <w:pStyle w:val="Header"/>
      <w:tabs>
        <w:tab w:val="right" w:pos="9072"/>
      </w:tabs>
      <w:spacing w:after="60"/>
      <w:rPr>
        <w:color w:val="00243A"/>
      </w:rPr>
    </w:pPr>
    <w:sdt>
      <w:sdtPr>
        <w:rPr>
          <w:color w:val="00243A"/>
        </w:rPr>
        <w:alias w:val="Title"/>
        <w:tag w:val=""/>
        <w:id w:val="-1110960896"/>
        <w:placeholder>
          <w:docPart w:val="A6428171B65C44F6AA1D37A322F024A5"/>
        </w:placeholder>
        <w:dataBinding w:prefixMappings="xmlns:ns0='http://purl.org/dc/elements/1.1/' xmlns:ns1='http://schemas.openxmlformats.org/package/2006/metadata/core-properties' " w:xpath="/ns1:coreProperties[1]/ns0:title[1]" w:storeItemID="{6C3C8BC8-F283-45AE-878A-BAB7291924A1}"/>
        <w:text/>
      </w:sdtPr>
      <w:sdtEndPr/>
      <w:sdtContent>
        <w:r w:rsidR="00137D4F">
          <w:rPr>
            <w:color w:val="00243A"/>
          </w:rPr>
          <w:t>Technical Briefing Note</w:t>
        </w:r>
      </w:sdtContent>
    </w:sdt>
  </w:p>
  <w:sdt>
    <w:sdtPr>
      <w:rPr>
        <w:color w:val="00243A"/>
      </w:rPr>
      <w:alias w:val="Subject"/>
      <w:tag w:val=""/>
      <w:id w:val="-388029573"/>
      <w:placeholder>
        <w:docPart w:val="34C3C5D3ACA84760AB23A76AAAA9FB29"/>
      </w:placeholder>
      <w:dataBinding w:prefixMappings="xmlns:ns0='http://purl.org/dc/elements/1.1/' xmlns:ns1='http://schemas.openxmlformats.org/package/2006/metadata/core-properties' " w:xpath="/ns1:coreProperties[1]/ns0:subject[1]" w:storeItemID="{6C3C8BC8-F283-45AE-878A-BAB7291924A1}"/>
      <w:text/>
    </w:sdtPr>
    <w:sdtEndPr/>
    <w:sdtContent>
      <w:p w14:paraId="3C814CC9" w14:textId="6C6B6CE5" w:rsidR="00137D4F" w:rsidRPr="00FB3531" w:rsidRDefault="00085E3B" w:rsidP="00FB3531">
        <w:pPr>
          <w:pStyle w:val="Header"/>
          <w:tabs>
            <w:tab w:val="right" w:pos="9072"/>
          </w:tabs>
          <w:spacing w:after="60"/>
          <w:rPr>
            <w:color w:val="00243A"/>
          </w:rPr>
        </w:pPr>
        <w:r>
          <w:rPr>
            <w:color w:val="00243A"/>
            <w:lang w:val="en-US"/>
          </w:rPr>
          <w:t>The history of land use planning</w:t>
        </w:r>
      </w:p>
    </w:sdtContent>
  </w:sdt>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4239" w14:textId="77777777" w:rsidR="00137D4F" w:rsidRDefault="00137D4F" w:rsidP="00406430">
    <w:pPr>
      <w:pStyle w:val="Header"/>
    </w:pPr>
  </w:p>
  <w:p w14:paraId="099F53E9" w14:textId="77777777" w:rsidR="00137D4F" w:rsidRDefault="00137D4F" w:rsidP="00406430">
    <w:pPr>
      <w:pStyle w:val="Header"/>
    </w:pPr>
  </w:p>
  <w:p w14:paraId="4062C4E5" w14:textId="77777777" w:rsidR="00137D4F" w:rsidRPr="00406430" w:rsidRDefault="00137D4F" w:rsidP="004064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nsid w:val="FFFFFFFE"/>
    <w:multiLevelType w:val="singleLevel"/>
    <w:tmpl w:val="9BCA43E4"/>
    <w:lvl w:ilvl="0">
      <w:numFmt w:val="decimal"/>
      <w:pStyle w:val="List-"/>
      <w:lvlText w:val="*"/>
      <w:lvlJc w:val="left"/>
    </w:lvl>
  </w:abstractNum>
  <w:abstractNum w:abstractNumId="1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nsid w:val="089918FA"/>
    <w:multiLevelType w:val="hybridMultilevel"/>
    <w:tmpl w:val="ABF2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D081E"/>
    <w:multiLevelType w:val="hybridMultilevel"/>
    <w:tmpl w:val="147AE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12FC76C3"/>
    <w:multiLevelType w:val="hybridMultilevel"/>
    <w:tmpl w:val="B0E271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5">
    <w:nsid w:val="14D03163"/>
    <w:multiLevelType w:val="hybridMultilevel"/>
    <w:tmpl w:val="DB2A6624"/>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nsid w:val="14F65A3A"/>
    <w:multiLevelType w:val="hybridMultilevel"/>
    <w:tmpl w:val="7E82E38C"/>
    <w:lvl w:ilvl="0" w:tplc="B326535C">
      <w:start w:val="1"/>
      <w:numFmt w:val="decimal"/>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nsid w:val="189F48A6"/>
    <w:multiLevelType w:val="hybridMultilevel"/>
    <w:tmpl w:val="BADC1A7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1A2A6AF5"/>
    <w:multiLevelType w:val="hybridMultilevel"/>
    <w:tmpl w:val="EBE407C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1B280204"/>
    <w:multiLevelType w:val="hybridMultilevel"/>
    <w:tmpl w:val="F50672F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1B48580D"/>
    <w:multiLevelType w:val="hybridMultilevel"/>
    <w:tmpl w:val="4EB4E4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nsid w:val="2B1919D5"/>
    <w:multiLevelType w:val="hybridMultilevel"/>
    <w:tmpl w:val="74A2FA6E"/>
    <w:lvl w:ilvl="0" w:tplc="CF4E7376">
      <w:start w:val="1"/>
      <w:numFmt w:val="decimal"/>
      <w:lvlText w:val="%1."/>
      <w:lvlJc w:val="left"/>
      <w:pPr>
        <w:ind w:left="2287" w:hanging="585"/>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nsid w:val="35204BF0"/>
    <w:multiLevelType w:val="hybridMultilevel"/>
    <w:tmpl w:val="E9BC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A76B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38B777A5"/>
    <w:multiLevelType w:val="hybridMultilevel"/>
    <w:tmpl w:val="761211F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7">
    <w:nsid w:val="3B240198"/>
    <w:multiLevelType w:val="hybridMultilevel"/>
    <w:tmpl w:val="9B4C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30">
    <w:nsid w:val="4ACE16A3"/>
    <w:multiLevelType w:val="hybridMultilevel"/>
    <w:tmpl w:val="4AF2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32">
    <w:nsid w:val="54FA3714"/>
    <w:multiLevelType w:val="hybridMultilevel"/>
    <w:tmpl w:val="7B1E89A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3">
    <w:nsid w:val="596070C8"/>
    <w:multiLevelType w:val="hybridMultilevel"/>
    <w:tmpl w:val="F2AAF3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nsid w:val="5E95336D"/>
    <w:multiLevelType w:val="hybridMultilevel"/>
    <w:tmpl w:val="4B80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6">
    <w:nsid w:val="647E7755"/>
    <w:multiLevelType w:val="hybridMultilevel"/>
    <w:tmpl w:val="89029F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nsid w:val="65A9457E"/>
    <w:multiLevelType w:val="hybridMultilevel"/>
    <w:tmpl w:val="7A54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80C61F0"/>
    <w:multiLevelType w:val="hybridMultilevel"/>
    <w:tmpl w:val="DD2A54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nsid w:val="68CC1E00"/>
    <w:multiLevelType w:val="hybridMultilevel"/>
    <w:tmpl w:val="26A86B6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0">
    <w:nsid w:val="7C2D1D8D"/>
    <w:multiLevelType w:val="hybridMultilevel"/>
    <w:tmpl w:val="DC4E3C6A"/>
    <w:lvl w:ilvl="0" w:tplc="CF4E7376">
      <w:start w:val="1"/>
      <w:numFmt w:val="decimal"/>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nsid w:val="7F943351"/>
    <w:multiLevelType w:val="hybridMultilevel"/>
    <w:tmpl w:val="C794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5"/>
  </w:num>
  <w:num w:numId="4">
    <w:abstractNumId w:val="4"/>
  </w:num>
  <w:num w:numId="5">
    <w:abstractNumId w:val="8"/>
  </w:num>
  <w:num w:numId="6">
    <w:abstractNumId w:val="29"/>
  </w:num>
  <w:num w:numId="7">
    <w:abstractNumId w:val="31"/>
  </w:num>
  <w:num w:numId="8">
    <w:abstractNumId w:val="14"/>
  </w:num>
  <w:num w:numId="9">
    <w:abstractNumId w:val="20"/>
  </w:num>
  <w:num w:numId="10">
    <w:abstractNumId w:val="10"/>
  </w:num>
  <w:num w:numId="11">
    <w:abstractNumId w:val="9"/>
  </w:num>
  <w:num w:numId="12">
    <w:abstractNumId w:val="28"/>
  </w:num>
  <w:num w:numId="13">
    <w:abstractNumId w:val="7"/>
  </w:num>
  <w:num w:numId="14">
    <w:abstractNumId w:val="3"/>
  </w:num>
  <w:num w:numId="15">
    <w:abstractNumId w:val="2"/>
  </w:num>
  <w:num w:numId="16">
    <w:abstractNumId w:val="1"/>
  </w:num>
  <w:num w:numId="17">
    <w:abstractNumId w:val="0"/>
  </w:num>
  <w:num w:numId="18">
    <w:abstractNumId w:val="35"/>
  </w:num>
  <w:num w:numId="19">
    <w:abstractNumId w:val="15"/>
  </w:num>
  <w:num w:numId="20">
    <w:abstractNumId w:val="32"/>
  </w:num>
  <w:num w:numId="21">
    <w:abstractNumId w:val="38"/>
  </w:num>
  <w:num w:numId="22">
    <w:abstractNumId w:val="36"/>
  </w:num>
  <w:num w:numId="23">
    <w:abstractNumId w:val="39"/>
  </w:num>
  <w:num w:numId="24">
    <w:abstractNumId w:val="25"/>
  </w:num>
  <w:num w:numId="25">
    <w:abstractNumId w:val="11"/>
  </w:num>
  <w:num w:numId="26">
    <w:abstractNumId w:val="23"/>
  </w:num>
  <w:num w:numId="27">
    <w:abstractNumId w:val="41"/>
  </w:num>
  <w:num w:numId="28">
    <w:abstractNumId w:val="30"/>
  </w:num>
  <w:num w:numId="29">
    <w:abstractNumId w:val="34"/>
  </w:num>
  <w:num w:numId="30">
    <w:abstractNumId w:val="37"/>
  </w:num>
  <w:num w:numId="31">
    <w:abstractNumId w:val="27"/>
  </w:num>
  <w:num w:numId="32">
    <w:abstractNumId w:val="24"/>
  </w:num>
  <w:num w:numId="33">
    <w:abstractNumId w:val="33"/>
  </w:num>
  <w:num w:numId="34">
    <w:abstractNumId w:val="13"/>
  </w:num>
  <w:num w:numId="35">
    <w:abstractNumId w:val="21"/>
  </w:num>
  <w:num w:numId="36">
    <w:abstractNumId w:val="17"/>
  </w:num>
  <w:num w:numId="37">
    <w:abstractNumId w:val="12"/>
  </w:num>
  <w:num w:numId="38">
    <w:abstractNumId w:val="18"/>
  </w:num>
  <w:num w:numId="39">
    <w:abstractNumId w:val="19"/>
  </w:num>
  <w:num w:numId="40">
    <w:abstractNumId w:val="40"/>
  </w:num>
  <w:num w:numId="41">
    <w:abstractNumId w:val="22"/>
  </w:num>
  <w:num w:numId="4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28"/>
    <w:rsid w:val="00003254"/>
    <w:rsid w:val="00005A28"/>
    <w:rsid w:val="000126D3"/>
    <w:rsid w:val="00012F42"/>
    <w:rsid w:val="00013BC1"/>
    <w:rsid w:val="00014F29"/>
    <w:rsid w:val="00020E6B"/>
    <w:rsid w:val="00024026"/>
    <w:rsid w:val="00027378"/>
    <w:rsid w:val="00033590"/>
    <w:rsid w:val="00034581"/>
    <w:rsid w:val="000357F8"/>
    <w:rsid w:val="00040B48"/>
    <w:rsid w:val="00042D13"/>
    <w:rsid w:val="00045052"/>
    <w:rsid w:val="00056389"/>
    <w:rsid w:val="000623F9"/>
    <w:rsid w:val="0006544B"/>
    <w:rsid w:val="000706FA"/>
    <w:rsid w:val="00070EDB"/>
    <w:rsid w:val="00071E3E"/>
    <w:rsid w:val="0007338D"/>
    <w:rsid w:val="00076DC1"/>
    <w:rsid w:val="00080B92"/>
    <w:rsid w:val="00083A92"/>
    <w:rsid w:val="00085E3B"/>
    <w:rsid w:val="0008619B"/>
    <w:rsid w:val="000901B6"/>
    <w:rsid w:val="00090732"/>
    <w:rsid w:val="00092CB7"/>
    <w:rsid w:val="000939C5"/>
    <w:rsid w:val="00094AE5"/>
    <w:rsid w:val="00095172"/>
    <w:rsid w:val="000A06FC"/>
    <w:rsid w:val="000A2272"/>
    <w:rsid w:val="000A786D"/>
    <w:rsid w:val="000B2DFF"/>
    <w:rsid w:val="000C0130"/>
    <w:rsid w:val="000C789E"/>
    <w:rsid w:val="000D494C"/>
    <w:rsid w:val="000D5A97"/>
    <w:rsid w:val="000D7706"/>
    <w:rsid w:val="000D7982"/>
    <w:rsid w:val="000E7207"/>
    <w:rsid w:val="000F177D"/>
    <w:rsid w:val="000F6DB6"/>
    <w:rsid w:val="00101463"/>
    <w:rsid w:val="00104754"/>
    <w:rsid w:val="00107E9E"/>
    <w:rsid w:val="00110681"/>
    <w:rsid w:val="0011093D"/>
    <w:rsid w:val="0011195D"/>
    <w:rsid w:val="001135E9"/>
    <w:rsid w:val="001154CA"/>
    <w:rsid w:val="00115DFF"/>
    <w:rsid w:val="00115EB4"/>
    <w:rsid w:val="001167E6"/>
    <w:rsid w:val="00125213"/>
    <w:rsid w:val="00134F1E"/>
    <w:rsid w:val="00135352"/>
    <w:rsid w:val="00137D4F"/>
    <w:rsid w:val="001441D4"/>
    <w:rsid w:val="00151504"/>
    <w:rsid w:val="00155F44"/>
    <w:rsid w:val="0016010F"/>
    <w:rsid w:val="001629AE"/>
    <w:rsid w:val="0016400F"/>
    <w:rsid w:val="00165B44"/>
    <w:rsid w:val="0016794A"/>
    <w:rsid w:val="00171716"/>
    <w:rsid w:val="00171B5C"/>
    <w:rsid w:val="00175244"/>
    <w:rsid w:val="00176E22"/>
    <w:rsid w:val="001779DE"/>
    <w:rsid w:val="0018353E"/>
    <w:rsid w:val="00184727"/>
    <w:rsid w:val="0018593A"/>
    <w:rsid w:val="00190F45"/>
    <w:rsid w:val="001931EC"/>
    <w:rsid w:val="001951AE"/>
    <w:rsid w:val="001965BC"/>
    <w:rsid w:val="0019743F"/>
    <w:rsid w:val="001A1EE3"/>
    <w:rsid w:val="001A318A"/>
    <w:rsid w:val="001A79B1"/>
    <w:rsid w:val="001B2228"/>
    <w:rsid w:val="001B2C54"/>
    <w:rsid w:val="001B516A"/>
    <w:rsid w:val="001C5BE5"/>
    <w:rsid w:val="001C7D64"/>
    <w:rsid w:val="001C7D94"/>
    <w:rsid w:val="001D2D21"/>
    <w:rsid w:val="001E4D56"/>
    <w:rsid w:val="001F2169"/>
    <w:rsid w:val="001F29DB"/>
    <w:rsid w:val="001F4F5C"/>
    <w:rsid w:val="001F5367"/>
    <w:rsid w:val="00200B84"/>
    <w:rsid w:val="00201C7E"/>
    <w:rsid w:val="00203CEE"/>
    <w:rsid w:val="0021020A"/>
    <w:rsid w:val="00211BF8"/>
    <w:rsid w:val="00213E0B"/>
    <w:rsid w:val="00220610"/>
    <w:rsid w:val="002226B7"/>
    <w:rsid w:val="0022538E"/>
    <w:rsid w:val="0023111A"/>
    <w:rsid w:val="00236F3B"/>
    <w:rsid w:val="0024038F"/>
    <w:rsid w:val="0024760B"/>
    <w:rsid w:val="002507ED"/>
    <w:rsid w:val="00251D27"/>
    <w:rsid w:val="0025302B"/>
    <w:rsid w:val="00254767"/>
    <w:rsid w:val="00254B4E"/>
    <w:rsid w:val="00257378"/>
    <w:rsid w:val="00260144"/>
    <w:rsid w:val="002603BA"/>
    <w:rsid w:val="002668BB"/>
    <w:rsid w:val="00267CDD"/>
    <w:rsid w:val="002714DD"/>
    <w:rsid w:val="00273442"/>
    <w:rsid w:val="00280B4B"/>
    <w:rsid w:val="002823CB"/>
    <w:rsid w:val="00285C40"/>
    <w:rsid w:val="00286156"/>
    <w:rsid w:val="00287085"/>
    <w:rsid w:val="002874E8"/>
    <w:rsid w:val="00287657"/>
    <w:rsid w:val="0029456F"/>
    <w:rsid w:val="00295210"/>
    <w:rsid w:val="00295EE5"/>
    <w:rsid w:val="002A7991"/>
    <w:rsid w:val="002B6494"/>
    <w:rsid w:val="002C2A2E"/>
    <w:rsid w:val="002C5005"/>
    <w:rsid w:val="002D4DA1"/>
    <w:rsid w:val="002D5C87"/>
    <w:rsid w:val="002E08CE"/>
    <w:rsid w:val="002E1437"/>
    <w:rsid w:val="002E3CF1"/>
    <w:rsid w:val="002E499F"/>
    <w:rsid w:val="002F125B"/>
    <w:rsid w:val="002F1438"/>
    <w:rsid w:val="002F2D3D"/>
    <w:rsid w:val="002F34D9"/>
    <w:rsid w:val="002F63B5"/>
    <w:rsid w:val="00300897"/>
    <w:rsid w:val="00301585"/>
    <w:rsid w:val="0030168C"/>
    <w:rsid w:val="0030283C"/>
    <w:rsid w:val="00305E7B"/>
    <w:rsid w:val="003114FA"/>
    <w:rsid w:val="00314427"/>
    <w:rsid w:val="00317976"/>
    <w:rsid w:val="00327726"/>
    <w:rsid w:val="00342D85"/>
    <w:rsid w:val="00344DA1"/>
    <w:rsid w:val="00351101"/>
    <w:rsid w:val="00351B14"/>
    <w:rsid w:val="0036378D"/>
    <w:rsid w:val="00365D21"/>
    <w:rsid w:val="003709B2"/>
    <w:rsid w:val="0037487B"/>
    <w:rsid w:val="00380AE7"/>
    <w:rsid w:val="00380F45"/>
    <w:rsid w:val="0038301B"/>
    <w:rsid w:val="00383209"/>
    <w:rsid w:val="00387733"/>
    <w:rsid w:val="00393F74"/>
    <w:rsid w:val="00395B86"/>
    <w:rsid w:val="00395C81"/>
    <w:rsid w:val="00395DB9"/>
    <w:rsid w:val="003A05DB"/>
    <w:rsid w:val="003B18CB"/>
    <w:rsid w:val="003B1B03"/>
    <w:rsid w:val="003B3295"/>
    <w:rsid w:val="003B367A"/>
    <w:rsid w:val="003B5F97"/>
    <w:rsid w:val="003C1027"/>
    <w:rsid w:val="003C23AB"/>
    <w:rsid w:val="003C404F"/>
    <w:rsid w:val="003D2501"/>
    <w:rsid w:val="003E16A5"/>
    <w:rsid w:val="003E4465"/>
    <w:rsid w:val="003E66DC"/>
    <w:rsid w:val="003E683C"/>
    <w:rsid w:val="003E6CCE"/>
    <w:rsid w:val="003E779B"/>
    <w:rsid w:val="003F56ED"/>
    <w:rsid w:val="003F7240"/>
    <w:rsid w:val="00405176"/>
    <w:rsid w:val="00406430"/>
    <w:rsid w:val="00407073"/>
    <w:rsid w:val="00414BDC"/>
    <w:rsid w:val="00415524"/>
    <w:rsid w:val="004211FF"/>
    <w:rsid w:val="0042459A"/>
    <w:rsid w:val="004371DA"/>
    <w:rsid w:val="00444038"/>
    <w:rsid w:val="004519E1"/>
    <w:rsid w:val="004533EF"/>
    <w:rsid w:val="00453E30"/>
    <w:rsid w:val="00454E08"/>
    <w:rsid w:val="00456033"/>
    <w:rsid w:val="00457131"/>
    <w:rsid w:val="004634FD"/>
    <w:rsid w:val="004732C7"/>
    <w:rsid w:val="004751BA"/>
    <w:rsid w:val="00477C58"/>
    <w:rsid w:val="004926AF"/>
    <w:rsid w:val="004931C5"/>
    <w:rsid w:val="004A1D4A"/>
    <w:rsid w:val="004A209C"/>
    <w:rsid w:val="004A60A9"/>
    <w:rsid w:val="004A64A9"/>
    <w:rsid w:val="004A6EB8"/>
    <w:rsid w:val="004B06B3"/>
    <w:rsid w:val="004B254A"/>
    <w:rsid w:val="004B605E"/>
    <w:rsid w:val="004B6385"/>
    <w:rsid w:val="004C07E6"/>
    <w:rsid w:val="004C3E6C"/>
    <w:rsid w:val="004D4784"/>
    <w:rsid w:val="004D667D"/>
    <w:rsid w:val="004E1BF8"/>
    <w:rsid w:val="004E1E89"/>
    <w:rsid w:val="004E4BE5"/>
    <w:rsid w:val="004E7ABA"/>
    <w:rsid w:val="004F082B"/>
    <w:rsid w:val="004F2E2B"/>
    <w:rsid w:val="004F3227"/>
    <w:rsid w:val="004F72A9"/>
    <w:rsid w:val="004F7772"/>
    <w:rsid w:val="0050573B"/>
    <w:rsid w:val="0051098F"/>
    <w:rsid w:val="00513BAD"/>
    <w:rsid w:val="00521908"/>
    <w:rsid w:val="00527EC5"/>
    <w:rsid w:val="0053016D"/>
    <w:rsid w:val="005308CB"/>
    <w:rsid w:val="00530B8F"/>
    <w:rsid w:val="0053133D"/>
    <w:rsid w:val="0053157C"/>
    <w:rsid w:val="0053279E"/>
    <w:rsid w:val="0053354C"/>
    <w:rsid w:val="00533EE5"/>
    <w:rsid w:val="0053513B"/>
    <w:rsid w:val="00543ADE"/>
    <w:rsid w:val="005501E8"/>
    <w:rsid w:val="00551E8A"/>
    <w:rsid w:val="00554842"/>
    <w:rsid w:val="005554E4"/>
    <w:rsid w:val="00557ADC"/>
    <w:rsid w:val="0056341A"/>
    <w:rsid w:val="005715C4"/>
    <w:rsid w:val="00572AA3"/>
    <w:rsid w:val="0057501B"/>
    <w:rsid w:val="00577FEC"/>
    <w:rsid w:val="00580EBB"/>
    <w:rsid w:val="005855C5"/>
    <w:rsid w:val="00585919"/>
    <w:rsid w:val="00587B5E"/>
    <w:rsid w:val="00595741"/>
    <w:rsid w:val="005968BD"/>
    <w:rsid w:val="005A0526"/>
    <w:rsid w:val="005A3A4A"/>
    <w:rsid w:val="005A4BFB"/>
    <w:rsid w:val="005A7AA1"/>
    <w:rsid w:val="005B20A5"/>
    <w:rsid w:val="005B237B"/>
    <w:rsid w:val="005C11F5"/>
    <w:rsid w:val="005C33B3"/>
    <w:rsid w:val="005C6581"/>
    <w:rsid w:val="005D0567"/>
    <w:rsid w:val="005D5443"/>
    <w:rsid w:val="005E16D3"/>
    <w:rsid w:val="005E79C6"/>
    <w:rsid w:val="00600124"/>
    <w:rsid w:val="00605CC9"/>
    <w:rsid w:val="006063E7"/>
    <w:rsid w:val="00614830"/>
    <w:rsid w:val="00623960"/>
    <w:rsid w:val="006253AF"/>
    <w:rsid w:val="006278C2"/>
    <w:rsid w:val="00630280"/>
    <w:rsid w:val="00631044"/>
    <w:rsid w:val="0063378F"/>
    <w:rsid w:val="00644A55"/>
    <w:rsid w:val="006521A7"/>
    <w:rsid w:val="00656B98"/>
    <w:rsid w:val="0065761D"/>
    <w:rsid w:val="00660D03"/>
    <w:rsid w:val="006610D9"/>
    <w:rsid w:val="0066140E"/>
    <w:rsid w:val="006631F8"/>
    <w:rsid w:val="00670337"/>
    <w:rsid w:val="00670E91"/>
    <w:rsid w:val="00671A9C"/>
    <w:rsid w:val="00675D04"/>
    <w:rsid w:val="006801E7"/>
    <w:rsid w:val="006824E2"/>
    <w:rsid w:val="0069226D"/>
    <w:rsid w:val="006932DD"/>
    <w:rsid w:val="00695C0F"/>
    <w:rsid w:val="006960C6"/>
    <w:rsid w:val="00697CDD"/>
    <w:rsid w:val="006A3FE4"/>
    <w:rsid w:val="006B14CE"/>
    <w:rsid w:val="006B39B0"/>
    <w:rsid w:val="006B6893"/>
    <w:rsid w:val="006C4BFC"/>
    <w:rsid w:val="006D16A3"/>
    <w:rsid w:val="006D3E0F"/>
    <w:rsid w:val="006D5253"/>
    <w:rsid w:val="006D600D"/>
    <w:rsid w:val="006E3F6D"/>
    <w:rsid w:val="006E4D29"/>
    <w:rsid w:val="006E7843"/>
    <w:rsid w:val="006F18D2"/>
    <w:rsid w:val="006F1E79"/>
    <w:rsid w:val="006F4670"/>
    <w:rsid w:val="006F57F2"/>
    <w:rsid w:val="006F5ECE"/>
    <w:rsid w:val="006F646D"/>
    <w:rsid w:val="007005F7"/>
    <w:rsid w:val="00710F52"/>
    <w:rsid w:val="007179AF"/>
    <w:rsid w:val="0072154B"/>
    <w:rsid w:val="007225E9"/>
    <w:rsid w:val="00723245"/>
    <w:rsid w:val="00726B86"/>
    <w:rsid w:val="00735FAB"/>
    <w:rsid w:val="007371A7"/>
    <w:rsid w:val="00747B71"/>
    <w:rsid w:val="0075077E"/>
    <w:rsid w:val="00756A3E"/>
    <w:rsid w:val="00762530"/>
    <w:rsid w:val="00766BB2"/>
    <w:rsid w:val="00771251"/>
    <w:rsid w:val="00775BF5"/>
    <w:rsid w:val="007811FD"/>
    <w:rsid w:val="00786503"/>
    <w:rsid w:val="00790CF2"/>
    <w:rsid w:val="0079644B"/>
    <w:rsid w:val="00796837"/>
    <w:rsid w:val="00796ADA"/>
    <w:rsid w:val="00797127"/>
    <w:rsid w:val="007A09E5"/>
    <w:rsid w:val="007A6172"/>
    <w:rsid w:val="007A7484"/>
    <w:rsid w:val="007A77AB"/>
    <w:rsid w:val="007B05AD"/>
    <w:rsid w:val="007D3B82"/>
    <w:rsid w:val="007D488C"/>
    <w:rsid w:val="007D70C0"/>
    <w:rsid w:val="007D7FDC"/>
    <w:rsid w:val="007E2919"/>
    <w:rsid w:val="007E2F8F"/>
    <w:rsid w:val="007E4142"/>
    <w:rsid w:val="007E48BB"/>
    <w:rsid w:val="007E6BB1"/>
    <w:rsid w:val="007E7A2A"/>
    <w:rsid w:val="007F29C4"/>
    <w:rsid w:val="007F5B71"/>
    <w:rsid w:val="007F7805"/>
    <w:rsid w:val="00801256"/>
    <w:rsid w:val="00805A9C"/>
    <w:rsid w:val="00805B93"/>
    <w:rsid w:val="0081391A"/>
    <w:rsid w:val="008149D8"/>
    <w:rsid w:val="0081679A"/>
    <w:rsid w:val="00817A31"/>
    <w:rsid w:val="00826AB9"/>
    <w:rsid w:val="00834457"/>
    <w:rsid w:val="00842621"/>
    <w:rsid w:val="008454C8"/>
    <w:rsid w:val="0085346E"/>
    <w:rsid w:val="008616D6"/>
    <w:rsid w:val="00866A4F"/>
    <w:rsid w:val="0086794B"/>
    <w:rsid w:val="00871D24"/>
    <w:rsid w:val="0087539A"/>
    <w:rsid w:val="0087630F"/>
    <w:rsid w:val="00877F14"/>
    <w:rsid w:val="008827F4"/>
    <w:rsid w:val="0088447A"/>
    <w:rsid w:val="008905FE"/>
    <w:rsid w:val="00890CE1"/>
    <w:rsid w:val="008968A2"/>
    <w:rsid w:val="00896F41"/>
    <w:rsid w:val="008B5C01"/>
    <w:rsid w:val="008C3664"/>
    <w:rsid w:val="008C6BCC"/>
    <w:rsid w:val="008C754A"/>
    <w:rsid w:val="008D3677"/>
    <w:rsid w:val="008D3939"/>
    <w:rsid w:val="008D5976"/>
    <w:rsid w:val="008D636A"/>
    <w:rsid w:val="008E0A48"/>
    <w:rsid w:val="008E10FE"/>
    <w:rsid w:val="008E1E57"/>
    <w:rsid w:val="008E30FE"/>
    <w:rsid w:val="008E35A0"/>
    <w:rsid w:val="008E553D"/>
    <w:rsid w:val="008F1518"/>
    <w:rsid w:val="008F15D4"/>
    <w:rsid w:val="008F1C04"/>
    <w:rsid w:val="008F5EC0"/>
    <w:rsid w:val="00906037"/>
    <w:rsid w:val="00912757"/>
    <w:rsid w:val="00916BD5"/>
    <w:rsid w:val="00917F3F"/>
    <w:rsid w:val="00920FCB"/>
    <w:rsid w:val="009243BE"/>
    <w:rsid w:val="00925925"/>
    <w:rsid w:val="00936F3F"/>
    <w:rsid w:val="00940677"/>
    <w:rsid w:val="009444BF"/>
    <w:rsid w:val="0094511B"/>
    <w:rsid w:val="0095301A"/>
    <w:rsid w:val="00955064"/>
    <w:rsid w:val="009553BE"/>
    <w:rsid w:val="009579D2"/>
    <w:rsid w:val="0096150B"/>
    <w:rsid w:val="00962B01"/>
    <w:rsid w:val="00962B8A"/>
    <w:rsid w:val="009850E1"/>
    <w:rsid w:val="009868E0"/>
    <w:rsid w:val="00986E97"/>
    <w:rsid w:val="0099259F"/>
    <w:rsid w:val="0099409D"/>
    <w:rsid w:val="0099516F"/>
    <w:rsid w:val="0099639E"/>
    <w:rsid w:val="00997802"/>
    <w:rsid w:val="00997863"/>
    <w:rsid w:val="009A11D7"/>
    <w:rsid w:val="009A1362"/>
    <w:rsid w:val="009C20C9"/>
    <w:rsid w:val="009D1228"/>
    <w:rsid w:val="009D1CC4"/>
    <w:rsid w:val="009D2832"/>
    <w:rsid w:val="009E2B6A"/>
    <w:rsid w:val="009E4B4A"/>
    <w:rsid w:val="009E63B9"/>
    <w:rsid w:val="009E7481"/>
    <w:rsid w:val="009F03C5"/>
    <w:rsid w:val="009F334C"/>
    <w:rsid w:val="009F5595"/>
    <w:rsid w:val="00A05154"/>
    <w:rsid w:val="00A124E7"/>
    <w:rsid w:val="00A12B27"/>
    <w:rsid w:val="00A12FB9"/>
    <w:rsid w:val="00A141AC"/>
    <w:rsid w:val="00A142EC"/>
    <w:rsid w:val="00A23FAF"/>
    <w:rsid w:val="00A24F17"/>
    <w:rsid w:val="00A27F9B"/>
    <w:rsid w:val="00A32D09"/>
    <w:rsid w:val="00A378B6"/>
    <w:rsid w:val="00A47760"/>
    <w:rsid w:val="00A5444A"/>
    <w:rsid w:val="00A545CF"/>
    <w:rsid w:val="00A60F68"/>
    <w:rsid w:val="00A62914"/>
    <w:rsid w:val="00A659A1"/>
    <w:rsid w:val="00A6718A"/>
    <w:rsid w:val="00A72507"/>
    <w:rsid w:val="00A77603"/>
    <w:rsid w:val="00A80B8A"/>
    <w:rsid w:val="00A8178F"/>
    <w:rsid w:val="00A86549"/>
    <w:rsid w:val="00A86AEF"/>
    <w:rsid w:val="00A9085C"/>
    <w:rsid w:val="00A92E38"/>
    <w:rsid w:val="00A95B71"/>
    <w:rsid w:val="00A965D5"/>
    <w:rsid w:val="00A966EC"/>
    <w:rsid w:val="00AA4EBB"/>
    <w:rsid w:val="00AA6021"/>
    <w:rsid w:val="00AB000D"/>
    <w:rsid w:val="00AB5309"/>
    <w:rsid w:val="00AB72FA"/>
    <w:rsid w:val="00AB76FB"/>
    <w:rsid w:val="00AC5F64"/>
    <w:rsid w:val="00AC7B91"/>
    <w:rsid w:val="00AD7D64"/>
    <w:rsid w:val="00AE0271"/>
    <w:rsid w:val="00AE4647"/>
    <w:rsid w:val="00AE52B7"/>
    <w:rsid w:val="00AF0EBF"/>
    <w:rsid w:val="00AF4984"/>
    <w:rsid w:val="00B02BD5"/>
    <w:rsid w:val="00B033C6"/>
    <w:rsid w:val="00B050A3"/>
    <w:rsid w:val="00B07AE6"/>
    <w:rsid w:val="00B1368B"/>
    <w:rsid w:val="00B14406"/>
    <w:rsid w:val="00B1594B"/>
    <w:rsid w:val="00B16B51"/>
    <w:rsid w:val="00B25940"/>
    <w:rsid w:val="00B33074"/>
    <w:rsid w:val="00B34BA0"/>
    <w:rsid w:val="00B43F54"/>
    <w:rsid w:val="00B449B1"/>
    <w:rsid w:val="00B44AF2"/>
    <w:rsid w:val="00B44E4E"/>
    <w:rsid w:val="00B5138B"/>
    <w:rsid w:val="00B5681D"/>
    <w:rsid w:val="00B56A71"/>
    <w:rsid w:val="00B6155A"/>
    <w:rsid w:val="00B61F64"/>
    <w:rsid w:val="00B62771"/>
    <w:rsid w:val="00B62F88"/>
    <w:rsid w:val="00B6547F"/>
    <w:rsid w:val="00B659AD"/>
    <w:rsid w:val="00B77FAB"/>
    <w:rsid w:val="00B8196A"/>
    <w:rsid w:val="00B81A68"/>
    <w:rsid w:val="00B85F91"/>
    <w:rsid w:val="00B8671B"/>
    <w:rsid w:val="00B9121A"/>
    <w:rsid w:val="00BB4AD1"/>
    <w:rsid w:val="00BB789E"/>
    <w:rsid w:val="00BC56F0"/>
    <w:rsid w:val="00BC68C3"/>
    <w:rsid w:val="00BC7C2C"/>
    <w:rsid w:val="00BD3802"/>
    <w:rsid w:val="00BD4139"/>
    <w:rsid w:val="00BD48FB"/>
    <w:rsid w:val="00BE404E"/>
    <w:rsid w:val="00BF0263"/>
    <w:rsid w:val="00BF7AD5"/>
    <w:rsid w:val="00C002ED"/>
    <w:rsid w:val="00C017F9"/>
    <w:rsid w:val="00C06B52"/>
    <w:rsid w:val="00C074C2"/>
    <w:rsid w:val="00C134CE"/>
    <w:rsid w:val="00C1427B"/>
    <w:rsid w:val="00C15BBB"/>
    <w:rsid w:val="00C162E3"/>
    <w:rsid w:val="00C2200A"/>
    <w:rsid w:val="00C24873"/>
    <w:rsid w:val="00C27876"/>
    <w:rsid w:val="00C3127D"/>
    <w:rsid w:val="00C346D5"/>
    <w:rsid w:val="00C37EB2"/>
    <w:rsid w:val="00C437C3"/>
    <w:rsid w:val="00C476BE"/>
    <w:rsid w:val="00C47D26"/>
    <w:rsid w:val="00C47E1E"/>
    <w:rsid w:val="00C50627"/>
    <w:rsid w:val="00C554C1"/>
    <w:rsid w:val="00C67A85"/>
    <w:rsid w:val="00C67CE0"/>
    <w:rsid w:val="00C80B32"/>
    <w:rsid w:val="00C838D1"/>
    <w:rsid w:val="00C8658D"/>
    <w:rsid w:val="00C86B3B"/>
    <w:rsid w:val="00C86CEE"/>
    <w:rsid w:val="00C871D9"/>
    <w:rsid w:val="00C92D8A"/>
    <w:rsid w:val="00C945CB"/>
    <w:rsid w:val="00C95193"/>
    <w:rsid w:val="00CA1463"/>
    <w:rsid w:val="00CA3CA8"/>
    <w:rsid w:val="00CA40D6"/>
    <w:rsid w:val="00CB21BA"/>
    <w:rsid w:val="00CB45F2"/>
    <w:rsid w:val="00CB65CA"/>
    <w:rsid w:val="00CB6B94"/>
    <w:rsid w:val="00CC707F"/>
    <w:rsid w:val="00CD3E28"/>
    <w:rsid w:val="00CE1BFF"/>
    <w:rsid w:val="00CE36FF"/>
    <w:rsid w:val="00CE6520"/>
    <w:rsid w:val="00CF14EC"/>
    <w:rsid w:val="00CF1BF8"/>
    <w:rsid w:val="00CF6648"/>
    <w:rsid w:val="00CF7B91"/>
    <w:rsid w:val="00D02DCD"/>
    <w:rsid w:val="00D10A7A"/>
    <w:rsid w:val="00D153CB"/>
    <w:rsid w:val="00D20C9A"/>
    <w:rsid w:val="00D2209A"/>
    <w:rsid w:val="00D24585"/>
    <w:rsid w:val="00D25AD6"/>
    <w:rsid w:val="00D2680D"/>
    <w:rsid w:val="00D27824"/>
    <w:rsid w:val="00D32D8A"/>
    <w:rsid w:val="00D3348B"/>
    <w:rsid w:val="00D34425"/>
    <w:rsid w:val="00D350B2"/>
    <w:rsid w:val="00D412B0"/>
    <w:rsid w:val="00D46B45"/>
    <w:rsid w:val="00D535C0"/>
    <w:rsid w:val="00D55EF2"/>
    <w:rsid w:val="00D61330"/>
    <w:rsid w:val="00D62119"/>
    <w:rsid w:val="00D703CB"/>
    <w:rsid w:val="00D746BC"/>
    <w:rsid w:val="00D83662"/>
    <w:rsid w:val="00D84F17"/>
    <w:rsid w:val="00D90F87"/>
    <w:rsid w:val="00D93473"/>
    <w:rsid w:val="00DA2E16"/>
    <w:rsid w:val="00DA63B2"/>
    <w:rsid w:val="00DB1E80"/>
    <w:rsid w:val="00DB3C2C"/>
    <w:rsid w:val="00DB6DE6"/>
    <w:rsid w:val="00DC3950"/>
    <w:rsid w:val="00DC3B1D"/>
    <w:rsid w:val="00DC488B"/>
    <w:rsid w:val="00DC794F"/>
    <w:rsid w:val="00DD0527"/>
    <w:rsid w:val="00DD1412"/>
    <w:rsid w:val="00DD4303"/>
    <w:rsid w:val="00DE3C15"/>
    <w:rsid w:val="00DF0908"/>
    <w:rsid w:val="00DF0E46"/>
    <w:rsid w:val="00DF1713"/>
    <w:rsid w:val="00DF1EFD"/>
    <w:rsid w:val="00DF25EE"/>
    <w:rsid w:val="00DF386C"/>
    <w:rsid w:val="00DF609C"/>
    <w:rsid w:val="00E0227B"/>
    <w:rsid w:val="00E02415"/>
    <w:rsid w:val="00E02900"/>
    <w:rsid w:val="00E02C71"/>
    <w:rsid w:val="00E16F06"/>
    <w:rsid w:val="00E21F63"/>
    <w:rsid w:val="00E236BE"/>
    <w:rsid w:val="00E26FCD"/>
    <w:rsid w:val="00E36635"/>
    <w:rsid w:val="00E42823"/>
    <w:rsid w:val="00E4585D"/>
    <w:rsid w:val="00E468FD"/>
    <w:rsid w:val="00E5002F"/>
    <w:rsid w:val="00E51B70"/>
    <w:rsid w:val="00E524DA"/>
    <w:rsid w:val="00E5635E"/>
    <w:rsid w:val="00E62AFA"/>
    <w:rsid w:val="00E63201"/>
    <w:rsid w:val="00E64ADC"/>
    <w:rsid w:val="00E64FE3"/>
    <w:rsid w:val="00E655BD"/>
    <w:rsid w:val="00E70E0B"/>
    <w:rsid w:val="00E71A75"/>
    <w:rsid w:val="00E82827"/>
    <w:rsid w:val="00E85009"/>
    <w:rsid w:val="00E90598"/>
    <w:rsid w:val="00E91334"/>
    <w:rsid w:val="00E9475F"/>
    <w:rsid w:val="00EA6867"/>
    <w:rsid w:val="00EA6C06"/>
    <w:rsid w:val="00EB20E6"/>
    <w:rsid w:val="00EB4097"/>
    <w:rsid w:val="00EB5572"/>
    <w:rsid w:val="00EC1FE0"/>
    <w:rsid w:val="00EC2523"/>
    <w:rsid w:val="00ED63E2"/>
    <w:rsid w:val="00EE245D"/>
    <w:rsid w:val="00EF2784"/>
    <w:rsid w:val="00EF6E37"/>
    <w:rsid w:val="00F02D0F"/>
    <w:rsid w:val="00F12BCC"/>
    <w:rsid w:val="00F138A1"/>
    <w:rsid w:val="00F14DEC"/>
    <w:rsid w:val="00F156BD"/>
    <w:rsid w:val="00F21DB1"/>
    <w:rsid w:val="00F237D1"/>
    <w:rsid w:val="00F239AD"/>
    <w:rsid w:val="00F250EC"/>
    <w:rsid w:val="00F25182"/>
    <w:rsid w:val="00F3285C"/>
    <w:rsid w:val="00F34CFE"/>
    <w:rsid w:val="00F368C2"/>
    <w:rsid w:val="00F37EA0"/>
    <w:rsid w:val="00F44755"/>
    <w:rsid w:val="00F44D08"/>
    <w:rsid w:val="00F4530F"/>
    <w:rsid w:val="00F47C13"/>
    <w:rsid w:val="00F50F72"/>
    <w:rsid w:val="00F539FF"/>
    <w:rsid w:val="00F54261"/>
    <w:rsid w:val="00F547BB"/>
    <w:rsid w:val="00F558AD"/>
    <w:rsid w:val="00F607CA"/>
    <w:rsid w:val="00F626BD"/>
    <w:rsid w:val="00F657B0"/>
    <w:rsid w:val="00F70727"/>
    <w:rsid w:val="00F71383"/>
    <w:rsid w:val="00F744CE"/>
    <w:rsid w:val="00F8480B"/>
    <w:rsid w:val="00F90A73"/>
    <w:rsid w:val="00F94B78"/>
    <w:rsid w:val="00F95985"/>
    <w:rsid w:val="00F9722B"/>
    <w:rsid w:val="00F97F6F"/>
    <w:rsid w:val="00FA28B2"/>
    <w:rsid w:val="00FA683B"/>
    <w:rsid w:val="00FB03E9"/>
    <w:rsid w:val="00FB07F1"/>
    <w:rsid w:val="00FB324D"/>
    <w:rsid w:val="00FB3531"/>
    <w:rsid w:val="00FB698F"/>
    <w:rsid w:val="00FD17E9"/>
    <w:rsid w:val="00FD30A4"/>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56636C"/>
  <w15:docId w15:val="{691402EB-10F2-452C-AF12-E0FD485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295210"/>
    <w:pPr>
      <w:suppressAutoHyphens/>
      <w:spacing w:before="60" w:after="60"/>
    </w:pPr>
    <w:rPr>
      <w:rFonts w:asciiTheme="minorHAnsi" w:hAnsiTheme="minorHAnsi"/>
      <w:lang w:eastAsia="en-US"/>
    </w:rPr>
  </w:style>
  <w:style w:type="paragraph" w:styleId="Heading1">
    <w:name w:val="heading 1"/>
    <w:basedOn w:val="Normal"/>
    <w:next w:val="BodyText"/>
    <w:link w:val="Heading1Char"/>
    <w:uiPriority w:val="9"/>
    <w:qFormat/>
    <w:rsid w:val="00F44755"/>
    <w:pPr>
      <w:keepNext/>
      <w:keepLines/>
      <w:pageBreakBefore/>
      <w:numPr>
        <w:numId w:val="18"/>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18"/>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8"/>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link w:val="Heading4Char"/>
    <w:qFormat/>
    <w:rsid w:val="003C404F"/>
    <w:pPr>
      <w:keepNext/>
      <w:keepLines/>
      <w:numPr>
        <w:ilvl w:val="3"/>
        <w:numId w:val="18"/>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8"/>
      </w:numPr>
      <w:tabs>
        <w:tab w:val="left" w:pos="2268"/>
      </w:tabs>
      <w:spacing w:before="240"/>
      <w:outlineLvl w:val="4"/>
    </w:pPr>
  </w:style>
  <w:style w:type="paragraph" w:styleId="Heading6">
    <w:name w:val="heading 6"/>
    <w:basedOn w:val="Normal"/>
    <w:next w:val="Normal"/>
    <w:uiPriority w:val="2"/>
    <w:rsid w:val="009F5595"/>
    <w:pPr>
      <w:numPr>
        <w:ilvl w:val="5"/>
        <w:numId w:val="18"/>
      </w:numPr>
      <w:spacing w:before="240"/>
      <w:outlineLvl w:val="5"/>
    </w:pPr>
    <w:rPr>
      <w:i/>
      <w:sz w:val="22"/>
    </w:rPr>
  </w:style>
  <w:style w:type="paragraph" w:styleId="Heading7">
    <w:name w:val="heading 7"/>
    <w:basedOn w:val="Normal"/>
    <w:next w:val="Normal"/>
    <w:uiPriority w:val="2"/>
    <w:rsid w:val="009F5595"/>
    <w:pPr>
      <w:numPr>
        <w:ilvl w:val="6"/>
        <w:numId w:val="18"/>
      </w:numPr>
      <w:spacing w:before="240"/>
      <w:outlineLvl w:val="6"/>
    </w:pPr>
  </w:style>
  <w:style w:type="paragraph" w:styleId="Heading8">
    <w:name w:val="heading 8"/>
    <w:aliases w:val="E. 1 Heading 8"/>
    <w:basedOn w:val="Normal"/>
    <w:next w:val="Normal"/>
    <w:uiPriority w:val="2"/>
    <w:rsid w:val="009F5595"/>
    <w:pPr>
      <w:numPr>
        <w:ilvl w:val="7"/>
        <w:numId w:val="18"/>
      </w:numPr>
      <w:spacing w:before="240"/>
      <w:outlineLvl w:val="7"/>
    </w:pPr>
    <w:rPr>
      <w:i/>
    </w:rPr>
  </w:style>
  <w:style w:type="paragraph" w:styleId="Heading9">
    <w:name w:val="heading 9"/>
    <w:basedOn w:val="Normal"/>
    <w:next w:val="Normal"/>
    <w:uiPriority w:val="2"/>
    <w:rsid w:val="009F5595"/>
    <w:pPr>
      <w:numPr>
        <w:ilvl w:val="8"/>
        <w:numId w:val="18"/>
      </w:num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rsid w:val="001A79B1"/>
    <w:pPr>
      <w:keepNext/>
      <w:keepLines/>
      <w:jc w:val="center"/>
    </w:pPr>
    <w:rPr>
      <w:sz w:val="18"/>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Ind w:w="0" w:type="dxa"/>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Ind w:w="0" w:type="dxa"/>
      <w:tblBorders>
        <w:insideV w:val="single" w:sz="4" w:space="0" w:color="auto"/>
      </w:tblBorders>
      <w:tblCellMar>
        <w:top w:w="0" w:type="dxa"/>
        <w:left w:w="284" w:type="dxa"/>
        <w:bottom w:w="0"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character" w:customStyle="1" w:styleId="Heading4Char">
    <w:name w:val="Heading 4 Char"/>
    <w:link w:val="Heading4"/>
    <w:rsid w:val="0016794A"/>
    <w:rPr>
      <w:rFonts w:asciiTheme="majorHAnsi" w:hAnsiTheme="majorHAnsi"/>
      <w:lang w:eastAsia="en-US"/>
    </w:rPr>
  </w:style>
  <w:style w:type="paragraph" w:styleId="ListParagraph">
    <w:name w:val="List Paragraph"/>
    <w:basedOn w:val="Normal"/>
    <w:uiPriority w:val="34"/>
    <w:rsid w:val="00A92E38"/>
    <w:pPr>
      <w:ind w:left="720"/>
      <w:contextualSpacing/>
    </w:pPr>
  </w:style>
  <w:style w:type="paragraph" w:styleId="Revision">
    <w:name w:val="Revision"/>
    <w:hidden/>
    <w:uiPriority w:val="99"/>
    <w:semiHidden/>
    <w:rsid w:val="00FB3531"/>
    <w:rPr>
      <w:rFonts w:asciiTheme="minorHAnsi" w:hAnsiTheme="minorHAnsi"/>
      <w:lang w:eastAsia="en-US"/>
    </w:rPr>
  </w:style>
  <w:style w:type="table" w:customStyle="1" w:styleId="Abbreviations">
    <w:name w:val="Abbreviations"/>
    <w:basedOn w:val="TableNormal"/>
    <w:uiPriority w:val="99"/>
    <w:rsid w:val="006C4BFC"/>
    <w:pPr>
      <w:spacing w:before="60" w:after="60"/>
    </w:pPr>
    <w:rPr>
      <w:rFonts w:asciiTheme="minorHAnsi" w:hAnsiTheme="minorHAnsi"/>
    </w:rPr>
    <w:tblPr>
      <w:tblInd w:w="851" w:type="dxa"/>
      <w:tblCellMar>
        <w:top w:w="0" w:type="dxa"/>
        <w:left w:w="108" w:type="dxa"/>
        <w:bottom w:w="0" w:type="dxa"/>
        <w:right w:w="108" w:type="dxa"/>
      </w:tblCellMar>
    </w:tblPr>
    <w:tcPr>
      <w:vAlign w:val="center"/>
    </w:tcPr>
  </w:style>
  <w:style w:type="character" w:customStyle="1" w:styleId="Heading1Char">
    <w:name w:val="Heading 1 Char"/>
    <w:basedOn w:val="DefaultParagraphFont"/>
    <w:link w:val="Heading1"/>
    <w:uiPriority w:val="9"/>
    <w:rsid w:val="002F2D3D"/>
    <w:rPr>
      <w:rFonts w:asciiTheme="majorHAnsi" w:hAnsiTheme="majorHAnsi"/>
      <w:b/>
      <w:caps/>
      <w:noProof/>
      <w:color w:val="00243A"/>
      <w:kern w:val="28"/>
      <w:sz w:val="24"/>
      <w:lang w:eastAsia="en-US"/>
    </w:rPr>
  </w:style>
  <w:style w:type="paragraph" w:styleId="Bibliography">
    <w:name w:val="Bibliography"/>
    <w:basedOn w:val="Normal"/>
    <w:next w:val="Normal"/>
    <w:uiPriority w:val="37"/>
    <w:unhideWhenUsed/>
    <w:rsid w:val="00997802"/>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324">
      <w:bodyDiv w:val="1"/>
      <w:marLeft w:val="0"/>
      <w:marRight w:val="0"/>
      <w:marTop w:val="0"/>
      <w:marBottom w:val="0"/>
      <w:divBdr>
        <w:top w:val="none" w:sz="0" w:space="0" w:color="auto"/>
        <w:left w:val="none" w:sz="0" w:space="0" w:color="auto"/>
        <w:bottom w:val="none" w:sz="0" w:space="0" w:color="auto"/>
        <w:right w:val="none" w:sz="0" w:space="0" w:color="auto"/>
      </w:divBdr>
    </w:div>
    <w:div w:id="24719392">
      <w:bodyDiv w:val="1"/>
      <w:marLeft w:val="0"/>
      <w:marRight w:val="0"/>
      <w:marTop w:val="0"/>
      <w:marBottom w:val="0"/>
      <w:divBdr>
        <w:top w:val="none" w:sz="0" w:space="0" w:color="auto"/>
        <w:left w:val="none" w:sz="0" w:space="0" w:color="auto"/>
        <w:bottom w:val="none" w:sz="0" w:space="0" w:color="auto"/>
        <w:right w:val="none" w:sz="0" w:space="0" w:color="auto"/>
      </w:divBdr>
    </w:div>
    <w:div w:id="26834724">
      <w:bodyDiv w:val="1"/>
      <w:marLeft w:val="0"/>
      <w:marRight w:val="0"/>
      <w:marTop w:val="0"/>
      <w:marBottom w:val="0"/>
      <w:divBdr>
        <w:top w:val="none" w:sz="0" w:space="0" w:color="auto"/>
        <w:left w:val="none" w:sz="0" w:space="0" w:color="auto"/>
        <w:bottom w:val="none" w:sz="0" w:space="0" w:color="auto"/>
        <w:right w:val="none" w:sz="0" w:space="0" w:color="auto"/>
      </w:divBdr>
    </w:div>
    <w:div w:id="27919995">
      <w:bodyDiv w:val="1"/>
      <w:marLeft w:val="0"/>
      <w:marRight w:val="0"/>
      <w:marTop w:val="0"/>
      <w:marBottom w:val="0"/>
      <w:divBdr>
        <w:top w:val="none" w:sz="0" w:space="0" w:color="auto"/>
        <w:left w:val="none" w:sz="0" w:space="0" w:color="auto"/>
        <w:bottom w:val="none" w:sz="0" w:space="0" w:color="auto"/>
        <w:right w:val="none" w:sz="0" w:space="0" w:color="auto"/>
      </w:divBdr>
    </w:div>
    <w:div w:id="69161542">
      <w:bodyDiv w:val="1"/>
      <w:marLeft w:val="0"/>
      <w:marRight w:val="0"/>
      <w:marTop w:val="0"/>
      <w:marBottom w:val="0"/>
      <w:divBdr>
        <w:top w:val="none" w:sz="0" w:space="0" w:color="auto"/>
        <w:left w:val="none" w:sz="0" w:space="0" w:color="auto"/>
        <w:bottom w:val="none" w:sz="0" w:space="0" w:color="auto"/>
        <w:right w:val="none" w:sz="0" w:space="0" w:color="auto"/>
      </w:divBdr>
    </w:div>
    <w:div w:id="70741317">
      <w:bodyDiv w:val="1"/>
      <w:marLeft w:val="0"/>
      <w:marRight w:val="0"/>
      <w:marTop w:val="0"/>
      <w:marBottom w:val="0"/>
      <w:divBdr>
        <w:top w:val="none" w:sz="0" w:space="0" w:color="auto"/>
        <w:left w:val="none" w:sz="0" w:space="0" w:color="auto"/>
        <w:bottom w:val="none" w:sz="0" w:space="0" w:color="auto"/>
        <w:right w:val="none" w:sz="0" w:space="0" w:color="auto"/>
      </w:divBdr>
    </w:div>
    <w:div w:id="73628208">
      <w:bodyDiv w:val="1"/>
      <w:marLeft w:val="0"/>
      <w:marRight w:val="0"/>
      <w:marTop w:val="0"/>
      <w:marBottom w:val="0"/>
      <w:divBdr>
        <w:top w:val="none" w:sz="0" w:space="0" w:color="auto"/>
        <w:left w:val="none" w:sz="0" w:space="0" w:color="auto"/>
        <w:bottom w:val="none" w:sz="0" w:space="0" w:color="auto"/>
        <w:right w:val="none" w:sz="0" w:space="0" w:color="auto"/>
      </w:divBdr>
    </w:div>
    <w:div w:id="90861902">
      <w:bodyDiv w:val="1"/>
      <w:marLeft w:val="0"/>
      <w:marRight w:val="0"/>
      <w:marTop w:val="0"/>
      <w:marBottom w:val="0"/>
      <w:divBdr>
        <w:top w:val="none" w:sz="0" w:space="0" w:color="auto"/>
        <w:left w:val="none" w:sz="0" w:space="0" w:color="auto"/>
        <w:bottom w:val="none" w:sz="0" w:space="0" w:color="auto"/>
        <w:right w:val="none" w:sz="0" w:space="0" w:color="auto"/>
      </w:divBdr>
    </w:div>
    <w:div w:id="111171963">
      <w:bodyDiv w:val="1"/>
      <w:marLeft w:val="0"/>
      <w:marRight w:val="0"/>
      <w:marTop w:val="0"/>
      <w:marBottom w:val="0"/>
      <w:divBdr>
        <w:top w:val="none" w:sz="0" w:space="0" w:color="auto"/>
        <w:left w:val="none" w:sz="0" w:space="0" w:color="auto"/>
        <w:bottom w:val="none" w:sz="0" w:space="0" w:color="auto"/>
        <w:right w:val="none" w:sz="0" w:space="0" w:color="auto"/>
      </w:divBdr>
    </w:div>
    <w:div w:id="112214267">
      <w:bodyDiv w:val="1"/>
      <w:marLeft w:val="0"/>
      <w:marRight w:val="0"/>
      <w:marTop w:val="0"/>
      <w:marBottom w:val="0"/>
      <w:divBdr>
        <w:top w:val="none" w:sz="0" w:space="0" w:color="auto"/>
        <w:left w:val="none" w:sz="0" w:space="0" w:color="auto"/>
        <w:bottom w:val="none" w:sz="0" w:space="0" w:color="auto"/>
        <w:right w:val="none" w:sz="0" w:space="0" w:color="auto"/>
      </w:divBdr>
    </w:div>
    <w:div w:id="112596050">
      <w:bodyDiv w:val="1"/>
      <w:marLeft w:val="0"/>
      <w:marRight w:val="0"/>
      <w:marTop w:val="0"/>
      <w:marBottom w:val="0"/>
      <w:divBdr>
        <w:top w:val="none" w:sz="0" w:space="0" w:color="auto"/>
        <w:left w:val="none" w:sz="0" w:space="0" w:color="auto"/>
        <w:bottom w:val="none" w:sz="0" w:space="0" w:color="auto"/>
        <w:right w:val="none" w:sz="0" w:space="0" w:color="auto"/>
      </w:divBdr>
    </w:div>
    <w:div w:id="121077359">
      <w:bodyDiv w:val="1"/>
      <w:marLeft w:val="0"/>
      <w:marRight w:val="0"/>
      <w:marTop w:val="0"/>
      <w:marBottom w:val="0"/>
      <w:divBdr>
        <w:top w:val="none" w:sz="0" w:space="0" w:color="auto"/>
        <w:left w:val="none" w:sz="0" w:space="0" w:color="auto"/>
        <w:bottom w:val="none" w:sz="0" w:space="0" w:color="auto"/>
        <w:right w:val="none" w:sz="0" w:space="0" w:color="auto"/>
      </w:divBdr>
    </w:div>
    <w:div w:id="143816267">
      <w:bodyDiv w:val="1"/>
      <w:marLeft w:val="0"/>
      <w:marRight w:val="0"/>
      <w:marTop w:val="0"/>
      <w:marBottom w:val="0"/>
      <w:divBdr>
        <w:top w:val="none" w:sz="0" w:space="0" w:color="auto"/>
        <w:left w:val="none" w:sz="0" w:space="0" w:color="auto"/>
        <w:bottom w:val="none" w:sz="0" w:space="0" w:color="auto"/>
        <w:right w:val="none" w:sz="0" w:space="0" w:color="auto"/>
      </w:divBdr>
    </w:div>
    <w:div w:id="147065373">
      <w:bodyDiv w:val="1"/>
      <w:marLeft w:val="0"/>
      <w:marRight w:val="0"/>
      <w:marTop w:val="0"/>
      <w:marBottom w:val="0"/>
      <w:divBdr>
        <w:top w:val="none" w:sz="0" w:space="0" w:color="auto"/>
        <w:left w:val="none" w:sz="0" w:space="0" w:color="auto"/>
        <w:bottom w:val="none" w:sz="0" w:space="0" w:color="auto"/>
        <w:right w:val="none" w:sz="0" w:space="0" w:color="auto"/>
      </w:divBdr>
    </w:div>
    <w:div w:id="147746595">
      <w:bodyDiv w:val="1"/>
      <w:marLeft w:val="0"/>
      <w:marRight w:val="0"/>
      <w:marTop w:val="0"/>
      <w:marBottom w:val="0"/>
      <w:divBdr>
        <w:top w:val="none" w:sz="0" w:space="0" w:color="auto"/>
        <w:left w:val="none" w:sz="0" w:space="0" w:color="auto"/>
        <w:bottom w:val="none" w:sz="0" w:space="0" w:color="auto"/>
        <w:right w:val="none" w:sz="0" w:space="0" w:color="auto"/>
      </w:divBdr>
    </w:div>
    <w:div w:id="154080186">
      <w:bodyDiv w:val="1"/>
      <w:marLeft w:val="0"/>
      <w:marRight w:val="0"/>
      <w:marTop w:val="0"/>
      <w:marBottom w:val="0"/>
      <w:divBdr>
        <w:top w:val="none" w:sz="0" w:space="0" w:color="auto"/>
        <w:left w:val="none" w:sz="0" w:space="0" w:color="auto"/>
        <w:bottom w:val="none" w:sz="0" w:space="0" w:color="auto"/>
        <w:right w:val="none" w:sz="0" w:space="0" w:color="auto"/>
      </w:divBdr>
    </w:div>
    <w:div w:id="161362342">
      <w:bodyDiv w:val="1"/>
      <w:marLeft w:val="0"/>
      <w:marRight w:val="0"/>
      <w:marTop w:val="0"/>
      <w:marBottom w:val="0"/>
      <w:divBdr>
        <w:top w:val="none" w:sz="0" w:space="0" w:color="auto"/>
        <w:left w:val="none" w:sz="0" w:space="0" w:color="auto"/>
        <w:bottom w:val="none" w:sz="0" w:space="0" w:color="auto"/>
        <w:right w:val="none" w:sz="0" w:space="0" w:color="auto"/>
      </w:divBdr>
    </w:div>
    <w:div w:id="165438821">
      <w:bodyDiv w:val="1"/>
      <w:marLeft w:val="0"/>
      <w:marRight w:val="0"/>
      <w:marTop w:val="0"/>
      <w:marBottom w:val="0"/>
      <w:divBdr>
        <w:top w:val="none" w:sz="0" w:space="0" w:color="auto"/>
        <w:left w:val="none" w:sz="0" w:space="0" w:color="auto"/>
        <w:bottom w:val="none" w:sz="0" w:space="0" w:color="auto"/>
        <w:right w:val="none" w:sz="0" w:space="0" w:color="auto"/>
      </w:divBdr>
    </w:div>
    <w:div w:id="201133629">
      <w:bodyDiv w:val="1"/>
      <w:marLeft w:val="0"/>
      <w:marRight w:val="0"/>
      <w:marTop w:val="0"/>
      <w:marBottom w:val="0"/>
      <w:divBdr>
        <w:top w:val="none" w:sz="0" w:space="0" w:color="auto"/>
        <w:left w:val="none" w:sz="0" w:space="0" w:color="auto"/>
        <w:bottom w:val="none" w:sz="0" w:space="0" w:color="auto"/>
        <w:right w:val="none" w:sz="0" w:space="0" w:color="auto"/>
      </w:divBdr>
    </w:div>
    <w:div w:id="201358507">
      <w:bodyDiv w:val="1"/>
      <w:marLeft w:val="0"/>
      <w:marRight w:val="0"/>
      <w:marTop w:val="0"/>
      <w:marBottom w:val="0"/>
      <w:divBdr>
        <w:top w:val="none" w:sz="0" w:space="0" w:color="auto"/>
        <w:left w:val="none" w:sz="0" w:space="0" w:color="auto"/>
        <w:bottom w:val="none" w:sz="0" w:space="0" w:color="auto"/>
        <w:right w:val="none" w:sz="0" w:space="0" w:color="auto"/>
      </w:divBdr>
    </w:div>
    <w:div w:id="206718400">
      <w:bodyDiv w:val="1"/>
      <w:marLeft w:val="0"/>
      <w:marRight w:val="0"/>
      <w:marTop w:val="0"/>
      <w:marBottom w:val="0"/>
      <w:divBdr>
        <w:top w:val="none" w:sz="0" w:space="0" w:color="auto"/>
        <w:left w:val="none" w:sz="0" w:space="0" w:color="auto"/>
        <w:bottom w:val="none" w:sz="0" w:space="0" w:color="auto"/>
        <w:right w:val="none" w:sz="0" w:space="0" w:color="auto"/>
      </w:divBdr>
    </w:div>
    <w:div w:id="211891280">
      <w:bodyDiv w:val="1"/>
      <w:marLeft w:val="0"/>
      <w:marRight w:val="0"/>
      <w:marTop w:val="0"/>
      <w:marBottom w:val="0"/>
      <w:divBdr>
        <w:top w:val="none" w:sz="0" w:space="0" w:color="auto"/>
        <w:left w:val="none" w:sz="0" w:space="0" w:color="auto"/>
        <w:bottom w:val="none" w:sz="0" w:space="0" w:color="auto"/>
        <w:right w:val="none" w:sz="0" w:space="0" w:color="auto"/>
      </w:divBdr>
    </w:div>
    <w:div w:id="238100481">
      <w:bodyDiv w:val="1"/>
      <w:marLeft w:val="0"/>
      <w:marRight w:val="0"/>
      <w:marTop w:val="0"/>
      <w:marBottom w:val="0"/>
      <w:divBdr>
        <w:top w:val="none" w:sz="0" w:space="0" w:color="auto"/>
        <w:left w:val="none" w:sz="0" w:space="0" w:color="auto"/>
        <w:bottom w:val="none" w:sz="0" w:space="0" w:color="auto"/>
        <w:right w:val="none" w:sz="0" w:space="0" w:color="auto"/>
      </w:divBdr>
    </w:div>
    <w:div w:id="249168099">
      <w:bodyDiv w:val="1"/>
      <w:marLeft w:val="0"/>
      <w:marRight w:val="0"/>
      <w:marTop w:val="0"/>
      <w:marBottom w:val="0"/>
      <w:divBdr>
        <w:top w:val="none" w:sz="0" w:space="0" w:color="auto"/>
        <w:left w:val="none" w:sz="0" w:space="0" w:color="auto"/>
        <w:bottom w:val="none" w:sz="0" w:space="0" w:color="auto"/>
        <w:right w:val="none" w:sz="0" w:space="0" w:color="auto"/>
      </w:divBdr>
    </w:div>
    <w:div w:id="251353322">
      <w:bodyDiv w:val="1"/>
      <w:marLeft w:val="0"/>
      <w:marRight w:val="0"/>
      <w:marTop w:val="0"/>
      <w:marBottom w:val="0"/>
      <w:divBdr>
        <w:top w:val="none" w:sz="0" w:space="0" w:color="auto"/>
        <w:left w:val="none" w:sz="0" w:space="0" w:color="auto"/>
        <w:bottom w:val="none" w:sz="0" w:space="0" w:color="auto"/>
        <w:right w:val="none" w:sz="0" w:space="0" w:color="auto"/>
      </w:divBdr>
    </w:div>
    <w:div w:id="255796393">
      <w:bodyDiv w:val="1"/>
      <w:marLeft w:val="0"/>
      <w:marRight w:val="0"/>
      <w:marTop w:val="0"/>
      <w:marBottom w:val="0"/>
      <w:divBdr>
        <w:top w:val="none" w:sz="0" w:space="0" w:color="auto"/>
        <w:left w:val="none" w:sz="0" w:space="0" w:color="auto"/>
        <w:bottom w:val="none" w:sz="0" w:space="0" w:color="auto"/>
        <w:right w:val="none" w:sz="0" w:space="0" w:color="auto"/>
      </w:divBdr>
    </w:div>
    <w:div w:id="256721442">
      <w:bodyDiv w:val="1"/>
      <w:marLeft w:val="0"/>
      <w:marRight w:val="0"/>
      <w:marTop w:val="0"/>
      <w:marBottom w:val="0"/>
      <w:divBdr>
        <w:top w:val="none" w:sz="0" w:space="0" w:color="auto"/>
        <w:left w:val="none" w:sz="0" w:space="0" w:color="auto"/>
        <w:bottom w:val="none" w:sz="0" w:space="0" w:color="auto"/>
        <w:right w:val="none" w:sz="0" w:space="0" w:color="auto"/>
      </w:divBdr>
    </w:div>
    <w:div w:id="282932013">
      <w:bodyDiv w:val="1"/>
      <w:marLeft w:val="0"/>
      <w:marRight w:val="0"/>
      <w:marTop w:val="0"/>
      <w:marBottom w:val="0"/>
      <w:divBdr>
        <w:top w:val="none" w:sz="0" w:space="0" w:color="auto"/>
        <w:left w:val="none" w:sz="0" w:space="0" w:color="auto"/>
        <w:bottom w:val="none" w:sz="0" w:space="0" w:color="auto"/>
        <w:right w:val="none" w:sz="0" w:space="0" w:color="auto"/>
      </w:divBdr>
    </w:div>
    <w:div w:id="283509684">
      <w:bodyDiv w:val="1"/>
      <w:marLeft w:val="0"/>
      <w:marRight w:val="0"/>
      <w:marTop w:val="0"/>
      <w:marBottom w:val="0"/>
      <w:divBdr>
        <w:top w:val="none" w:sz="0" w:space="0" w:color="auto"/>
        <w:left w:val="none" w:sz="0" w:space="0" w:color="auto"/>
        <w:bottom w:val="none" w:sz="0" w:space="0" w:color="auto"/>
        <w:right w:val="none" w:sz="0" w:space="0" w:color="auto"/>
      </w:divBdr>
    </w:div>
    <w:div w:id="290593616">
      <w:bodyDiv w:val="1"/>
      <w:marLeft w:val="0"/>
      <w:marRight w:val="0"/>
      <w:marTop w:val="0"/>
      <w:marBottom w:val="0"/>
      <w:divBdr>
        <w:top w:val="none" w:sz="0" w:space="0" w:color="auto"/>
        <w:left w:val="none" w:sz="0" w:space="0" w:color="auto"/>
        <w:bottom w:val="none" w:sz="0" w:space="0" w:color="auto"/>
        <w:right w:val="none" w:sz="0" w:space="0" w:color="auto"/>
      </w:divBdr>
    </w:div>
    <w:div w:id="302469178">
      <w:bodyDiv w:val="1"/>
      <w:marLeft w:val="0"/>
      <w:marRight w:val="0"/>
      <w:marTop w:val="0"/>
      <w:marBottom w:val="0"/>
      <w:divBdr>
        <w:top w:val="none" w:sz="0" w:space="0" w:color="auto"/>
        <w:left w:val="none" w:sz="0" w:space="0" w:color="auto"/>
        <w:bottom w:val="none" w:sz="0" w:space="0" w:color="auto"/>
        <w:right w:val="none" w:sz="0" w:space="0" w:color="auto"/>
      </w:divBdr>
    </w:div>
    <w:div w:id="308637737">
      <w:bodyDiv w:val="1"/>
      <w:marLeft w:val="0"/>
      <w:marRight w:val="0"/>
      <w:marTop w:val="0"/>
      <w:marBottom w:val="0"/>
      <w:divBdr>
        <w:top w:val="none" w:sz="0" w:space="0" w:color="auto"/>
        <w:left w:val="none" w:sz="0" w:space="0" w:color="auto"/>
        <w:bottom w:val="none" w:sz="0" w:space="0" w:color="auto"/>
        <w:right w:val="none" w:sz="0" w:space="0" w:color="auto"/>
      </w:divBdr>
    </w:div>
    <w:div w:id="315884411">
      <w:bodyDiv w:val="1"/>
      <w:marLeft w:val="0"/>
      <w:marRight w:val="0"/>
      <w:marTop w:val="0"/>
      <w:marBottom w:val="0"/>
      <w:divBdr>
        <w:top w:val="none" w:sz="0" w:space="0" w:color="auto"/>
        <w:left w:val="none" w:sz="0" w:space="0" w:color="auto"/>
        <w:bottom w:val="none" w:sz="0" w:space="0" w:color="auto"/>
        <w:right w:val="none" w:sz="0" w:space="0" w:color="auto"/>
      </w:divBdr>
    </w:div>
    <w:div w:id="319233704">
      <w:bodyDiv w:val="1"/>
      <w:marLeft w:val="0"/>
      <w:marRight w:val="0"/>
      <w:marTop w:val="0"/>
      <w:marBottom w:val="0"/>
      <w:divBdr>
        <w:top w:val="none" w:sz="0" w:space="0" w:color="auto"/>
        <w:left w:val="none" w:sz="0" w:space="0" w:color="auto"/>
        <w:bottom w:val="none" w:sz="0" w:space="0" w:color="auto"/>
        <w:right w:val="none" w:sz="0" w:space="0" w:color="auto"/>
      </w:divBdr>
    </w:div>
    <w:div w:id="325330950">
      <w:bodyDiv w:val="1"/>
      <w:marLeft w:val="0"/>
      <w:marRight w:val="0"/>
      <w:marTop w:val="0"/>
      <w:marBottom w:val="0"/>
      <w:divBdr>
        <w:top w:val="none" w:sz="0" w:space="0" w:color="auto"/>
        <w:left w:val="none" w:sz="0" w:space="0" w:color="auto"/>
        <w:bottom w:val="none" w:sz="0" w:space="0" w:color="auto"/>
        <w:right w:val="none" w:sz="0" w:space="0" w:color="auto"/>
      </w:divBdr>
    </w:div>
    <w:div w:id="341670090">
      <w:bodyDiv w:val="1"/>
      <w:marLeft w:val="0"/>
      <w:marRight w:val="0"/>
      <w:marTop w:val="0"/>
      <w:marBottom w:val="0"/>
      <w:divBdr>
        <w:top w:val="none" w:sz="0" w:space="0" w:color="auto"/>
        <w:left w:val="none" w:sz="0" w:space="0" w:color="auto"/>
        <w:bottom w:val="none" w:sz="0" w:space="0" w:color="auto"/>
        <w:right w:val="none" w:sz="0" w:space="0" w:color="auto"/>
      </w:divBdr>
    </w:div>
    <w:div w:id="345713945">
      <w:bodyDiv w:val="1"/>
      <w:marLeft w:val="0"/>
      <w:marRight w:val="0"/>
      <w:marTop w:val="0"/>
      <w:marBottom w:val="0"/>
      <w:divBdr>
        <w:top w:val="none" w:sz="0" w:space="0" w:color="auto"/>
        <w:left w:val="none" w:sz="0" w:space="0" w:color="auto"/>
        <w:bottom w:val="none" w:sz="0" w:space="0" w:color="auto"/>
        <w:right w:val="none" w:sz="0" w:space="0" w:color="auto"/>
      </w:divBdr>
    </w:div>
    <w:div w:id="381246027">
      <w:bodyDiv w:val="1"/>
      <w:marLeft w:val="0"/>
      <w:marRight w:val="0"/>
      <w:marTop w:val="0"/>
      <w:marBottom w:val="0"/>
      <w:divBdr>
        <w:top w:val="none" w:sz="0" w:space="0" w:color="auto"/>
        <w:left w:val="none" w:sz="0" w:space="0" w:color="auto"/>
        <w:bottom w:val="none" w:sz="0" w:space="0" w:color="auto"/>
        <w:right w:val="none" w:sz="0" w:space="0" w:color="auto"/>
      </w:divBdr>
    </w:div>
    <w:div w:id="385951401">
      <w:bodyDiv w:val="1"/>
      <w:marLeft w:val="0"/>
      <w:marRight w:val="0"/>
      <w:marTop w:val="0"/>
      <w:marBottom w:val="0"/>
      <w:divBdr>
        <w:top w:val="none" w:sz="0" w:space="0" w:color="auto"/>
        <w:left w:val="none" w:sz="0" w:space="0" w:color="auto"/>
        <w:bottom w:val="none" w:sz="0" w:space="0" w:color="auto"/>
        <w:right w:val="none" w:sz="0" w:space="0" w:color="auto"/>
      </w:divBdr>
    </w:div>
    <w:div w:id="386685564">
      <w:bodyDiv w:val="1"/>
      <w:marLeft w:val="0"/>
      <w:marRight w:val="0"/>
      <w:marTop w:val="0"/>
      <w:marBottom w:val="0"/>
      <w:divBdr>
        <w:top w:val="none" w:sz="0" w:space="0" w:color="auto"/>
        <w:left w:val="none" w:sz="0" w:space="0" w:color="auto"/>
        <w:bottom w:val="none" w:sz="0" w:space="0" w:color="auto"/>
        <w:right w:val="none" w:sz="0" w:space="0" w:color="auto"/>
      </w:divBdr>
    </w:div>
    <w:div w:id="395127784">
      <w:bodyDiv w:val="1"/>
      <w:marLeft w:val="0"/>
      <w:marRight w:val="0"/>
      <w:marTop w:val="0"/>
      <w:marBottom w:val="0"/>
      <w:divBdr>
        <w:top w:val="none" w:sz="0" w:space="0" w:color="auto"/>
        <w:left w:val="none" w:sz="0" w:space="0" w:color="auto"/>
        <w:bottom w:val="none" w:sz="0" w:space="0" w:color="auto"/>
        <w:right w:val="none" w:sz="0" w:space="0" w:color="auto"/>
      </w:divBdr>
    </w:div>
    <w:div w:id="408505875">
      <w:bodyDiv w:val="1"/>
      <w:marLeft w:val="0"/>
      <w:marRight w:val="0"/>
      <w:marTop w:val="0"/>
      <w:marBottom w:val="0"/>
      <w:divBdr>
        <w:top w:val="none" w:sz="0" w:space="0" w:color="auto"/>
        <w:left w:val="none" w:sz="0" w:space="0" w:color="auto"/>
        <w:bottom w:val="none" w:sz="0" w:space="0" w:color="auto"/>
        <w:right w:val="none" w:sz="0" w:space="0" w:color="auto"/>
      </w:divBdr>
    </w:div>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507550">
      <w:bodyDiv w:val="1"/>
      <w:marLeft w:val="0"/>
      <w:marRight w:val="0"/>
      <w:marTop w:val="0"/>
      <w:marBottom w:val="0"/>
      <w:divBdr>
        <w:top w:val="none" w:sz="0" w:space="0" w:color="auto"/>
        <w:left w:val="none" w:sz="0" w:space="0" w:color="auto"/>
        <w:bottom w:val="none" w:sz="0" w:space="0" w:color="auto"/>
        <w:right w:val="none" w:sz="0" w:space="0" w:color="auto"/>
      </w:divBdr>
    </w:div>
    <w:div w:id="416293692">
      <w:bodyDiv w:val="1"/>
      <w:marLeft w:val="0"/>
      <w:marRight w:val="0"/>
      <w:marTop w:val="0"/>
      <w:marBottom w:val="0"/>
      <w:divBdr>
        <w:top w:val="none" w:sz="0" w:space="0" w:color="auto"/>
        <w:left w:val="none" w:sz="0" w:space="0" w:color="auto"/>
        <w:bottom w:val="none" w:sz="0" w:space="0" w:color="auto"/>
        <w:right w:val="none" w:sz="0" w:space="0" w:color="auto"/>
      </w:divBdr>
    </w:div>
    <w:div w:id="436943895">
      <w:bodyDiv w:val="1"/>
      <w:marLeft w:val="0"/>
      <w:marRight w:val="0"/>
      <w:marTop w:val="0"/>
      <w:marBottom w:val="0"/>
      <w:divBdr>
        <w:top w:val="none" w:sz="0" w:space="0" w:color="auto"/>
        <w:left w:val="none" w:sz="0" w:space="0" w:color="auto"/>
        <w:bottom w:val="none" w:sz="0" w:space="0" w:color="auto"/>
        <w:right w:val="none" w:sz="0" w:space="0" w:color="auto"/>
      </w:divBdr>
    </w:div>
    <w:div w:id="478958450">
      <w:bodyDiv w:val="1"/>
      <w:marLeft w:val="0"/>
      <w:marRight w:val="0"/>
      <w:marTop w:val="0"/>
      <w:marBottom w:val="0"/>
      <w:divBdr>
        <w:top w:val="none" w:sz="0" w:space="0" w:color="auto"/>
        <w:left w:val="none" w:sz="0" w:space="0" w:color="auto"/>
        <w:bottom w:val="none" w:sz="0" w:space="0" w:color="auto"/>
        <w:right w:val="none" w:sz="0" w:space="0" w:color="auto"/>
      </w:divBdr>
    </w:div>
    <w:div w:id="495001490">
      <w:bodyDiv w:val="1"/>
      <w:marLeft w:val="0"/>
      <w:marRight w:val="0"/>
      <w:marTop w:val="0"/>
      <w:marBottom w:val="0"/>
      <w:divBdr>
        <w:top w:val="none" w:sz="0" w:space="0" w:color="auto"/>
        <w:left w:val="none" w:sz="0" w:space="0" w:color="auto"/>
        <w:bottom w:val="none" w:sz="0" w:space="0" w:color="auto"/>
        <w:right w:val="none" w:sz="0" w:space="0" w:color="auto"/>
      </w:divBdr>
    </w:div>
    <w:div w:id="497380082">
      <w:bodyDiv w:val="1"/>
      <w:marLeft w:val="0"/>
      <w:marRight w:val="0"/>
      <w:marTop w:val="0"/>
      <w:marBottom w:val="0"/>
      <w:divBdr>
        <w:top w:val="none" w:sz="0" w:space="0" w:color="auto"/>
        <w:left w:val="none" w:sz="0" w:space="0" w:color="auto"/>
        <w:bottom w:val="none" w:sz="0" w:space="0" w:color="auto"/>
        <w:right w:val="none" w:sz="0" w:space="0" w:color="auto"/>
      </w:divBdr>
    </w:div>
    <w:div w:id="502209893">
      <w:bodyDiv w:val="1"/>
      <w:marLeft w:val="0"/>
      <w:marRight w:val="0"/>
      <w:marTop w:val="0"/>
      <w:marBottom w:val="0"/>
      <w:divBdr>
        <w:top w:val="none" w:sz="0" w:space="0" w:color="auto"/>
        <w:left w:val="none" w:sz="0" w:space="0" w:color="auto"/>
        <w:bottom w:val="none" w:sz="0" w:space="0" w:color="auto"/>
        <w:right w:val="none" w:sz="0" w:space="0" w:color="auto"/>
      </w:divBdr>
    </w:div>
    <w:div w:id="508639797">
      <w:bodyDiv w:val="1"/>
      <w:marLeft w:val="0"/>
      <w:marRight w:val="0"/>
      <w:marTop w:val="0"/>
      <w:marBottom w:val="0"/>
      <w:divBdr>
        <w:top w:val="none" w:sz="0" w:space="0" w:color="auto"/>
        <w:left w:val="none" w:sz="0" w:space="0" w:color="auto"/>
        <w:bottom w:val="none" w:sz="0" w:space="0" w:color="auto"/>
        <w:right w:val="none" w:sz="0" w:space="0" w:color="auto"/>
      </w:divBdr>
    </w:div>
    <w:div w:id="510265326">
      <w:bodyDiv w:val="1"/>
      <w:marLeft w:val="0"/>
      <w:marRight w:val="0"/>
      <w:marTop w:val="0"/>
      <w:marBottom w:val="0"/>
      <w:divBdr>
        <w:top w:val="none" w:sz="0" w:space="0" w:color="auto"/>
        <w:left w:val="none" w:sz="0" w:space="0" w:color="auto"/>
        <w:bottom w:val="none" w:sz="0" w:space="0" w:color="auto"/>
        <w:right w:val="none" w:sz="0" w:space="0" w:color="auto"/>
      </w:divBdr>
    </w:div>
    <w:div w:id="518273167">
      <w:bodyDiv w:val="1"/>
      <w:marLeft w:val="0"/>
      <w:marRight w:val="0"/>
      <w:marTop w:val="0"/>
      <w:marBottom w:val="0"/>
      <w:divBdr>
        <w:top w:val="none" w:sz="0" w:space="0" w:color="auto"/>
        <w:left w:val="none" w:sz="0" w:space="0" w:color="auto"/>
        <w:bottom w:val="none" w:sz="0" w:space="0" w:color="auto"/>
        <w:right w:val="none" w:sz="0" w:space="0" w:color="auto"/>
      </w:divBdr>
    </w:div>
    <w:div w:id="526140819">
      <w:bodyDiv w:val="1"/>
      <w:marLeft w:val="0"/>
      <w:marRight w:val="0"/>
      <w:marTop w:val="0"/>
      <w:marBottom w:val="0"/>
      <w:divBdr>
        <w:top w:val="none" w:sz="0" w:space="0" w:color="auto"/>
        <w:left w:val="none" w:sz="0" w:space="0" w:color="auto"/>
        <w:bottom w:val="none" w:sz="0" w:space="0" w:color="auto"/>
        <w:right w:val="none" w:sz="0" w:space="0" w:color="auto"/>
      </w:divBdr>
    </w:div>
    <w:div w:id="529151492">
      <w:bodyDiv w:val="1"/>
      <w:marLeft w:val="0"/>
      <w:marRight w:val="0"/>
      <w:marTop w:val="0"/>
      <w:marBottom w:val="0"/>
      <w:divBdr>
        <w:top w:val="none" w:sz="0" w:space="0" w:color="auto"/>
        <w:left w:val="none" w:sz="0" w:space="0" w:color="auto"/>
        <w:bottom w:val="none" w:sz="0" w:space="0" w:color="auto"/>
        <w:right w:val="none" w:sz="0" w:space="0" w:color="auto"/>
      </w:divBdr>
    </w:div>
    <w:div w:id="544146775">
      <w:bodyDiv w:val="1"/>
      <w:marLeft w:val="0"/>
      <w:marRight w:val="0"/>
      <w:marTop w:val="0"/>
      <w:marBottom w:val="0"/>
      <w:divBdr>
        <w:top w:val="none" w:sz="0" w:space="0" w:color="auto"/>
        <w:left w:val="none" w:sz="0" w:space="0" w:color="auto"/>
        <w:bottom w:val="none" w:sz="0" w:space="0" w:color="auto"/>
        <w:right w:val="none" w:sz="0" w:space="0" w:color="auto"/>
      </w:divBdr>
    </w:div>
    <w:div w:id="545020466">
      <w:bodyDiv w:val="1"/>
      <w:marLeft w:val="0"/>
      <w:marRight w:val="0"/>
      <w:marTop w:val="0"/>
      <w:marBottom w:val="0"/>
      <w:divBdr>
        <w:top w:val="none" w:sz="0" w:space="0" w:color="auto"/>
        <w:left w:val="none" w:sz="0" w:space="0" w:color="auto"/>
        <w:bottom w:val="none" w:sz="0" w:space="0" w:color="auto"/>
        <w:right w:val="none" w:sz="0" w:space="0" w:color="auto"/>
      </w:divBdr>
    </w:div>
    <w:div w:id="545069192">
      <w:bodyDiv w:val="1"/>
      <w:marLeft w:val="0"/>
      <w:marRight w:val="0"/>
      <w:marTop w:val="0"/>
      <w:marBottom w:val="0"/>
      <w:divBdr>
        <w:top w:val="none" w:sz="0" w:space="0" w:color="auto"/>
        <w:left w:val="none" w:sz="0" w:space="0" w:color="auto"/>
        <w:bottom w:val="none" w:sz="0" w:space="0" w:color="auto"/>
        <w:right w:val="none" w:sz="0" w:space="0" w:color="auto"/>
      </w:divBdr>
    </w:div>
    <w:div w:id="552887965">
      <w:bodyDiv w:val="1"/>
      <w:marLeft w:val="0"/>
      <w:marRight w:val="0"/>
      <w:marTop w:val="0"/>
      <w:marBottom w:val="0"/>
      <w:divBdr>
        <w:top w:val="none" w:sz="0" w:space="0" w:color="auto"/>
        <w:left w:val="none" w:sz="0" w:space="0" w:color="auto"/>
        <w:bottom w:val="none" w:sz="0" w:space="0" w:color="auto"/>
        <w:right w:val="none" w:sz="0" w:space="0" w:color="auto"/>
      </w:divBdr>
    </w:div>
    <w:div w:id="557786244">
      <w:bodyDiv w:val="1"/>
      <w:marLeft w:val="0"/>
      <w:marRight w:val="0"/>
      <w:marTop w:val="0"/>
      <w:marBottom w:val="0"/>
      <w:divBdr>
        <w:top w:val="none" w:sz="0" w:space="0" w:color="auto"/>
        <w:left w:val="none" w:sz="0" w:space="0" w:color="auto"/>
        <w:bottom w:val="none" w:sz="0" w:space="0" w:color="auto"/>
        <w:right w:val="none" w:sz="0" w:space="0" w:color="auto"/>
      </w:divBdr>
    </w:div>
    <w:div w:id="560750052">
      <w:bodyDiv w:val="1"/>
      <w:marLeft w:val="0"/>
      <w:marRight w:val="0"/>
      <w:marTop w:val="0"/>
      <w:marBottom w:val="0"/>
      <w:divBdr>
        <w:top w:val="none" w:sz="0" w:space="0" w:color="auto"/>
        <w:left w:val="none" w:sz="0" w:space="0" w:color="auto"/>
        <w:bottom w:val="none" w:sz="0" w:space="0" w:color="auto"/>
        <w:right w:val="none" w:sz="0" w:space="0" w:color="auto"/>
      </w:divBdr>
    </w:div>
    <w:div w:id="564342812">
      <w:bodyDiv w:val="1"/>
      <w:marLeft w:val="0"/>
      <w:marRight w:val="0"/>
      <w:marTop w:val="0"/>
      <w:marBottom w:val="0"/>
      <w:divBdr>
        <w:top w:val="none" w:sz="0" w:space="0" w:color="auto"/>
        <w:left w:val="none" w:sz="0" w:space="0" w:color="auto"/>
        <w:bottom w:val="none" w:sz="0" w:space="0" w:color="auto"/>
        <w:right w:val="none" w:sz="0" w:space="0" w:color="auto"/>
      </w:divBdr>
    </w:div>
    <w:div w:id="570702674">
      <w:bodyDiv w:val="1"/>
      <w:marLeft w:val="0"/>
      <w:marRight w:val="0"/>
      <w:marTop w:val="0"/>
      <w:marBottom w:val="0"/>
      <w:divBdr>
        <w:top w:val="none" w:sz="0" w:space="0" w:color="auto"/>
        <w:left w:val="none" w:sz="0" w:space="0" w:color="auto"/>
        <w:bottom w:val="none" w:sz="0" w:space="0" w:color="auto"/>
        <w:right w:val="none" w:sz="0" w:space="0" w:color="auto"/>
      </w:divBdr>
    </w:div>
    <w:div w:id="573660071">
      <w:bodyDiv w:val="1"/>
      <w:marLeft w:val="0"/>
      <w:marRight w:val="0"/>
      <w:marTop w:val="0"/>
      <w:marBottom w:val="0"/>
      <w:divBdr>
        <w:top w:val="none" w:sz="0" w:space="0" w:color="auto"/>
        <w:left w:val="none" w:sz="0" w:space="0" w:color="auto"/>
        <w:bottom w:val="none" w:sz="0" w:space="0" w:color="auto"/>
        <w:right w:val="none" w:sz="0" w:space="0" w:color="auto"/>
      </w:divBdr>
    </w:div>
    <w:div w:id="592931357">
      <w:bodyDiv w:val="1"/>
      <w:marLeft w:val="0"/>
      <w:marRight w:val="0"/>
      <w:marTop w:val="0"/>
      <w:marBottom w:val="0"/>
      <w:divBdr>
        <w:top w:val="none" w:sz="0" w:space="0" w:color="auto"/>
        <w:left w:val="none" w:sz="0" w:space="0" w:color="auto"/>
        <w:bottom w:val="none" w:sz="0" w:space="0" w:color="auto"/>
        <w:right w:val="none" w:sz="0" w:space="0" w:color="auto"/>
      </w:divBdr>
    </w:div>
    <w:div w:id="607279485">
      <w:bodyDiv w:val="1"/>
      <w:marLeft w:val="0"/>
      <w:marRight w:val="0"/>
      <w:marTop w:val="0"/>
      <w:marBottom w:val="0"/>
      <w:divBdr>
        <w:top w:val="none" w:sz="0" w:space="0" w:color="auto"/>
        <w:left w:val="none" w:sz="0" w:space="0" w:color="auto"/>
        <w:bottom w:val="none" w:sz="0" w:space="0" w:color="auto"/>
        <w:right w:val="none" w:sz="0" w:space="0" w:color="auto"/>
      </w:divBdr>
    </w:div>
    <w:div w:id="615064610">
      <w:bodyDiv w:val="1"/>
      <w:marLeft w:val="0"/>
      <w:marRight w:val="0"/>
      <w:marTop w:val="0"/>
      <w:marBottom w:val="0"/>
      <w:divBdr>
        <w:top w:val="none" w:sz="0" w:space="0" w:color="auto"/>
        <w:left w:val="none" w:sz="0" w:space="0" w:color="auto"/>
        <w:bottom w:val="none" w:sz="0" w:space="0" w:color="auto"/>
        <w:right w:val="none" w:sz="0" w:space="0" w:color="auto"/>
      </w:divBdr>
    </w:div>
    <w:div w:id="617375660">
      <w:bodyDiv w:val="1"/>
      <w:marLeft w:val="0"/>
      <w:marRight w:val="0"/>
      <w:marTop w:val="0"/>
      <w:marBottom w:val="0"/>
      <w:divBdr>
        <w:top w:val="none" w:sz="0" w:space="0" w:color="auto"/>
        <w:left w:val="none" w:sz="0" w:space="0" w:color="auto"/>
        <w:bottom w:val="none" w:sz="0" w:space="0" w:color="auto"/>
        <w:right w:val="none" w:sz="0" w:space="0" w:color="auto"/>
      </w:divBdr>
    </w:div>
    <w:div w:id="628319075">
      <w:bodyDiv w:val="1"/>
      <w:marLeft w:val="0"/>
      <w:marRight w:val="0"/>
      <w:marTop w:val="0"/>
      <w:marBottom w:val="0"/>
      <w:divBdr>
        <w:top w:val="none" w:sz="0" w:space="0" w:color="auto"/>
        <w:left w:val="none" w:sz="0" w:space="0" w:color="auto"/>
        <w:bottom w:val="none" w:sz="0" w:space="0" w:color="auto"/>
        <w:right w:val="none" w:sz="0" w:space="0" w:color="auto"/>
      </w:divBdr>
    </w:div>
    <w:div w:id="629558730">
      <w:bodyDiv w:val="1"/>
      <w:marLeft w:val="0"/>
      <w:marRight w:val="0"/>
      <w:marTop w:val="0"/>
      <w:marBottom w:val="0"/>
      <w:divBdr>
        <w:top w:val="none" w:sz="0" w:space="0" w:color="auto"/>
        <w:left w:val="none" w:sz="0" w:space="0" w:color="auto"/>
        <w:bottom w:val="none" w:sz="0" w:space="0" w:color="auto"/>
        <w:right w:val="none" w:sz="0" w:space="0" w:color="auto"/>
      </w:divBdr>
    </w:div>
    <w:div w:id="639767281">
      <w:bodyDiv w:val="1"/>
      <w:marLeft w:val="0"/>
      <w:marRight w:val="0"/>
      <w:marTop w:val="0"/>
      <w:marBottom w:val="0"/>
      <w:divBdr>
        <w:top w:val="none" w:sz="0" w:space="0" w:color="auto"/>
        <w:left w:val="none" w:sz="0" w:space="0" w:color="auto"/>
        <w:bottom w:val="none" w:sz="0" w:space="0" w:color="auto"/>
        <w:right w:val="none" w:sz="0" w:space="0" w:color="auto"/>
      </w:divBdr>
    </w:div>
    <w:div w:id="642849265">
      <w:bodyDiv w:val="1"/>
      <w:marLeft w:val="0"/>
      <w:marRight w:val="0"/>
      <w:marTop w:val="0"/>
      <w:marBottom w:val="0"/>
      <w:divBdr>
        <w:top w:val="none" w:sz="0" w:space="0" w:color="auto"/>
        <w:left w:val="none" w:sz="0" w:space="0" w:color="auto"/>
        <w:bottom w:val="none" w:sz="0" w:space="0" w:color="auto"/>
        <w:right w:val="none" w:sz="0" w:space="0" w:color="auto"/>
      </w:divBdr>
    </w:div>
    <w:div w:id="668826227">
      <w:bodyDiv w:val="1"/>
      <w:marLeft w:val="0"/>
      <w:marRight w:val="0"/>
      <w:marTop w:val="0"/>
      <w:marBottom w:val="0"/>
      <w:divBdr>
        <w:top w:val="none" w:sz="0" w:space="0" w:color="auto"/>
        <w:left w:val="none" w:sz="0" w:space="0" w:color="auto"/>
        <w:bottom w:val="none" w:sz="0" w:space="0" w:color="auto"/>
        <w:right w:val="none" w:sz="0" w:space="0" w:color="auto"/>
      </w:divBdr>
    </w:div>
    <w:div w:id="676542198">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680736472">
      <w:bodyDiv w:val="1"/>
      <w:marLeft w:val="0"/>
      <w:marRight w:val="0"/>
      <w:marTop w:val="0"/>
      <w:marBottom w:val="0"/>
      <w:divBdr>
        <w:top w:val="none" w:sz="0" w:space="0" w:color="auto"/>
        <w:left w:val="none" w:sz="0" w:space="0" w:color="auto"/>
        <w:bottom w:val="none" w:sz="0" w:space="0" w:color="auto"/>
        <w:right w:val="none" w:sz="0" w:space="0" w:color="auto"/>
      </w:divBdr>
    </w:div>
    <w:div w:id="685525179">
      <w:bodyDiv w:val="1"/>
      <w:marLeft w:val="0"/>
      <w:marRight w:val="0"/>
      <w:marTop w:val="0"/>
      <w:marBottom w:val="0"/>
      <w:divBdr>
        <w:top w:val="none" w:sz="0" w:space="0" w:color="auto"/>
        <w:left w:val="none" w:sz="0" w:space="0" w:color="auto"/>
        <w:bottom w:val="none" w:sz="0" w:space="0" w:color="auto"/>
        <w:right w:val="none" w:sz="0" w:space="0" w:color="auto"/>
      </w:divBdr>
    </w:div>
    <w:div w:id="711809052">
      <w:bodyDiv w:val="1"/>
      <w:marLeft w:val="0"/>
      <w:marRight w:val="0"/>
      <w:marTop w:val="0"/>
      <w:marBottom w:val="0"/>
      <w:divBdr>
        <w:top w:val="none" w:sz="0" w:space="0" w:color="auto"/>
        <w:left w:val="none" w:sz="0" w:space="0" w:color="auto"/>
        <w:bottom w:val="none" w:sz="0" w:space="0" w:color="auto"/>
        <w:right w:val="none" w:sz="0" w:space="0" w:color="auto"/>
      </w:divBdr>
    </w:div>
    <w:div w:id="713968253">
      <w:bodyDiv w:val="1"/>
      <w:marLeft w:val="0"/>
      <w:marRight w:val="0"/>
      <w:marTop w:val="0"/>
      <w:marBottom w:val="0"/>
      <w:divBdr>
        <w:top w:val="none" w:sz="0" w:space="0" w:color="auto"/>
        <w:left w:val="none" w:sz="0" w:space="0" w:color="auto"/>
        <w:bottom w:val="none" w:sz="0" w:space="0" w:color="auto"/>
        <w:right w:val="none" w:sz="0" w:space="0" w:color="auto"/>
      </w:divBdr>
    </w:div>
    <w:div w:id="715276312">
      <w:bodyDiv w:val="1"/>
      <w:marLeft w:val="0"/>
      <w:marRight w:val="0"/>
      <w:marTop w:val="0"/>
      <w:marBottom w:val="0"/>
      <w:divBdr>
        <w:top w:val="none" w:sz="0" w:space="0" w:color="auto"/>
        <w:left w:val="none" w:sz="0" w:space="0" w:color="auto"/>
        <w:bottom w:val="none" w:sz="0" w:space="0" w:color="auto"/>
        <w:right w:val="none" w:sz="0" w:space="0" w:color="auto"/>
      </w:divBdr>
    </w:div>
    <w:div w:id="716052708">
      <w:bodyDiv w:val="1"/>
      <w:marLeft w:val="0"/>
      <w:marRight w:val="0"/>
      <w:marTop w:val="0"/>
      <w:marBottom w:val="0"/>
      <w:divBdr>
        <w:top w:val="none" w:sz="0" w:space="0" w:color="auto"/>
        <w:left w:val="none" w:sz="0" w:space="0" w:color="auto"/>
        <w:bottom w:val="none" w:sz="0" w:space="0" w:color="auto"/>
        <w:right w:val="none" w:sz="0" w:space="0" w:color="auto"/>
      </w:divBdr>
    </w:div>
    <w:div w:id="716391899">
      <w:bodyDiv w:val="1"/>
      <w:marLeft w:val="0"/>
      <w:marRight w:val="0"/>
      <w:marTop w:val="0"/>
      <w:marBottom w:val="0"/>
      <w:divBdr>
        <w:top w:val="none" w:sz="0" w:space="0" w:color="auto"/>
        <w:left w:val="none" w:sz="0" w:space="0" w:color="auto"/>
        <w:bottom w:val="none" w:sz="0" w:space="0" w:color="auto"/>
        <w:right w:val="none" w:sz="0" w:space="0" w:color="auto"/>
      </w:divBdr>
    </w:div>
    <w:div w:id="731585950">
      <w:bodyDiv w:val="1"/>
      <w:marLeft w:val="0"/>
      <w:marRight w:val="0"/>
      <w:marTop w:val="0"/>
      <w:marBottom w:val="0"/>
      <w:divBdr>
        <w:top w:val="none" w:sz="0" w:space="0" w:color="auto"/>
        <w:left w:val="none" w:sz="0" w:space="0" w:color="auto"/>
        <w:bottom w:val="none" w:sz="0" w:space="0" w:color="auto"/>
        <w:right w:val="none" w:sz="0" w:space="0" w:color="auto"/>
      </w:divBdr>
    </w:div>
    <w:div w:id="733158620">
      <w:bodyDiv w:val="1"/>
      <w:marLeft w:val="0"/>
      <w:marRight w:val="0"/>
      <w:marTop w:val="0"/>
      <w:marBottom w:val="0"/>
      <w:divBdr>
        <w:top w:val="none" w:sz="0" w:space="0" w:color="auto"/>
        <w:left w:val="none" w:sz="0" w:space="0" w:color="auto"/>
        <w:bottom w:val="none" w:sz="0" w:space="0" w:color="auto"/>
        <w:right w:val="none" w:sz="0" w:space="0" w:color="auto"/>
      </w:divBdr>
    </w:div>
    <w:div w:id="746732657">
      <w:bodyDiv w:val="1"/>
      <w:marLeft w:val="0"/>
      <w:marRight w:val="0"/>
      <w:marTop w:val="0"/>
      <w:marBottom w:val="0"/>
      <w:divBdr>
        <w:top w:val="none" w:sz="0" w:space="0" w:color="auto"/>
        <w:left w:val="none" w:sz="0" w:space="0" w:color="auto"/>
        <w:bottom w:val="none" w:sz="0" w:space="0" w:color="auto"/>
        <w:right w:val="none" w:sz="0" w:space="0" w:color="auto"/>
      </w:divBdr>
    </w:div>
    <w:div w:id="756486620">
      <w:bodyDiv w:val="1"/>
      <w:marLeft w:val="0"/>
      <w:marRight w:val="0"/>
      <w:marTop w:val="0"/>
      <w:marBottom w:val="0"/>
      <w:divBdr>
        <w:top w:val="none" w:sz="0" w:space="0" w:color="auto"/>
        <w:left w:val="none" w:sz="0" w:space="0" w:color="auto"/>
        <w:bottom w:val="none" w:sz="0" w:space="0" w:color="auto"/>
        <w:right w:val="none" w:sz="0" w:space="0" w:color="auto"/>
      </w:divBdr>
    </w:div>
    <w:div w:id="772212904">
      <w:bodyDiv w:val="1"/>
      <w:marLeft w:val="0"/>
      <w:marRight w:val="0"/>
      <w:marTop w:val="0"/>
      <w:marBottom w:val="0"/>
      <w:divBdr>
        <w:top w:val="none" w:sz="0" w:space="0" w:color="auto"/>
        <w:left w:val="none" w:sz="0" w:space="0" w:color="auto"/>
        <w:bottom w:val="none" w:sz="0" w:space="0" w:color="auto"/>
        <w:right w:val="none" w:sz="0" w:space="0" w:color="auto"/>
      </w:divBdr>
    </w:div>
    <w:div w:id="772282057">
      <w:bodyDiv w:val="1"/>
      <w:marLeft w:val="0"/>
      <w:marRight w:val="0"/>
      <w:marTop w:val="0"/>
      <w:marBottom w:val="0"/>
      <w:divBdr>
        <w:top w:val="none" w:sz="0" w:space="0" w:color="auto"/>
        <w:left w:val="none" w:sz="0" w:space="0" w:color="auto"/>
        <w:bottom w:val="none" w:sz="0" w:space="0" w:color="auto"/>
        <w:right w:val="none" w:sz="0" w:space="0" w:color="auto"/>
      </w:divBdr>
    </w:div>
    <w:div w:id="799301322">
      <w:bodyDiv w:val="1"/>
      <w:marLeft w:val="0"/>
      <w:marRight w:val="0"/>
      <w:marTop w:val="0"/>
      <w:marBottom w:val="0"/>
      <w:divBdr>
        <w:top w:val="none" w:sz="0" w:space="0" w:color="auto"/>
        <w:left w:val="none" w:sz="0" w:space="0" w:color="auto"/>
        <w:bottom w:val="none" w:sz="0" w:space="0" w:color="auto"/>
        <w:right w:val="none" w:sz="0" w:space="0" w:color="auto"/>
      </w:divBdr>
    </w:div>
    <w:div w:id="800657367">
      <w:bodyDiv w:val="1"/>
      <w:marLeft w:val="0"/>
      <w:marRight w:val="0"/>
      <w:marTop w:val="0"/>
      <w:marBottom w:val="0"/>
      <w:divBdr>
        <w:top w:val="none" w:sz="0" w:space="0" w:color="auto"/>
        <w:left w:val="none" w:sz="0" w:space="0" w:color="auto"/>
        <w:bottom w:val="none" w:sz="0" w:space="0" w:color="auto"/>
        <w:right w:val="none" w:sz="0" w:space="0" w:color="auto"/>
      </w:divBdr>
    </w:div>
    <w:div w:id="801308692">
      <w:bodyDiv w:val="1"/>
      <w:marLeft w:val="0"/>
      <w:marRight w:val="0"/>
      <w:marTop w:val="0"/>
      <w:marBottom w:val="0"/>
      <w:divBdr>
        <w:top w:val="none" w:sz="0" w:space="0" w:color="auto"/>
        <w:left w:val="none" w:sz="0" w:space="0" w:color="auto"/>
        <w:bottom w:val="none" w:sz="0" w:space="0" w:color="auto"/>
        <w:right w:val="none" w:sz="0" w:space="0" w:color="auto"/>
      </w:divBdr>
    </w:div>
    <w:div w:id="804660496">
      <w:bodyDiv w:val="1"/>
      <w:marLeft w:val="0"/>
      <w:marRight w:val="0"/>
      <w:marTop w:val="0"/>
      <w:marBottom w:val="0"/>
      <w:divBdr>
        <w:top w:val="none" w:sz="0" w:space="0" w:color="auto"/>
        <w:left w:val="none" w:sz="0" w:space="0" w:color="auto"/>
        <w:bottom w:val="none" w:sz="0" w:space="0" w:color="auto"/>
        <w:right w:val="none" w:sz="0" w:space="0" w:color="auto"/>
      </w:divBdr>
    </w:div>
    <w:div w:id="805390259">
      <w:bodyDiv w:val="1"/>
      <w:marLeft w:val="0"/>
      <w:marRight w:val="0"/>
      <w:marTop w:val="0"/>
      <w:marBottom w:val="0"/>
      <w:divBdr>
        <w:top w:val="none" w:sz="0" w:space="0" w:color="auto"/>
        <w:left w:val="none" w:sz="0" w:space="0" w:color="auto"/>
        <w:bottom w:val="none" w:sz="0" w:space="0" w:color="auto"/>
        <w:right w:val="none" w:sz="0" w:space="0" w:color="auto"/>
      </w:divBdr>
    </w:div>
    <w:div w:id="811362424">
      <w:bodyDiv w:val="1"/>
      <w:marLeft w:val="0"/>
      <w:marRight w:val="0"/>
      <w:marTop w:val="0"/>
      <w:marBottom w:val="0"/>
      <w:divBdr>
        <w:top w:val="none" w:sz="0" w:space="0" w:color="auto"/>
        <w:left w:val="none" w:sz="0" w:space="0" w:color="auto"/>
        <w:bottom w:val="none" w:sz="0" w:space="0" w:color="auto"/>
        <w:right w:val="none" w:sz="0" w:space="0" w:color="auto"/>
      </w:divBdr>
    </w:div>
    <w:div w:id="818305774">
      <w:bodyDiv w:val="1"/>
      <w:marLeft w:val="0"/>
      <w:marRight w:val="0"/>
      <w:marTop w:val="0"/>
      <w:marBottom w:val="0"/>
      <w:divBdr>
        <w:top w:val="none" w:sz="0" w:space="0" w:color="auto"/>
        <w:left w:val="none" w:sz="0" w:space="0" w:color="auto"/>
        <w:bottom w:val="none" w:sz="0" w:space="0" w:color="auto"/>
        <w:right w:val="none" w:sz="0" w:space="0" w:color="auto"/>
      </w:divBdr>
    </w:div>
    <w:div w:id="824711550">
      <w:bodyDiv w:val="1"/>
      <w:marLeft w:val="0"/>
      <w:marRight w:val="0"/>
      <w:marTop w:val="0"/>
      <w:marBottom w:val="0"/>
      <w:divBdr>
        <w:top w:val="none" w:sz="0" w:space="0" w:color="auto"/>
        <w:left w:val="none" w:sz="0" w:space="0" w:color="auto"/>
        <w:bottom w:val="none" w:sz="0" w:space="0" w:color="auto"/>
        <w:right w:val="none" w:sz="0" w:space="0" w:color="auto"/>
      </w:divBdr>
    </w:div>
    <w:div w:id="833763486">
      <w:bodyDiv w:val="1"/>
      <w:marLeft w:val="0"/>
      <w:marRight w:val="0"/>
      <w:marTop w:val="0"/>
      <w:marBottom w:val="0"/>
      <w:divBdr>
        <w:top w:val="none" w:sz="0" w:space="0" w:color="auto"/>
        <w:left w:val="none" w:sz="0" w:space="0" w:color="auto"/>
        <w:bottom w:val="none" w:sz="0" w:space="0" w:color="auto"/>
        <w:right w:val="none" w:sz="0" w:space="0" w:color="auto"/>
      </w:divBdr>
    </w:div>
    <w:div w:id="841703725">
      <w:bodyDiv w:val="1"/>
      <w:marLeft w:val="0"/>
      <w:marRight w:val="0"/>
      <w:marTop w:val="0"/>
      <w:marBottom w:val="0"/>
      <w:divBdr>
        <w:top w:val="none" w:sz="0" w:space="0" w:color="auto"/>
        <w:left w:val="none" w:sz="0" w:space="0" w:color="auto"/>
        <w:bottom w:val="none" w:sz="0" w:space="0" w:color="auto"/>
        <w:right w:val="none" w:sz="0" w:space="0" w:color="auto"/>
      </w:divBdr>
    </w:div>
    <w:div w:id="857348745">
      <w:bodyDiv w:val="1"/>
      <w:marLeft w:val="0"/>
      <w:marRight w:val="0"/>
      <w:marTop w:val="0"/>
      <w:marBottom w:val="0"/>
      <w:divBdr>
        <w:top w:val="none" w:sz="0" w:space="0" w:color="auto"/>
        <w:left w:val="none" w:sz="0" w:space="0" w:color="auto"/>
        <w:bottom w:val="none" w:sz="0" w:space="0" w:color="auto"/>
        <w:right w:val="none" w:sz="0" w:space="0" w:color="auto"/>
      </w:divBdr>
    </w:div>
    <w:div w:id="866911750">
      <w:bodyDiv w:val="1"/>
      <w:marLeft w:val="0"/>
      <w:marRight w:val="0"/>
      <w:marTop w:val="0"/>
      <w:marBottom w:val="0"/>
      <w:divBdr>
        <w:top w:val="none" w:sz="0" w:space="0" w:color="auto"/>
        <w:left w:val="none" w:sz="0" w:space="0" w:color="auto"/>
        <w:bottom w:val="none" w:sz="0" w:space="0" w:color="auto"/>
        <w:right w:val="none" w:sz="0" w:space="0" w:color="auto"/>
      </w:divBdr>
    </w:div>
    <w:div w:id="867791543">
      <w:bodyDiv w:val="1"/>
      <w:marLeft w:val="0"/>
      <w:marRight w:val="0"/>
      <w:marTop w:val="0"/>
      <w:marBottom w:val="0"/>
      <w:divBdr>
        <w:top w:val="none" w:sz="0" w:space="0" w:color="auto"/>
        <w:left w:val="none" w:sz="0" w:space="0" w:color="auto"/>
        <w:bottom w:val="none" w:sz="0" w:space="0" w:color="auto"/>
        <w:right w:val="none" w:sz="0" w:space="0" w:color="auto"/>
      </w:divBdr>
    </w:div>
    <w:div w:id="867985907">
      <w:bodyDiv w:val="1"/>
      <w:marLeft w:val="0"/>
      <w:marRight w:val="0"/>
      <w:marTop w:val="0"/>
      <w:marBottom w:val="0"/>
      <w:divBdr>
        <w:top w:val="none" w:sz="0" w:space="0" w:color="auto"/>
        <w:left w:val="none" w:sz="0" w:space="0" w:color="auto"/>
        <w:bottom w:val="none" w:sz="0" w:space="0" w:color="auto"/>
        <w:right w:val="none" w:sz="0" w:space="0" w:color="auto"/>
      </w:divBdr>
    </w:div>
    <w:div w:id="873080526">
      <w:bodyDiv w:val="1"/>
      <w:marLeft w:val="0"/>
      <w:marRight w:val="0"/>
      <w:marTop w:val="0"/>
      <w:marBottom w:val="0"/>
      <w:divBdr>
        <w:top w:val="none" w:sz="0" w:space="0" w:color="auto"/>
        <w:left w:val="none" w:sz="0" w:space="0" w:color="auto"/>
        <w:bottom w:val="none" w:sz="0" w:space="0" w:color="auto"/>
        <w:right w:val="none" w:sz="0" w:space="0" w:color="auto"/>
      </w:divBdr>
    </w:div>
    <w:div w:id="877668939">
      <w:bodyDiv w:val="1"/>
      <w:marLeft w:val="0"/>
      <w:marRight w:val="0"/>
      <w:marTop w:val="0"/>
      <w:marBottom w:val="0"/>
      <w:divBdr>
        <w:top w:val="none" w:sz="0" w:space="0" w:color="auto"/>
        <w:left w:val="none" w:sz="0" w:space="0" w:color="auto"/>
        <w:bottom w:val="none" w:sz="0" w:space="0" w:color="auto"/>
        <w:right w:val="none" w:sz="0" w:space="0" w:color="auto"/>
      </w:divBdr>
    </w:div>
    <w:div w:id="880437063">
      <w:bodyDiv w:val="1"/>
      <w:marLeft w:val="0"/>
      <w:marRight w:val="0"/>
      <w:marTop w:val="0"/>
      <w:marBottom w:val="0"/>
      <w:divBdr>
        <w:top w:val="none" w:sz="0" w:space="0" w:color="auto"/>
        <w:left w:val="none" w:sz="0" w:space="0" w:color="auto"/>
        <w:bottom w:val="none" w:sz="0" w:space="0" w:color="auto"/>
        <w:right w:val="none" w:sz="0" w:space="0" w:color="auto"/>
      </w:divBdr>
    </w:div>
    <w:div w:id="880676255">
      <w:bodyDiv w:val="1"/>
      <w:marLeft w:val="0"/>
      <w:marRight w:val="0"/>
      <w:marTop w:val="0"/>
      <w:marBottom w:val="0"/>
      <w:divBdr>
        <w:top w:val="none" w:sz="0" w:space="0" w:color="auto"/>
        <w:left w:val="none" w:sz="0" w:space="0" w:color="auto"/>
        <w:bottom w:val="none" w:sz="0" w:space="0" w:color="auto"/>
        <w:right w:val="none" w:sz="0" w:space="0" w:color="auto"/>
      </w:divBdr>
    </w:div>
    <w:div w:id="901522699">
      <w:bodyDiv w:val="1"/>
      <w:marLeft w:val="0"/>
      <w:marRight w:val="0"/>
      <w:marTop w:val="0"/>
      <w:marBottom w:val="0"/>
      <w:divBdr>
        <w:top w:val="none" w:sz="0" w:space="0" w:color="auto"/>
        <w:left w:val="none" w:sz="0" w:space="0" w:color="auto"/>
        <w:bottom w:val="none" w:sz="0" w:space="0" w:color="auto"/>
        <w:right w:val="none" w:sz="0" w:space="0" w:color="auto"/>
      </w:divBdr>
    </w:div>
    <w:div w:id="908922104">
      <w:bodyDiv w:val="1"/>
      <w:marLeft w:val="0"/>
      <w:marRight w:val="0"/>
      <w:marTop w:val="0"/>
      <w:marBottom w:val="0"/>
      <w:divBdr>
        <w:top w:val="none" w:sz="0" w:space="0" w:color="auto"/>
        <w:left w:val="none" w:sz="0" w:space="0" w:color="auto"/>
        <w:bottom w:val="none" w:sz="0" w:space="0" w:color="auto"/>
        <w:right w:val="none" w:sz="0" w:space="0" w:color="auto"/>
      </w:divBdr>
    </w:div>
    <w:div w:id="909730974">
      <w:bodyDiv w:val="1"/>
      <w:marLeft w:val="0"/>
      <w:marRight w:val="0"/>
      <w:marTop w:val="0"/>
      <w:marBottom w:val="0"/>
      <w:divBdr>
        <w:top w:val="none" w:sz="0" w:space="0" w:color="auto"/>
        <w:left w:val="none" w:sz="0" w:space="0" w:color="auto"/>
        <w:bottom w:val="none" w:sz="0" w:space="0" w:color="auto"/>
        <w:right w:val="none" w:sz="0" w:space="0" w:color="auto"/>
      </w:divBdr>
    </w:div>
    <w:div w:id="926426441">
      <w:bodyDiv w:val="1"/>
      <w:marLeft w:val="0"/>
      <w:marRight w:val="0"/>
      <w:marTop w:val="0"/>
      <w:marBottom w:val="0"/>
      <w:divBdr>
        <w:top w:val="none" w:sz="0" w:space="0" w:color="auto"/>
        <w:left w:val="none" w:sz="0" w:space="0" w:color="auto"/>
        <w:bottom w:val="none" w:sz="0" w:space="0" w:color="auto"/>
        <w:right w:val="none" w:sz="0" w:space="0" w:color="auto"/>
      </w:divBdr>
    </w:div>
    <w:div w:id="930813593">
      <w:bodyDiv w:val="1"/>
      <w:marLeft w:val="0"/>
      <w:marRight w:val="0"/>
      <w:marTop w:val="0"/>
      <w:marBottom w:val="0"/>
      <w:divBdr>
        <w:top w:val="none" w:sz="0" w:space="0" w:color="auto"/>
        <w:left w:val="none" w:sz="0" w:space="0" w:color="auto"/>
        <w:bottom w:val="none" w:sz="0" w:space="0" w:color="auto"/>
        <w:right w:val="none" w:sz="0" w:space="0" w:color="auto"/>
      </w:divBdr>
    </w:div>
    <w:div w:id="943422829">
      <w:bodyDiv w:val="1"/>
      <w:marLeft w:val="0"/>
      <w:marRight w:val="0"/>
      <w:marTop w:val="0"/>
      <w:marBottom w:val="0"/>
      <w:divBdr>
        <w:top w:val="none" w:sz="0" w:space="0" w:color="auto"/>
        <w:left w:val="none" w:sz="0" w:space="0" w:color="auto"/>
        <w:bottom w:val="none" w:sz="0" w:space="0" w:color="auto"/>
        <w:right w:val="none" w:sz="0" w:space="0" w:color="auto"/>
      </w:divBdr>
    </w:div>
    <w:div w:id="945431682">
      <w:bodyDiv w:val="1"/>
      <w:marLeft w:val="0"/>
      <w:marRight w:val="0"/>
      <w:marTop w:val="0"/>
      <w:marBottom w:val="0"/>
      <w:divBdr>
        <w:top w:val="none" w:sz="0" w:space="0" w:color="auto"/>
        <w:left w:val="none" w:sz="0" w:space="0" w:color="auto"/>
        <w:bottom w:val="none" w:sz="0" w:space="0" w:color="auto"/>
        <w:right w:val="none" w:sz="0" w:space="0" w:color="auto"/>
      </w:divBdr>
    </w:div>
    <w:div w:id="952054952">
      <w:bodyDiv w:val="1"/>
      <w:marLeft w:val="0"/>
      <w:marRight w:val="0"/>
      <w:marTop w:val="0"/>
      <w:marBottom w:val="0"/>
      <w:divBdr>
        <w:top w:val="none" w:sz="0" w:space="0" w:color="auto"/>
        <w:left w:val="none" w:sz="0" w:space="0" w:color="auto"/>
        <w:bottom w:val="none" w:sz="0" w:space="0" w:color="auto"/>
        <w:right w:val="none" w:sz="0" w:space="0" w:color="auto"/>
      </w:divBdr>
    </w:div>
    <w:div w:id="952370644">
      <w:bodyDiv w:val="1"/>
      <w:marLeft w:val="0"/>
      <w:marRight w:val="0"/>
      <w:marTop w:val="0"/>
      <w:marBottom w:val="0"/>
      <w:divBdr>
        <w:top w:val="none" w:sz="0" w:space="0" w:color="auto"/>
        <w:left w:val="none" w:sz="0" w:space="0" w:color="auto"/>
        <w:bottom w:val="none" w:sz="0" w:space="0" w:color="auto"/>
        <w:right w:val="none" w:sz="0" w:space="0" w:color="auto"/>
      </w:divBdr>
    </w:div>
    <w:div w:id="965817274">
      <w:bodyDiv w:val="1"/>
      <w:marLeft w:val="0"/>
      <w:marRight w:val="0"/>
      <w:marTop w:val="0"/>
      <w:marBottom w:val="0"/>
      <w:divBdr>
        <w:top w:val="none" w:sz="0" w:space="0" w:color="auto"/>
        <w:left w:val="none" w:sz="0" w:space="0" w:color="auto"/>
        <w:bottom w:val="none" w:sz="0" w:space="0" w:color="auto"/>
        <w:right w:val="none" w:sz="0" w:space="0" w:color="auto"/>
      </w:divBdr>
    </w:div>
    <w:div w:id="967200680">
      <w:bodyDiv w:val="1"/>
      <w:marLeft w:val="0"/>
      <w:marRight w:val="0"/>
      <w:marTop w:val="0"/>
      <w:marBottom w:val="0"/>
      <w:divBdr>
        <w:top w:val="none" w:sz="0" w:space="0" w:color="auto"/>
        <w:left w:val="none" w:sz="0" w:space="0" w:color="auto"/>
        <w:bottom w:val="none" w:sz="0" w:space="0" w:color="auto"/>
        <w:right w:val="none" w:sz="0" w:space="0" w:color="auto"/>
      </w:divBdr>
    </w:div>
    <w:div w:id="974414431">
      <w:bodyDiv w:val="1"/>
      <w:marLeft w:val="0"/>
      <w:marRight w:val="0"/>
      <w:marTop w:val="0"/>
      <w:marBottom w:val="0"/>
      <w:divBdr>
        <w:top w:val="none" w:sz="0" w:space="0" w:color="auto"/>
        <w:left w:val="none" w:sz="0" w:space="0" w:color="auto"/>
        <w:bottom w:val="none" w:sz="0" w:space="0" w:color="auto"/>
        <w:right w:val="none" w:sz="0" w:space="0" w:color="auto"/>
      </w:divBdr>
    </w:div>
    <w:div w:id="1035423338">
      <w:bodyDiv w:val="1"/>
      <w:marLeft w:val="0"/>
      <w:marRight w:val="0"/>
      <w:marTop w:val="0"/>
      <w:marBottom w:val="0"/>
      <w:divBdr>
        <w:top w:val="none" w:sz="0" w:space="0" w:color="auto"/>
        <w:left w:val="none" w:sz="0" w:space="0" w:color="auto"/>
        <w:bottom w:val="none" w:sz="0" w:space="0" w:color="auto"/>
        <w:right w:val="none" w:sz="0" w:space="0" w:color="auto"/>
      </w:divBdr>
    </w:div>
    <w:div w:id="1035501138">
      <w:bodyDiv w:val="1"/>
      <w:marLeft w:val="0"/>
      <w:marRight w:val="0"/>
      <w:marTop w:val="0"/>
      <w:marBottom w:val="0"/>
      <w:divBdr>
        <w:top w:val="none" w:sz="0" w:space="0" w:color="auto"/>
        <w:left w:val="none" w:sz="0" w:space="0" w:color="auto"/>
        <w:bottom w:val="none" w:sz="0" w:space="0" w:color="auto"/>
        <w:right w:val="none" w:sz="0" w:space="0" w:color="auto"/>
      </w:divBdr>
    </w:div>
    <w:div w:id="1047685083">
      <w:bodyDiv w:val="1"/>
      <w:marLeft w:val="0"/>
      <w:marRight w:val="0"/>
      <w:marTop w:val="0"/>
      <w:marBottom w:val="0"/>
      <w:divBdr>
        <w:top w:val="none" w:sz="0" w:space="0" w:color="auto"/>
        <w:left w:val="none" w:sz="0" w:space="0" w:color="auto"/>
        <w:bottom w:val="none" w:sz="0" w:space="0" w:color="auto"/>
        <w:right w:val="none" w:sz="0" w:space="0" w:color="auto"/>
      </w:divBdr>
    </w:div>
    <w:div w:id="1047799259">
      <w:bodyDiv w:val="1"/>
      <w:marLeft w:val="0"/>
      <w:marRight w:val="0"/>
      <w:marTop w:val="0"/>
      <w:marBottom w:val="0"/>
      <w:divBdr>
        <w:top w:val="none" w:sz="0" w:space="0" w:color="auto"/>
        <w:left w:val="none" w:sz="0" w:space="0" w:color="auto"/>
        <w:bottom w:val="none" w:sz="0" w:space="0" w:color="auto"/>
        <w:right w:val="none" w:sz="0" w:space="0" w:color="auto"/>
      </w:divBdr>
    </w:div>
    <w:div w:id="1050030560">
      <w:bodyDiv w:val="1"/>
      <w:marLeft w:val="0"/>
      <w:marRight w:val="0"/>
      <w:marTop w:val="0"/>
      <w:marBottom w:val="0"/>
      <w:divBdr>
        <w:top w:val="none" w:sz="0" w:space="0" w:color="auto"/>
        <w:left w:val="none" w:sz="0" w:space="0" w:color="auto"/>
        <w:bottom w:val="none" w:sz="0" w:space="0" w:color="auto"/>
        <w:right w:val="none" w:sz="0" w:space="0" w:color="auto"/>
      </w:divBdr>
    </w:div>
    <w:div w:id="1054277694">
      <w:bodyDiv w:val="1"/>
      <w:marLeft w:val="0"/>
      <w:marRight w:val="0"/>
      <w:marTop w:val="0"/>
      <w:marBottom w:val="0"/>
      <w:divBdr>
        <w:top w:val="none" w:sz="0" w:space="0" w:color="auto"/>
        <w:left w:val="none" w:sz="0" w:space="0" w:color="auto"/>
        <w:bottom w:val="none" w:sz="0" w:space="0" w:color="auto"/>
        <w:right w:val="none" w:sz="0" w:space="0" w:color="auto"/>
      </w:divBdr>
    </w:div>
    <w:div w:id="1068457035">
      <w:bodyDiv w:val="1"/>
      <w:marLeft w:val="0"/>
      <w:marRight w:val="0"/>
      <w:marTop w:val="0"/>
      <w:marBottom w:val="0"/>
      <w:divBdr>
        <w:top w:val="none" w:sz="0" w:space="0" w:color="auto"/>
        <w:left w:val="none" w:sz="0" w:space="0" w:color="auto"/>
        <w:bottom w:val="none" w:sz="0" w:space="0" w:color="auto"/>
        <w:right w:val="none" w:sz="0" w:space="0" w:color="auto"/>
      </w:divBdr>
    </w:div>
    <w:div w:id="1076318851">
      <w:bodyDiv w:val="1"/>
      <w:marLeft w:val="0"/>
      <w:marRight w:val="0"/>
      <w:marTop w:val="0"/>
      <w:marBottom w:val="0"/>
      <w:divBdr>
        <w:top w:val="none" w:sz="0" w:space="0" w:color="auto"/>
        <w:left w:val="none" w:sz="0" w:space="0" w:color="auto"/>
        <w:bottom w:val="none" w:sz="0" w:space="0" w:color="auto"/>
        <w:right w:val="none" w:sz="0" w:space="0" w:color="auto"/>
      </w:divBdr>
    </w:div>
    <w:div w:id="1086342275">
      <w:bodyDiv w:val="1"/>
      <w:marLeft w:val="0"/>
      <w:marRight w:val="0"/>
      <w:marTop w:val="0"/>
      <w:marBottom w:val="0"/>
      <w:divBdr>
        <w:top w:val="none" w:sz="0" w:space="0" w:color="auto"/>
        <w:left w:val="none" w:sz="0" w:space="0" w:color="auto"/>
        <w:bottom w:val="none" w:sz="0" w:space="0" w:color="auto"/>
        <w:right w:val="none" w:sz="0" w:space="0" w:color="auto"/>
      </w:divBdr>
    </w:div>
    <w:div w:id="1102988765">
      <w:bodyDiv w:val="1"/>
      <w:marLeft w:val="0"/>
      <w:marRight w:val="0"/>
      <w:marTop w:val="0"/>
      <w:marBottom w:val="0"/>
      <w:divBdr>
        <w:top w:val="none" w:sz="0" w:space="0" w:color="auto"/>
        <w:left w:val="none" w:sz="0" w:space="0" w:color="auto"/>
        <w:bottom w:val="none" w:sz="0" w:space="0" w:color="auto"/>
        <w:right w:val="none" w:sz="0" w:space="0" w:color="auto"/>
      </w:divBdr>
    </w:div>
    <w:div w:id="1107968648">
      <w:bodyDiv w:val="1"/>
      <w:marLeft w:val="0"/>
      <w:marRight w:val="0"/>
      <w:marTop w:val="0"/>
      <w:marBottom w:val="0"/>
      <w:divBdr>
        <w:top w:val="none" w:sz="0" w:space="0" w:color="auto"/>
        <w:left w:val="none" w:sz="0" w:space="0" w:color="auto"/>
        <w:bottom w:val="none" w:sz="0" w:space="0" w:color="auto"/>
        <w:right w:val="none" w:sz="0" w:space="0" w:color="auto"/>
      </w:divBdr>
    </w:div>
    <w:div w:id="1114255802">
      <w:bodyDiv w:val="1"/>
      <w:marLeft w:val="0"/>
      <w:marRight w:val="0"/>
      <w:marTop w:val="0"/>
      <w:marBottom w:val="0"/>
      <w:divBdr>
        <w:top w:val="none" w:sz="0" w:space="0" w:color="auto"/>
        <w:left w:val="none" w:sz="0" w:space="0" w:color="auto"/>
        <w:bottom w:val="none" w:sz="0" w:space="0" w:color="auto"/>
        <w:right w:val="none" w:sz="0" w:space="0" w:color="auto"/>
      </w:divBdr>
    </w:div>
    <w:div w:id="1121218501">
      <w:bodyDiv w:val="1"/>
      <w:marLeft w:val="0"/>
      <w:marRight w:val="0"/>
      <w:marTop w:val="0"/>
      <w:marBottom w:val="0"/>
      <w:divBdr>
        <w:top w:val="none" w:sz="0" w:space="0" w:color="auto"/>
        <w:left w:val="none" w:sz="0" w:space="0" w:color="auto"/>
        <w:bottom w:val="none" w:sz="0" w:space="0" w:color="auto"/>
        <w:right w:val="none" w:sz="0" w:space="0" w:color="auto"/>
      </w:divBdr>
    </w:div>
    <w:div w:id="1123885040">
      <w:bodyDiv w:val="1"/>
      <w:marLeft w:val="0"/>
      <w:marRight w:val="0"/>
      <w:marTop w:val="0"/>
      <w:marBottom w:val="0"/>
      <w:divBdr>
        <w:top w:val="none" w:sz="0" w:space="0" w:color="auto"/>
        <w:left w:val="none" w:sz="0" w:space="0" w:color="auto"/>
        <w:bottom w:val="none" w:sz="0" w:space="0" w:color="auto"/>
        <w:right w:val="none" w:sz="0" w:space="0" w:color="auto"/>
      </w:divBdr>
    </w:div>
    <w:div w:id="1129742287">
      <w:bodyDiv w:val="1"/>
      <w:marLeft w:val="0"/>
      <w:marRight w:val="0"/>
      <w:marTop w:val="0"/>
      <w:marBottom w:val="0"/>
      <w:divBdr>
        <w:top w:val="none" w:sz="0" w:space="0" w:color="auto"/>
        <w:left w:val="none" w:sz="0" w:space="0" w:color="auto"/>
        <w:bottom w:val="none" w:sz="0" w:space="0" w:color="auto"/>
        <w:right w:val="none" w:sz="0" w:space="0" w:color="auto"/>
      </w:divBdr>
    </w:div>
    <w:div w:id="1132557029">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59888278">
      <w:bodyDiv w:val="1"/>
      <w:marLeft w:val="0"/>
      <w:marRight w:val="0"/>
      <w:marTop w:val="0"/>
      <w:marBottom w:val="0"/>
      <w:divBdr>
        <w:top w:val="none" w:sz="0" w:space="0" w:color="auto"/>
        <w:left w:val="none" w:sz="0" w:space="0" w:color="auto"/>
        <w:bottom w:val="none" w:sz="0" w:space="0" w:color="auto"/>
        <w:right w:val="none" w:sz="0" w:space="0" w:color="auto"/>
      </w:divBdr>
    </w:div>
    <w:div w:id="1164199625">
      <w:bodyDiv w:val="1"/>
      <w:marLeft w:val="0"/>
      <w:marRight w:val="0"/>
      <w:marTop w:val="0"/>
      <w:marBottom w:val="0"/>
      <w:divBdr>
        <w:top w:val="none" w:sz="0" w:space="0" w:color="auto"/>
        <w:left w:val="none" w:sz="0" w:space="0" w:color="auto"/>
        <w:bottom w:val="none" w:sz="0" w:space="0" w:color="auto"/>
        <w:right w:val="none" w:sz="0" w:space="0" w:color="auto"/>
      </w:divBdr>
    </w:div>
    <w:div w:id="1171599125">
      <w:bodyDiv w:val="1"/>
      <w:marLeft w:val="0"/>
      <w:marRight w:val="0"/>
      <w:marTop w:val="0"/>
      <w:marBottom w:val="0"/>
      <w:divBdr>
        <w:top w:val="none" w:sz="0" w:space="0" w:color="auto"/>
        <w:left w:val="none" w:sz="0" w:space="0" w:color="auto"/>
        <w:bottom w:val="none" w:sz="0" w:space="0" w:color="auto"/>
        <w:right w:val="none" w:sz="0" w:space="0" w:color="auto"/>
      </w:divBdr>
    </w:div>
    <w:div w:id="1179806228">
      <w:bodyDiv w:val="1"/>
      <w:marLeft w:val="0"/>
      <w:marRight w:val="0"/>
      <w:marTop w:val="0"/>
      <w:marBottom w:val="0"/>
      <w:divBdr>
        <w:top w:val="none" w:sz="0" w:space="0" w:color="auto"/>
        <w:left w:val="none" w:sz="0" w:space="0" w:color="auto"/>
        <w:bottom w:val="none" w:sz="0" w:space="0" w:color="auto"/>
        <w:right w:val="none" w:sz="0" w:space="0" w:color="auto"/>
      </w:divBdr>
    </w:div>
    <w:div w:id="1184397305">
      <w:bodyDiv w:val="1"/>
      <w:marLeft w:val="0"/>
      <w:marRight w:val="0"/>
      <w:marTop w:val="0"/>
      <w:marBottom w:val="0"/>
      <w:divBdr>
        <w:top w:val="none" w:sz="0" w:space="0" w:color="auto"/>
        <w:left w:val="none" w:sz="0" w:space="0" w:color="auto"/>
        <w:bottom w:val="none" w:sz="0" w:space="0" w:color="auto"/>
        <w:right w:val="none" w:sz="0" w:space="0" w:color="auto"/>
      </w:divBdr>
    </w:div>
    <w:div w:id="1204250946">
      <w:bodyDiv w:val="1"/>
      <w:marLeft w:val="0"/>
      <w:marRight w:val="0"/>
      <w:marTop w:val="0"/>
      <w:marBottom w:val="0"/>
      <w:divBdr>
        <w:top w:val="none" w:sz="0" w:space="0" w:color="auto"/>
        <w:left w:val="none" w:sz="0" w:space="0" w:color="auto"/>
        <w:bottom w:val="none" w:sz="0" w:space="0" w:color="auto"/>
        <w:right w:val="none" w:sz="0" w:space="0" w:color="auto"/>
      </w:divBdr>
    </w:div>
    <w:div w:id="1211454708">
      <w:bodyDiv w:val="1"/>
      <w:marLeft w:val="0"/>
      <w:marRight w:val="0"/>
      <w:marTop w:val="0"/>
      <w:marBottom w:val="0"/>
      <w:divBdr>
        <w:top w:val="none" w:sz="0" w:space="0" w:color="auto"/>
        <w:left w:val="none" w:sz="0" w:space="0" w:color="auto"/>
        <w:bottom w:val="none" w:sz="0" w:space="0" w:color="auto"/>
        <w:right w:val="none" w:sz="0" w:space="0" w:color="auto"/>
      </w:divBdr>
    </w:div>
    <w:div w:id="1223832520">
      <w:bodyDiv w:val="1"/>
      <w:marLeft w:val="0"/>
      <w:marRight w:val="0"/>
      <w:marTop w:val="0"/>
      <w:marBottom w:val="0"/>
      <w:divBdr>
        <w:top w:val="none" w:sz="0" w:space="0" w:color="auto"/>
        <w:left w:val="none" w:sz="0" w:space="0" w:color="auto"/>
        <w:bottom w:val="none" w:sz="0" w:space="0" w:color="auto"/>
        <w:right w:val="none" w:sz="0" w:space="0" w:color="auto"/>
      </w:divBdr>
    </w:div>
    <w:div w:id="1229026645">
      <w:bodyDiv w:val="1"/>
      <w:marLeft w:val="0"/>
      <w:marRight w:val="0"/>
      <w:marTop w:val="0"/>
      <w:marBottom w:val="0"/>
      <w:divBdr>
        <w:top w:val="none" w:sz="0" w:space="0" w:color="auto"/>
        <w:left w:val="none" w:sz="0" w:space="0" w:color="auto"/>
        <w:bottom w:val="none" w:sz="0" w:space="0" w:color="auto"/>
        <w:right w:val="none" w:sz="0" w:space="0" w:color="auto"/>
      </w:divBdr>
    </w:div>
    <w:div w:id="1233347035">
      <w:bodyDiv w:val="1"/>
      <w:marLeft w:val="0"/>
      <w:marRight w:val="0"/>
      <w:marTop w:val="0"/>
      <w:marBottom w:val="0"/>
      <w:divBdr>
        <w:top w:val="none" w:sz="0" w:space="0" w:color="auto"/>
        <w:left w:val="none" w:sz="0" w:space="0" w:color="auto"/>
        <w:bottom w:val="none" w:sz="0" w:space="0" w:color="auto"/>
        <w:right w:val="none" w:sz="0" w:space="0" w:color="auto"/>
      </w:divBdr>
    </w:div>
    <w:div w:id="1239680054">
      <w:bodyDiv w:val="1"/>
      <w:marLeft w:val="0"/>
      <w:marRight w:val="0"/>
      <w:marTop w:val="0"/>
      <w:marBottom w:val="0"/>
      <w:divBdr>
        <w:top w:val="none" w:sz="0" w:space="0" w:color="auto"/>
        <w:left w:val="none" w:sz="0" w:space="0" w:color="auto"/>
        <w:bottom w:val="none" w:sz="0" w:space="0" w:color="auto"/>
        <w:right w:val="none" w:sz="0" w:space="0" w:color="auto"/>
      </w:divBdr>
    </w:div>
    <w:div w:id="1240020880">
      <w:bodyDiv w:val="1"/>
      <w:marLeft w:val="0"/>
      <w:marRight w:val="0"/>
      <w:marTop w:val="0"/>
      <w:marBottom w:val="0"/>
      <w:divBdr>
        <w:top w:val="none" w:sz="0" w:space="0" w:color="auto"/>
        <w:left w:val="none" w:sz="0" w:space="0" w:color="auto"/>
        <w:bottom w:val="none" w:sz="0" w:space="0" w:color="auto"/>
        <w:right w:val="none" w:sz="0" w:space="0" w:color="auto"/>
      </w:divBdr>
    </w:div>
    <w:div w:id="1245257529">
      <w:bodyDiv w:val="1"/>
      <w:marLeft w:val="0"/>
      <w:marRight w:val="0"/>
      <w:marTop w:val="0"/>
      <w:marBottom w:val="0"/>
      <w:divBdr>
        <w:top w:val="none" w:sz="0" w:space="0" w:color="auto"/>
        <w:left w:val="none" w:sz="0" w:space="0" w:color="auto"/>
        <w:bottom w:val="none" w:sz="0" w:space="0" w:color="auto"/>
        <w:right w:val="none" w:sz="0" w:space="0" w:color="auto"/>
      </w:divBdr>
    </w:div>
    <w:div w:id="1258249769">
      <w:bodyDiv w:val="1"/>
      <w:marLeft w:val="0"/>
      <w:marRight w:val="0"/>
      <w:marTop w:val="0"/>
      <w:marBottom w:val="0"/>
      <w:divBdr>
        <w:top w:val="none" w:sz="0" w:space="0" w:color="auto"/>
        <w:left w:val="none" w:sz="0" w:space="0" w:color="auto"/>
        <w:bottom w:val="none" w:sz="0" w:space="0" w:color="auto"/>
        <w:right w:val="none" w:sz="0" w:space="0" w:color="auto"/>
      </w:divBdr>
    </w:div>
    <w:div w:id="1271670178">
      <w:bodyDiv w:val="1"/>
      <w:marLeft w:val="0"/>
      <w:marRight w:val="0"/>
      <w:marTop w:val="0"/>
      <w:marBottom w:val="0"/>
      <w:divBdr>
        <w:top w:val="none" w:sz="0" w:space="0" w:color="auto"/>
        <w:left w:val="none" w:sz="0" w:space="0" w:color="auto"/>
        <w:bottom w:val="none" w:sz="0" w:space="0" w:color="auto"/>
        <w:right w:val="none" w:sz="0" w:space="0" w:color="auto"/>
      </w:divBdr>
    </w:div>
    <w:div w:id="1292521589">
      <w:bodyDiv w:val="1"/>
      <w:marLeft w:val="0"/>
      <w:marRight w:val="0"/>
      <w:marTop w:val="0"/>
      <w:marBottom w:val="0"/>
      <w:divBdr>
        <w:top w:val="none" w:sz="0" w:space="0" w:color="auto"/>
        <w:left w:val="none" w:sz="0" w:space="0" w:color="auto"/>
        <w:bottom w:val="none" w:sz="0" w:space="0" w:color="auto"/>
        <w:right w:val="none" w:sz="0" w:space="0" w:color="auto"/>
      </w:divBdr>
    </w:div>
    <w:div w:id="1298799084">
      <w:bodyDiv w:val="1"/>
      <w:marLeft w:val="0"/>
      <w:marRight w:val="0"/>
      <w:marTop w:val="0"/>
      <w:marBottom w:val="0"/>
      <w:divBdr>
        <w:top w:val="none" w:sz="0" w:space="0" w:color="auto"/>
        <w:left w:val="none" w:sz="0" w:space="0" w:color="auto"/>
        <w:bottom w:val="none" w:sz="0" w:space="0" w:color="auto"/>
        <w:right w:val="none" w:sz="0" w:space="0" w:color="auto"/>
      </w:divBdr>
    </w:div>
    <w:div w:id="1349524885">
      <w:bodyDiv w:val="1"/>
      <w:marLeft w:val="0"/>
      <w:marRight w:val="0"/>
      <w:marTop w:val="0"/>
      <w:marBottom w:val="0"/>
      <w:divBdr>
        <w:top w:val="none" w:sz="0" w:space="0" w:color="auto"/>
        <w:left w:val="none" w:sz="0" w:space="0" w:color="auto"/>
        <w:bottom w:val="none" w:sz="0" w:space="0" w:color="auto"/>
        <w:right w:val="none" w:sz="0" w:space="0" w:color="auto"/>
      </w:divBdr>
    </w:div>
    <w:div w:id="1359892439">
      <w:bodyDiv w:val="1"/>
      <w:marLeft w:val="0"/>
      <w:marRight w:val="0"/>
      <w:marTop w:val="0"/>
      <w:marBottom w:val="0"/>
      <w:divBdr>
        <w:top w:val="none" w:sz="0" w:space="0" w:color="auto"/>
        <w:left w:val="none" w:sz="0" w:space="0" w:color="auto"/>
        <w:bottom w:val="none" w:sz="0" w:space="0" w:color="auto"/>
        <w:right w:val="none" w:sz="0" w:space="0" w:color="auto"/>
      </w:divBdr>
    </w:div>
    <w:div w:id="1365712686">
      <w:bodyDiv w:val="1"/>
      <w:marLeft w:val="0"/>
      <w:marRight w:val="0"/>
      <w:marTop w:val="0"/>
      <w:marBottom w:val="0"/>
      <w:divBdr>
        <w:top w:val="none" w:sz="0" w:space="0" w:color="auto"/>
        <w:left w:val="none" w:sz="0" w:space="0" w:color="auto"/>
        <w:bottom w:val="none" w:sz="0" w:space="0" w:color="auto"/>
        <w:right w:val="none" w:sz="0" w:space="0" w:color="auto"/>
      </w:divBdr>
    </w:div>
    <w:div w:id="1367222351">
      <w:bodyDiv w:val="1"/>
      <w:marLeft w:val="0"/>
      <w:marRight w:val="0"/>
      <w:marTop w:val="0"/>
      <w:marBottom w:val="0"/>
      <w:divBdr>
        <w:top w:val="none" w:sz="0" w:space="0" w:color="auto"/>
        <w:left w:val="none" w:sz="0" w:space="0" w:color="auto"/>
        <w:bottom w:val="none" w:sz="0" w:space="0" w:color="auto"/>
        <w:right w:val="none" w:sz="0" w:space="0" w:color="auto"/>
      </w:divBdr>
    </w:div>
    <w:div w:id="1381129359">
      <w:bodyDiv w:val="1"/>
      <w:marLeft w:val="0"/>
      <w:marRight w:val="0"/>
      <w:marTop w:val="0"/>
      <w:marBottom w:val="0"/>
      <w:divBdr>
        <w:top w:val="none" w:sz="0" w:space="0" w:color="auto"/>
        <w:left w:val="none" w:sz="0" w:space="0" w:color="auto"/>
        <w:bottom w:val="none" w:sz="0" w:space="0" w:color="auto"/>
        <w:right w:val="none" w:sz="0" w:space="0" w:color="auto"/>
      </w:divBdr>
    </w:div>
    <w:div w:id="1401099960">
      <w:bodyDiv w:val="1"/>
      <w:marLeft w:val="0"/>
      <w:marRight w:val="0"/>
      <w:marTop w:val="0"/>
      <w:marBottom w:val="0"/>
      <w:divBdr>
        <w:top w:val="none" w:sz="0" w:space="0" w:color="auto"/>
        <w:left w:val="none" w:sz="0" w:space="0" w:color="auto"/>
        <w:bottom w:val="none" w:sz="0" w:space="0" w:color="auto"/>
        <w:right w:val="none" w:sz="0" w:space="0" w:color="auto"/>
      </w:divBdr>
    </w:div>
    <w:div w:id="1403523188">
      <w:bodyDiv w:val="1"/>
      <w:marLeft w:val="0"/>
      <w:marRight w:val="0"/>
      <w:marTop w:val="0"/>
      <w:marBottom w:val="0"/>
      <w:divBdr>
        <w:top w:val="none" w:sz="0" w:space="0" w:color="auto"/>
        <w:left w:val="none" w:sz="0" w:space="0" w:color="auto"/>
        <w:bottom w:val="none" w:sz="0" w:space="0" w:color="auto"/>
        <w:right w:val="none" w:sz="0" w:space="0" w:color="auto"/>
      </w:divBdr>
    </w:div>
    <w:div w:id="1428237153">
      <w:bodyDiv w:val="1"/>
      <w:marLeft w:val="0"/>
      <w:marRight w:val="0"/>
      <w:marTop w:val="0"/>
      <w:marBottom w:val="0"/>
      <w:divBdr>
        <w:top w:val="none" w:sz="0" w:space="0" w:color="auto"/>
        <w:left w:val="none" w:sz="0" w:space="0" w:color="auto"/>
        <w:bottom w:val="none" w:sz="0" w:space="0" w:color="auto"/>
        <w:right w:val="none" w:sz="0" w:space="0" w:color="auto"/>
      </w:divBdr>
    </w:div>
    <w:div w:id="1434548788">
      <w:bodyDiv w:val="1"/>
      <w:marLeft w:val="0"/>
      <w:marRight w:val="0"/>
      <w:marTop w:val="0"/>
      <w:marBottom w:val="0"/>
      <w:divBdr>
        <w:top w:val="none" w:sz="0" w:space="0" w:color="auto"/>
        <w:left w:val="none" w:sz="0" w:space="0" w:color="auto"/>
        <w:bottom w:val="none" w:sz="0" w:space="0" w:color="auto"/>
        <w:right w:val="none" w:sz="0" w:space="0" w:color="auto"/>
      </w:divBdr>
    </w:div>
    <w:div w:id="1435009010">
      <w:bodyDiv w:val="1"/>
      <w:marLeft w:val="0"/>
      <w:marRight w:val="0"/>
      <w:marTop w:val="0"/>
      <w:marBottom w:val="0"/>
      <w:divBdr>
        <w:top w:val="none" w:sz="0" w:space="0" w:color="auto"/>
        <w:left w:val="none" w:sz="0" w:space="0" w:color="auto"/>
        <w:bottom w:val="none" w:sz="0" w:space="0" w:color="auto"/>
        <w:right w:val="none" w:sz="0" w:space="0" w:color="auto"/>
      </w:divBdr>
    </w:div>
    <w:div w:id="1440098798">
      <w:bodyDiv w:val="1"/>
      <w:marLeft w:val="0"/>
      <w:marRight w:val="0"/>
      <w:marTop w:val="0"/>
      <w:marBottom w:val="0"/>
      <w:divBdr>
        <w:top w:val="none" w:sz="0" w:space="0" w:color="auto"/>
        <w:left w:val="none" w:sz="0" w:space="0" w:color="auto"/>
        <w:bottom w:val="none" w:sz="0" w:space="0" w:color="auto"/>
        <w:right w:val="none" w:sz="0" w:space="0" w:color="auto"/>
      </w:divBdr>
    </w:div>
    <w:div w:id="1474130625">
      <w:bodyDiv w:val="1"/>
      <w:marLeft w:val="0"/>
      <w:marRight w:val="0"/>
      <w:marTop w:val="0"/>
      <w:marBottom w:val="0"/>
      <w:divBdr>
        <w:top w:val="none" w:sz="0" w:space="0" w:color="auto"/>
        <w:left w:val="none" w:sz="0" w:space="0" w:color="auto"/>
        <w:bottom w:val="none" w:sz="0" w:space="0" w:color="auto"/>
        <w:right w:val="none" w:sz="0" w:space="0" w:color="auto"/>
      </w:divBdr>
    </w:div>
    <w:div w:id="1475366382">
      <w:bodyDiv w:val="1"/>
      <w:marLeft w:val="0"/>
      <w:marRight w:val="0"/>
      <w:marTop w:val="0"/>
      <w:marBottom w:val="0"/>
      <w:divBdr>
        <w:top w:val="none" w:sz="0" w:space="0" w:color="auto"/>
        <w:left w:val="none" w:sz="0" w:space="0" w:color="auto"/>
        <w:bottom w:val="none" w:sz="0" w:space="0" w:color="auto"/>
        <w:right w:val="none" w:sz="0" w:space="0" w:color="auto"/>
      </w:divBdr>
    </w:div>
    <w:div w:id="1476482462">
      <w:bodyDiv w:val="1"/>
      <w:marLeft w:val="0"/>
      <w:marRight w:val="0"/>
      <w:marTop w:val="0"/>
      <w:marBottom w:val="0"/>
      <w:divBdr>
        <w:top w:val="none" w:sz="0" w:space="0" w:color="auto"/>
        <w:left w:val="none" w:sz="0" w:space="0" w:color="auto"/>
        <w:bottom w:val="none" w:sz="0" w:space="0" w:color="auto"/>
        <w:right w:val="none" w:sz="0" w:space="0" w:color="auto"/>
      </w:divBdr>
    </w:div>
    <w:div w:id="1479298623">
      <w:bodyDiv w:val="1"/>
      <w:marLeft w:val="0"/>
      <w:marRight w:val="0"/>
      <w:marTop w:val="0"/>
      <w:marBottom w:val="0"/>
      <w:divBdr>
        <w:top w:val="none" w:sz="0" w:space="0" w:color="auto"/>
        <w:left w:val="none" w:sz="0" w:space="0" w:color="auto"/>
        <w:bottom w:val="none" w:sz="0" w:space="0" w:color="auto"/>
        <w:right w:val="none" w:sz="0" w:space="0" w:color="auto"/>
      </w:divBdr>
    </w:div>
    <w:div w:id="1483963489">
      <w:bodyDiv w:val="1"/>
      <w:marLeft w:val="0"/>
      <w:marRight w:val="0"/>
      <w:marTop w:val="0"/>
      <w:marBottom w:val="0"/>
      <w:divBdr>
        <w:top w:val="none" w:sz="0" w:space="0" w:color="auto"/>
        <w:left w:val="none" w:sz="0" w:space="0" w:color="auto"/>
        <w:bottom w:val="none" w:sz="0" w:space="0" w:color="auto"/>
        <w:right w:val="none" w:sz="0" w:space="0" w:color="auto"/>
      </w:divBdr>
    </w:div>
    <w:div w:id="1485469121">
      <w:bodyDiv w:val="1"/>
      <w:marLeft w:val="0"/>
      <w:marRight w:val="0"/>
      <w:marTop w:val="0"/>
      <w:marBottom w:val="0"/>
      <w:divBdr>
        <w:top w:val="none" w:sz="0" w:space="0" w:color="auto"/>
        <w:left w:val="none" w:sz="0" w:space="0" w:color="auto"/>
        <w:bottom w:val="none" w:sz="0" w:space="0" w:color="auto"/>
        <w:right w:val="none" w:sz="0" w:space="0" w:color="auto"/>
      </w:divBdr>
    </w:div>
    <w:div w:id="1488477134">
      <w:bodyDiv w:val="1"/>
      <w:marLeft w:val="0"/>
      <w:marRight w:val="0"/>
      <w:marTop w:val="0"/>
      <w:marBottom w:val="0"/>
      <w:divBdr>
        <w:top w:val="none" w:sz="0" w:space="0" w:color="auto"/>
        <w:left w:val="none" w:sz="0" w:space="0" w:color="auto"/>
        <w:bottom w:val="none" w:sz="0" w:space="0" w:color="auto"/>
        <w:right w:val="none" w:sz="0" w:space="0" w:color="auto"/>
      </w:divBdr>
    </w:div>
    <w:div w:id="1490250607">
      <w:bodyDiv w:val="1"/>
      <w:marLeft w:val="0"/>
      <w:marRight w:val="0"/>
      <w:marTop w:val="0"/>
      <w:marBottom w:val="0"/>
      <w:divBdr>
        <w:top w:val="none" w:sz="0" w:space="0" w:color="auto"/>
        <w:left w:val="none" w:sz="0" w:space="0" w:color="auto"/>
        <w:bottom w:val="none" w:sz="0" w:space="0" w:color="auto"/>
        <w:right w:val="none" w:sz="0" w:space="0" w:color="auto"/>
      </w:divBdr>
    </w:div>
    <w:div w:id="1500541324">
      <w:bodyDiv w:val="1"/>
      <w:marLeft w:val="0"/>
      <w:marRight w:val="0"/>
      <w:marTop w:val="0"/>
      <w:marBottom w:val="0"/>
      <w:divBdr>
        <w:top w:val="none" w:sz="0" w:space="0" w:color="auto"/>
        <w:left w:val="none" w:sz="0" w:space="0" w:color="auto"/>
        <w:bottom w:val="none" w:sz="0" w:space="0" w:color="auto"/>
        <w:right w:val="none" w:sz="0" w:space="0" w:color="auto"/>
      </w:divBdr>
    </w:div>
    <w:div w:id="1515653525">
      <w:bodyDiv w:val="1"/>
      <w:marLeft w:val="0"/>
      <w:marRight w:val="0"/>
      <w:marTop w:val="0"/>
      <w:marBottom w:val="0"/>
      <w:divBdr>
        <w:top w:val="none" w:sz="0" w:space="0" w:color="auto"/>
        <w:left w:val="none" w:sz="0" w:space="0" w:color="auto"/>
        <w:bottom w:val="none" w:sz="0" w:space="0" w:color="auto"/>
        <w:right w:val="none" w:sz="0" w:space="0" w:color="auto"/>
      </w:divBdr>
    </w:div>
    <w:div w:id="1521428735">
      <w:bodyDiv w:val="1"/>
      <w:marLeft w:val="0"/>
      <w:marRight w:val="0"/>
      <w:marTop w:val="0"/>
      <w:marBottom w:val="0"/>
      <w:divBdr>
        <w:top w:val="none" w:sz="0" w:space="0" w:color="auto"/>
        <w:left w:val="none" w:sz="0" w:space="0" w:color="auto"/>
        <w:bottom w:val="none" w:sz="0" w:space="0" w:color="auto"/>
        <w:right w:val="none" w:sz="0" w:space="0" w:color="auto"/>
      </w:divBdr>
    </w:div>
    <w:div w:id="1533684695">
      <w:bodyDiv w:val="1"/>
      <w:marLeft w:val="0"/>
      <w:marRight w:val="0"/>
      <w:marTop w:val="0"/>
      <w:marBottom w:val="0"/>
      <w:divBdr>
        <w:top w:val="none" w:sz="0" w:space="0" w:color="auto"/>
        <w:left w:val="none" w:sz="0" w:space="0" w:color="auto"/>
        <w:bottom w:val="none" w:sz="0" w:space="0" w:color="auto"/>
        <w:right w:val="none" w:sz="0" w:space="0" w:color="auto"/>
      </w:divBdr>
    </w:div>
    <w:div w:id="1535734358">
      <w:bodyDiv w:val="1"/>
      <w:marLeft w:val="0"/>
      <w:marRight w:val="0"/>
      <w:marTop w:val="0"/>
      <w:marBottom w:val="0"/>
      <w:divBdr>
        <w:top w:val="none" w:sz="0" w:space="0" w:color="auto"/>
        <w:left w:val="none" w:sz="0" w:space="0" w:color="auto"/>
        <w:bottom w:val="none" w:sz="0" w:space="0" w:color="auto"/>
        <w:right w:val="none" w:sz="0" w:space="0" w:color="auto"/>
      </w:divBdr>
    </w:div>
    <w:div w:id="1536767543">
      <w:bodyDiv w:val="1"/>
      <w:marLeft w:val="0"/>
      <w:marRight w:val="0"/>
      <w:marTop w:val="0"/>
      <w:marBottom w:val="0"/>
      <w:divBdr>
        <w:top w:val="none" w:sz="0" w:space="0" w:color="auto"/>
        <w:left w:val="none" w:sz="0" w:space="0" w:color="auto"/>
        <w:bottom w:val="none" w:sz="0" w:space="0" w:color="auto"/>
        <w:right w:val="none" w:sz="0" w:space="0" w:color="auto"/>
      </w:divBdr>
    </w:div>
    <w:div w:id="1542788284">
      <w:bodyDiv w:val="1"/>
      <w:marLeft w:val="0"/>
      <w:marRight w:val="0"/>
      <w:marTop w:val="0"/>
      <w:marBottom w:val="0"/>
      <w:divBdr>
        <w:top w:val="none" w:sz="0" w:space="0" w:color="auto"/>
        <w:left w:val="none" w:sz="0" w:space="0" w:color="auto"/>
        <w:bottom w:val="none" w:sz="0" w:space="0" w:color="auto"/>
        <w:right w:val="none" w:sz="0" w:space="0" w:color="auto"/>
      </w:divBdr>
    </w:div>
    <w:div w:id="1544057237">
      <w:bodyDiv w:val="1"/>
      <w:marLeft w:val="0"/>
      <w:marRight w:val="0"/>
      <w:marTop w:val="0"/>
      <w:marBottom w:val="0"/>
      <w:divBdr>
        <w:top w:val="none" w:sz="0" w:space="0" w:color="auto"/>
        <w:left w:val="none" w:sz="0" w:space="0" w:color="auto"/>
        <w:bottom w:val="none" w:sz="0" w:space="0" w:color="auto"/>
        <w:right w:val="none" w:sz="0" w:space="0" w:color="auto"/>
      </w:divBdr>
    </w:div>
    <w:div w:id="1548026905">
      <w:bodyDiv w:val="1"/>
      <w:marLeft w:val="0"/>
      <w:marRight w:val="0"/>
      <w:marTop w:val="0"/>
      <w:marBottom w:val="0"/>
      <w:divBdr>
        <w:top w:val="none" w:sz="0" w:space="0" w:color="auto"/>
        <w:left w:val="none" w:sz="0" w:space="0" w:color="auto"/>
        <w:bottom w:val="none" w:sz="0" w:space="0" w:color="auto"/>
        <w:right w:val="none" w:sz="0" w:space="0" w:color="auto"/>
      </w:divBdr>
    </w:div>
    <w:div w:id="1554343084">
      <w:bodyDiv w:val="1"/>
      <w:marLeft w:val="0"/>
      <w:marRight w:val="0"/>
      <w:marTop w:val="0"/>
      <w:marBottom w:val="0"/>
      <w:divBdr>
        <w:top w:val="none" w:sz="0" w:space="0" w:color="auto"/>
        <w:left w:val="none" w:sz="0" w:space="0" w:color="auto"/>
        <w:bottom w:val="none" w:sz="0" w:space="0" w:color="auto"/>
        <w:right w:val="none" w:sz="0" w:space="0" w:color="auto"/>
      </w:divBdr>
    </w:div>
    <w:div w:id="1583682685">
      <w:bodyDiv w:val="1"/>
      <w:marLeft w:val="0"/>
      <w:marRight w:val="0"/>
      <w:marTop w:val="0"/>
      <w:marBottom w:val="0"/>
      <w:divBdr>
        <w:top w:val="none" w:sz="0" w:space="0" w:color="auto"/>
        <w:left w:val="none" w:sz="0" w:space="0" w:color="auto"/>
        <w:bottom w:val="none" w:sz="0" w:space="0" w:color="auto"/>
        <w:right w:val="none" w:sz="0" w:space="0" w:color="auto"/>
      </w:divBdr>
    </w:div>
    <w:div w:id="1588005406">
      <w:bodyDiv w:val="1"/>
      <w:marLeft w:val="0"/>
      <w:marRight w:val="0"/>
      <w:marTop w:val="0"/>
      <w:marBottom w:val="0"/>
      <w:divBdr>
        <w:top w:val="none" w:sz="0" w:space="0" w:color="auto"/>
        <w:left w:val="none" w:sz="0" w:space="0" w:color="auto"/>
        <w:bottom w:val="none" w:sz="0" w:space="0" w:color="auto"/>
        <w:right w:val="none" w:sz="0" w:space="0" w:color="auto"/>
      </w:divBdr>
    </w:div>
    <w:div w:id="1606501347">
      <w:bodyDiv w:val="1"/>
      <w:marLeft w:val="0"/>
      <w:marRight w:val="0"/>
      <w:marTop w:val="0"/>
      <w:marBottom w:val="0"/>
      <w:divBdr>
        <w:top w:val="none" w:sz="0" w:space="0" w:color="auto"/>
        <w:left w:val="none" w:sz="0" w:space="0" w:color="auto"/>
        <w:bottom w:val="none" w:sz="0" w:space="0" w:color="auto"/>
        <w:right w:val="none" w:sz="0" w:space="0" w:color="auto"/>
      </w:divBdr>
    </w:div>
    <w:div w:id="1655719998">
      <w:bodyDiv w:val="1"/>
      <w:marLeft w:val="0"/>
      <w:marRight w:val="0"/>
      <w:marTop w:val="0"/>
      <w:marBottom w:val="0"/>
      <w:divBdr>
        <w:top w:val="none" w:sz="0" w:space="0" w:color="auto"/>
        <w:left w:val="none" w:sz="0" w:space="0" w:color="auto"/>
        <w:bottom w:val="none" w:sz="0" w:space="0" w:color="auto"/>
        <w:right w:val="none" w:sz="0" w:space="0" w:color="auto"/>
      </w:divBdr>
    </w:div>
    <w:div w:id="1679503728">
      <w:bodyDiv w:val="1"/>
      <w:marLeft w:val="0"/>
      <w:marRight w:val="0"/>
      <w:marTop w:val="0"/>
      <w:marBottom w:val="0"/>
      <w:divBdr>
        <w:top w:val="none" w:sz="0" w:space="0" w:color="auto"/>
        <w:left w:val="none" w:sz="0" w:space="0" w:color="auto"/>
        <w:bottom w:val="none" w:sz="0" w:space="0" w:color="auto"/>
        <w:right w:val="none" w:sz="0" w:space="0" w:color="auto"/>
      </w:divBdr>
    </w:div>
    <w:div w:id="1684283512">
      <w:bodyDiv w:val="1"/>
      <w:marLeft w:val="0"/>
      <w:marRight w:val="0"/>
      <w:marTop w:val="0"/>
      <w:marBottom w:val="0"/>
      <w:divBdr>
        <w:top w:val="none" w:sz="0" w:space="0" w:color="auto"/>
        <w:left w:val="none" w:sz="0" w:space="0" w:color="auto"/>
        <w:bottom w:val="none" w:sz="0" w:space="0" w:color="auto"/>
        <w:right w:val="none" w:sz="0" w:space="0" w:color="auto"/>
      </w:divBdr>
    </w:div>
    <w:div w:id="1699353459">
      <w:bodyDiv w:val="1"/>
      <w:marLeft w:val="0"/>
      <w:marRight w:val="0"/>
      <w:marTop w:val="0"/>
      <w:marBottom w:val="0"/>
      <w:divBdr>
        <w:top w:val="none" w:sz="0" w:space="0" w:color="auto"/>
        <w:left w:val="none" w:sz="0" w:space="0" w:color="auto"/>
        <w:bottom w:val="none" w:sz="0" w:space="0" w:color="auto"/>
        <w:right w:val="none" w:sz="0" w:space="0" w:color="auto"/>
      </w:divBdr>
    </w:div>
    <w:div w:id="1700080793">
      <w:bodyDiv w:val="1"/>
      <w:marLeft w:val="0"/>
      <w:marRight w:val="0"/>
      <w:marTop w:val="0"/>
      <w:marBottom w:val="0"/>
      <w:divBdr>
        <w:top w:val="none" w:sz="0" w:space="0" w:color="auto"/>
        <w:left w:val="none" w:sz="0" w:space="0" w:color="auto"/>
        <w:bottom w:val="none" w:sz="0" w:space="0" w:color="auto"/>
        <w:right w:val="none" w:sz="0" w:space="0" w:color="auto"/>
      </w:divBdr>
    </w:div>
    <w:div w:id="1700277933">
      <w:bodyDiv w:val="1"/>
      <w:marLeft w:val="0"/>
      <w:marRight w:val="0"/>
      <w:marTop w:val="0"/>
      <w:marBottom w:val="0"/>
      <w:divBdr>
        <w:top w:val="none" w:sz="0" w:space="0" w:color="auto"/>
        <w:left w:val="none" w:sz="0" w:space="0" w:color="auto"/>
        <w:bottom w:val="none" w:sz="0" w:space="0" w:color="auto"/>
        <w:right w:val="none" w:sz="0" w:space="0" w:color="auto"/>
      </w:divBdr>
    </w:div>
    <w:div w:id="1700353409">
      <w:bodyDiv w:val="1"/>
      <w:marLeft w:val="0"/>
      <w:marRight w:val="0"/>
      <w:marTop w:val="0"/>
      <w:marBottom w:val="0"/>
      <w:divBdr>
        <w:top w:val="none" w:sz="0" w:space="0" w:color="auto"/>
        <w:left w:val="none" w:sz="0" w:space="0" w:color="auto"/>
        <w:bottom w:val="none" w:sz="0" w:space="0" w:color="auto"/>
        <w:right w:val="none" w:sz="0" w:space="0" w:color="auto"/>
      </w:divBdr>
    </w:div>
    <w:div w:id="1707295263">
      <w:bodyDiv w:val="1"/>
      <w:marLeft w:val="0"/>
      <w:marRight w:val="0"/>
      <w:marTop w:val="0"/>
      <w:marBottom w:val="0"/>
      <w:divBdr>
        <w:top w:val="none" w:sz="0" w:space="0" w:color="auto"/>
        <w:left w:val="none" w:sz="0" w:space="0" w:color="auto"/>
        <w:bottom w:val="none" w:sz="0" w:space="0" w:color="auto"/>
        <w:right w:val="none" w:sz="0" w:space="0" w:color="auto"/>
      </w:divBdr>
    </w:div>
    <w:div w:id="1709722143">
      <w:bodyDiv w:val="1"/>
      <w:marLeft w:val="0"/>
      <w:marRight w:val="0"/>
      <w:marTop w:val="0"/>
      <w:marBottom w:val="0"/>
      <w:divBdr>
        <w:top w:val="none" w:sz="0" w:space="0" w:color="auto"/>
        <w:left w:val="none" w:sz="0" w:space="0" w:color="auto"/>
        <w:bottom w:val="none" w:sz="0" w:space="0" w:color="auto"/>
        <w:right w:val="none" w:sz="0" w:space="0" w:color="auto"/>
      </w:divBdr>
    </w:div>
    <w:div w:id="1733894128">
      <w:bodyDiv w:val="1"/>
      <w:marLeft w:val="0"/>
      <w:marRight w:val="0"/>
      <w:marTop w:val="0"/>
      <w:marBottom w:val="0"/>
      <w:divBdr>
        <w:top w:val="none" w:sz="0" w:space="0" w:color="auto"/>
        <w:left w:val="none" w:sz="0" w:space="0" w:color="auto"/>
        <w:bottom w:val="none" w:sz="0" w:space="0" w:color="auto"/>
        <w:right w:val="none" w:sz="0" w:space="0" w:color="auto"/>
      </w:divBdr>
    </w:div>
    <w:div w:id="1751350160">
      <w:bodyDiv w:val="1"/>
      <w:marLeft w:val="0"/>
      <w:marRight w:val="0"/>
      <w:marTop w:val="0"/>
      <w:marBottom w:val="0"/>
      <w:divBdr>
        <w:top w:val="none" w:sz="0" w:space="0" w:color="auto"/>
        <w:left w:val="none" w:sz="0" w:space="0" w:color="auto"/>
        <w:bottom w:val="none" w:sz="0" w:space="0" w:color="auto"/>
        <w:right w:val="none" w:sz="0" w:space="0" w:color="auto"/>
      </w:divBdr>
    </w:div>
    <w:div w:id="1752308212">
      <w:bodyDiv w:val="1"/>
      <w:marLeft w:val="0"/>
      <w:marRight w:val="0"/>
      <w:marTop w:val="0"/>
      <w:marBottom w:val="0"/>
      <w:divBdr>
        <w:top w:val="none" w:sz="0" w:space="0" w:color="auto"/>
        <w:left w:val="none" w:sz="0" w:space="0" w:color="auto"/>
        <w:bottom w:val="none" w:sz="0" w:space="0" w:color="auto"/>
        <w:right w:val="none" w:sz="0" w:space="0" w:color="auto"/>
      </w:divBdr>
    </w:div>
    <w:div w:id="1764377687">
      <w:bodyDiv w:val="1"/>
      <w:marLeft w:val="0"/>
      <w:marRight w:val="0"/>
      <w:marTop w:val="0"/>
      <w:marBottom w:val="0"/>
      <w:divBdr>
        <w:top w:val="none" w:sz="0" w:space="0" w:color="auto"/>
        <w:left w:val="none" w:sz="0" w:space="0" w:color="auto"/>
        <w:bottom w:val="none" w:sz="0" w:space="0" w:color="auto"/>
        <w:right w:val="none" w:sz="0" w:space="0" w:color="auto"/>
      </w:divBdr>
    </w:div>
    <w:div w:id="1765832868">
      <w:bodyDiv w:val="1"/>
      <w:marLeft w:val="0"/>
      <w:marRight w:val="0"/>
      <w:marTop w:val="0"/>
      <w:marBottom w:val="0"/>
      <w:divBdr>
        <w:top w:val="none" w:sz="0" w:space="0" w:color="auto"/>
        <w:left w:val="none" w:sz="0" w:space="0" w:color="auto"/>
        <w:bottom w:val="none" w:sz="0" w:space="0" w:color="auto"/>
        <w:right w:val="none" w:sz="0" w:space="0" w:color="auto"/>
      </w:divBdr>
    </w:div>
    <w:div w:id="1773695891">
      <w:bodyDiv w:val="1"/>
      <w:marLeft w:val="0"/>
      <w:marRight w:val="0"/>
      <w:marTop w:val="0"/>
      <w:marBottom w:val="0"/>
      <w:divBdr>
        <w:top w:val="none" w:sz="0" w:space="0" w:color="auto"/>
        <w:left w:val="none" w:sz="0" w:space="0" w:color="auto"/>
        <w:bottom w:val="none" w:sz="0" w:space="0" w:color="auto"/>
        <w:right w:val="none" w:sz="0" w:space="0" w:color="auto"/>
      </w:divBdr>
    </w:div>
    <w:div w:id="1776755539">
      <w:bodyDiv w:val="1"/>
      <w:marLeft w:val="0"/>
      <w:marRight w:val="0"/>
      <w:marTop w:val="0"/>
      <w:marBottom w:val="0"/>
      <w:divBdr>
        <w:top w:val="none" w:sz="0" w:space="0" w:color="auto"/>
        <w:left w:val="none" w:sz="0" w:space="0" w:color="auto"/>
        <w:bottom w:val="none" w:sz="0" w:space="0" w:color="auto"/>
        <w:right w:val="none" w:sz="0" w:space="0" w:color="auto"/>
      </w:divBdr>
    </w:div>
    <w:div w:id="1779985727">
      <w:bodyDiv w:val="1"/>
      <w:marLeft w:val="0"/>
      <w:marRight w:val="0"/>
      <w:marTop w:val="0"/>
      <w:marBottom w:val="0"/>
      <w:divBdr>
        <w:top w:val="none" w:sz="0" w:space="0" w:color="auto"/>
        <w:left w:val="none" w:sz="0" w:space="0" w:color="auto"/>
        <w:bottom w:val="none" w:sz="0" w:space="0" w:color="auto"/>
        <w:right w:val="none" w:sz="0" w:space="0" w:color="auto"/>
      </w:divBdr>
    </w:div>
    <w:div w:id="1781870613">
      <w:bodyDiv w:val="1"/>
      <w:marLeft w:val="0"/>
      <w:marRight w:val="0"/>
      <w:marTop w:val="0"/>
      <w:marBottom w:val="0"/>
      <w:divBdr>
        <w:top w:val="none" w:sz="0" w:space="0" w:color="auto"/>
        <w:left w:val="none" w:sz="0" w:space="0" w:color="auto"/>
        <w:bottom w:val="none" w:sz="0" w:space="0" w:color="auto"/>
        <w:right w:val="none" w:sz="0" w:space="0" w:color="auto"/>
      </w:divBdr>
    </w:div>
    <w:div w:id="1790514565">
      <w:bodyDiv w:val="1"/>
      <w:marLeft w:val="0"/>
      <w:marRight w:val="0"/>
      <w:marTop w:val="0"/>
      <w:marBottom w:val="0"/>
      <w:divBdr>
        <w:top w:val="none" w:sz="0" w:space="0" w:color="auto"/>
        <w:left w:val="none" w:sz="0" w:space="0" w:color="auto"/>
        <w:bottom w:val="none" w:sz="0" w:space="0" w:color="auto"/>
        <w:right w:val="none" w:sz="0" w:space="0" w:color="auto"/>
      </w:divBdr>
    </w:div>
    <w:div w:id="1793402667">
      <w:bodyDiv w:val="1"/>
      <w:marLeft w:val="0"/>
      <w:marRight w:val="0"/>
      <w:marTop w:val="0"/>
      <w:marBottom w:val="0"/>
      <w:divBdr>
        <w:top w:val="none" w:sz="0" w:space="0" w:color="auto"/>
        <w:left w:val="none" w:sz="0" w:space="0" w:color="auto"/>
        <w:bottom w:val="none" w:sz="0" w:space="0" w:color="auto"/>
        <w:right w:val="none" w:sz="0" w:space="0" w:color="auto"/>
      </w:divBdr>
    </w:div>
    <w:div w:id="1797212239">
      <w:bodyDiv w:val="1"/>
      <w:marLeft w:val="0"/>
      <w:marRight w:val="0"/>
      <w:marTop w:val="0"/>
      <w:marBottom w:val="0"/>
      <w:divBdr>
        <w:top w:val="none" w:sz="0" w:space="0" w:color="auto"/>
        <w:left w:val="none" w:sz="0" w:space="0" w:color="auto"/>
        <w:bottom w:val="none" w:sz="0" w:space="0" w:color="auto"/>
        <w:right w:val="none" w:sz="0" w:space="0" w:color="auto"/>
      </w:divBdr>
    </w:div>
    <w:div w:id="1798330972">
      <w:bodyDiv w:val="1"/>
      <w:marLeft w:val="0"/>
      <w:marRight w:val="0"/>
      <w:marTop w:val="0"/>
      <w:marBottom w:val="0"/>
      <w:divBdr>
        <w:top w:val="none" w:sz="0" w:space="0" w:color="auto"/>
        <w:left w:val="none" w:sz="0" w:space="0" w:color="auto"/>
        <w:bottom w:val="none" w:sz="0" w:space="0" w:color="auto"/>
        <w:right w:val="none" w:sz="0" w:space="0" w:color="auto"/>
      </w:divBdr>
    </w:div>
    <w:div w:id="1799913378">
      <w:bodyDiv w:val="1"/>
      <w:marLeft w:val="0"/>
      <w:marRight w:val="0"/>
      <w:marTop w:val="0"/>
      <w:marBottom w:val="0"/>
      <w:divBdr>
        <w:top w:val="none" w:sz="0" w:space="0" w:color="auto"/>
        <w:left w:val="none" w:sz="0" w:space="0" w:color="auto"/>
        <w:bottom w:val="none" w:sz="0" w:space="0" w:color="auto"/>
        <w:right w:val="none" w:sz="0" w:space="0" w:color="auto"/>
      </w:divBdr>
    </w:div>
    <w:div w:id="1805998202">
      <w:bodyDiv w:val="1"/>
      <w:marLeft w:val="0"/>
      <w:marRight w:val="0"/>
      <w:marTop w:val="0"/>
      <w:marBottom w:val="0"/>
      <w:divBdr>
        <w:top w:val="none" w:sz="0" w:space="0" w:color="auto"/>
        <w:left w:val="none" w:sz="0" w:space="0" w:color="auto"/>
        <w:bottom w:val="none" w:sz="0" w:space="0" w:color="auto"/>
        <w:right w:val="none" w:sz="0" w:space="0" w:color="auto"/>
      </w:divBdr>
    </w:div>
    <w:div w:id="1821725344">
      <w:bodyDiv w:val="1"/>
      <w:marLeft w:val="0"/>
      <w:marRight w:val="0"/>
      <w:marTop w:val="0"/>
      <w:marBottom w:val="0"/>
      <w:divBdr>
        <w:top w:val="none" w:sz="0" w:space="0" w:color="auto"/>
        <w:left w:val="none" w:sz="0" w:space="0" w:color="auto"/>
        <w:bottom w:val="none" w:sz="0" w:space="0" w:color="auto"/>
        <w:right w:val="none" w:sz="0" w:space="0" w:color="auto"/>
      </w:divBdr>
    </w:div>
    <w:div w:id="1834447995">
      <w:bodyDiv w:val="1"/>
      <w:marLeft w:val="0"/>
      <w:marRight w:val="0"/>
      <w:marTop w:val="0"/>
      <w:marBottom w:val="0"/>
      <w:divBdr>
        <w:top w:val="none" w:sz="0" w:space="0" w:color="auto"/>
        <w:left w:val="none" w:sz="0" w:space="0" w:color="auto"/>
        <w:bottom w:val="none" w:sz="0" w:space="0" w:color="auto"/>
        <w:right w:val="none" w:sz="0" w:space="0" w:color="auto"/>
      </w:divBdr>
    </w:div>
    <w:div w:id="1839151900">
      <w:bodyDiv w:val="1"/>
      <w:marLeft w:val="0"/>
      <w:marRight w:val="0"/>
      <w:marTop w:val="0"/>
      <w:marBottom w:val="0"/>
      <w:divBdr>
        <w:top w:val="none" w:sz="0" w:space="0" w:color="auto"/>
        <w:left w:val="none" w:sz="0" w:space="0" w:color="auto"/>
        <w:bottom w:val="none" w:sz="0" w:space="0" w:color="auto"/>
        <w:right w:val="none" w:sz="0" w:space="0" w:color="auto"/>
      </w:divBdr>
    </w:div>
    <w:div w:id="1845168795">
      <w:bodyDiv w:val="1"/>
      <w:marLeft w:val="0"/>
      <w:marRight w:val="0"/>
      <w:marTop w:val="0"/>
      <w:marBottom w:val="0"/>
      <w:divBdr>
        <w:top w:val="none" w:sz="0" w:space="0" w:color="auto"/>
        <w:left w:val="none" w:sz="0" w:space="0" w:color="auto"/>
        <w:bottom w:val="none" w:sz="0" w:space="0" w:color="auto"/>
        <w:right w:val="none" w:sz="0" w:space="0" w:color="auto"/>
      </w:divBdr>
    </w:div>
    <w:div w:id="1851407736">
      <w:bodyDiv w:val="1"/>
      <w:marLeft w:val="0"/>
      <w:marRight w:val="0"/>
      <w:marTop w:val="0"/>
      <w:marBottom w:val="0"/>
      <w:divBdr>
        <w:top w:val="none" w:sz="0" w:space="0" w:color="auto"/>
        <w:left w:val="none" w:sz="0" w:space="0" w:color="auto"/>
        <w:bottom w:val="none" w:sz="0" w:space="0" w:color="auto"/>
        <w:right w:val="none" w:sz="0" w:space="0" w:color="auto"/>
      </w:divBdr>
    </w:div>
    <w:div w:id="1854803418">
      <w:bodyDiv w:val="1"/>
      <w:marLeft w:val="0"/>
      <w:marRight w:val="0"/>
      <w:marTop w:val="0"/>
      <w:marBottom w:val="0"/>
      <w:divBdr>
        <w:top w:val="none" w:sz="0" w:space="0" w:color="auto"/>
        <w:left w:val="none" w:sz="0" w:space="0" w:color="auto"/>
        <w:bottom w:val="none" w:sz="0" w:space="0" w:color="auto"/>
        <w:right w:val="none" w:sz="0" w:space="0" w:color="auto"/>
      </w:divBdr>
    </w:div>
    <w:div w:id="1868523841">
      <w:bodyDiv w:val="1"/>
      <w:marLeft w:val="0"/>
      <w:marRight w:val="0"/>
      <w:marTop w:val="0"/>
      <w:marBottom w:val="0"/>
      <w:divBdr>
        <w:top w:val="none" w:sz="0" w:space="0" w:color="auto"/>
        <w:left w:val="none" w:sz="0" w:space="0" w:color="auto"/>
        <w:bottom w:val="none" w:sz="0" w:space="0" w:color="auto"/>
        <w:right w:val="none" w:sz="0" w:space="0" w:color="auto"/>
      </w:divBdr>
    </w:div>
    <w:div w:id="1874413847">
      <w:bodyDiv w:val="1"/>
      <w:marLeft w:val="0"/>
      <w:marRight w:val="0"/>
      <w:marTop w:val="0"/>
      <w:marBottom w:val="0"/>
      <w:divBdr>
        <w:top w:val="none" w:sz="0" w:space="0" w:color="auto"/>
        <w:left w:val="none" w:sz="0" w:space="0" w:color="auto"/>
        <w:bottom w:val="none" w:sz="0" w:space="0" w:color="auto"/>
        <w:right w:val="none" w:sz="0" w:space="0" w:color="auto"/>
      </w:divBdr>
    </w:div>
    <w:div w:id="1879776067">
      <w:bodyDiv w:val="1"/>
      <w:marLeft w:val="0"/>
      <w:marRight w:val="0"/>
      <w:marTop w:val="0"/>
      <w:marBottom w:val="0"/>
      <w:divBdr>
        <w:top w:val="none" w:sz="0" w:space="0" w:color="auto"/>
        <w:left w:val="none" w:sz="0" w:space="0" w:color="auto"/>
        <w:bottom w:val="none" w:sz="0" w:space="0" w:color="auto"/>
        <w:right w:val="none" w:sz="0" w:space="0" w:color="auto"/>
      </w:divBdr>
    </w:div>
    <w:div w:id="1884054548">
      <w:bodyDiv w:val="1"/>
      <w:marLeft w:val="0"/>
      <w:marRight w:val="0"/>
      <w:marTop w:val="0"/>
      <w:marBottom w:val="0"/>
      <w:divBdr>
        <w:top w:val="none" w:sz="0" w:space="0" w:color="auto"/>
        <w:left w:val="none" w:sz="0" w:space="0" w:color="auto"/>
        <w:bottom w:val="none" w:sz="0" w:space="0" w:color="auto"/>
        <w:right w:val="none" w:sz="0" w:space="0" w:color="auto"/>
      </w:divBdr>
    </w:div>
    <w:div w:id="1918510993">
      <w:bodyDiv w:val="1"/>
      <w:marLeft w:val="0"/>
      <w:marRight w:val="0"/>
      <w:marTop w:val="0"/>
      <w:marBottom w:val="0"/>
      <w:divBdr>
        <w:top w:val="none" w:sz="0" w:space="0" w:color="auto"/>
        <w:left w:val="none" w:sz="0" w:space="0" w:color="auto"/>
        <w:bottom w:val="none" w:sz="0" w:space="0" w:color="auto"/>
        <w:right w:val="none" w:sz="0" w:space="0" w:color="auto"/>
      </w:divBdr>
    </w:div>
    <w:div w:id="1923180153">
      <w:bodyDiv w:val="1"/>
      <w:marLeft w:val="0"/>
      <w:marRight w:val="0"/>
      <w:marTop w:val="0"/>
      <w:marBottom w:val="0"/>
      <w:divBdr>
        <w:top w:val="none" w:sz="0" w:space="0" w:color="auto"/>
        <w:left w:val="none" w:sz="0" w:space="0" w:color="auto"/>
        <w:bottom w:val="none" w:sz="0" w:space="0" w:color="auto"/>
        <w:right w:val="none" w:sz="0" w:space="0" w:color="auto"/>
      </w:divBdr>
    </w:div>
    <w:div w:id="1923181524">
      <w:bodyDiv w:val="1"/>
      <w:marLeft w:val="0"/>
      <w:marRight w:val="0"/>
      <w:marTop w:val="0"/>
      <w:marBottom w:val="0"/>
      <w:divBdr>
        <w:top w:val="none" w:sz="0" w:space="0" w:color="auto"/>
        <w:left w:val="none" w:sz="0" w:space="0" w:color="auto"/>
        <w:bottom w:val="none" w:sz="0" w:space="0" w:color="auto"/>
        <w:right w:val="none" w:sz="0" w:space="0" w:color="auto"/>
      </w:divBdr>
    </w:div>
    <w:div w:id="1924603770">
      <w:bodyDiv w:val="1"/>
      <w:marLeft w:val="0"/>
      <w:marRight w:val="0"/>
      <w:marTop w:val="0"/>
      <w:marBottom w:val="0"/>
      <w:divBdr>
        <w:top w:val="none" w:sz="0" w:space="0" w:color="auto"/>
        <w:left w:val="none" w:sz="0" w:space="0" w:color="auto"/>
        <w:bottom w:val="none" w:sz="0" w:space="0" w:color="auto"/>
        <w:right w:val="none" w:sz="0" w:space="0" w:color="auto"/>
      </w:divBdr>
    </w:div>
    <w:div w:id="1928344477">
      <w:bodyDiv w:val="1"/>
      <w:marLeft w:val="0"/>
      <w:marRight w:val="0"/>
      <w:marTop w:val="0"/>
      <w:marBottom w:val="0"/>
      <w:divBdr>
        <w:top w:val="none" w:sz="0" w:space="0" w:color="auto"/>
        <w:left w:val="none" w:sz="0" w:space="0" w:color="auto"/>
        <w:bottom w:val="none" w:sz="0" w:space="0" w:color="auto"/>
        <w:right w:val="none" w:sz="0" w:space="0" w:color="auto"/>
      </w:divBdr>
    </w:div>
    <w:div w:id="1928490288">
      <w:bodyDiv w:val="1"/>
      <w:marLeft w:val="0"/>
      <w:marRight w:val="0"/>
      <w:marTop w:val="0"/>
      <w:marBottom w:val="0"/>
      <w:divBdr>
        <w:top w:val="none" w:sz="0" w:space="0" w:color="auto"/>
        <w:left w:val="none" w:sz="0" w:space="0" w:color="auto"/>
        <w:bottom w:val="none" w:sz="0" w:space="0" w:color="auto"/>
        <w:right w:val="none" w:sz="0" w:space="0" w:color="auto"/>
      </w:divBdr>
    </w:div>
    <w:div w:id="1932740538">
      <w:bodyDiv w:val="1"/>
      <w:marLeft w:val="0"/>
      <w:marRight w:val="0"/>
      <w:marTop w:val="0"/>
      <w:marBottom w:val="0"/>
      <w:divBdr>
        <w:top w:val="none" w:sz="0" w:space="0" w:color="auto"/>
        <w:left w:val="none" w:sz="0" w:space="0" w:color="auto"/>
        <w:bottom w:val="none" w:sz="0" w:space="0" w:color="auto"/>
        <w:right w:val="none" w:sz="0" w:space="0" w:color="auto"/>
      </w:divBdr>
    </w:div>
    <w:div w:id="1935700905">
      <w:bodyDiv w:val="1"/>
      <w:marLeft w:val="0"/>
      <w:marRight w:val="0"/>
      <w:marTop w:val="0"/>
      <w:marBottom w:val="0"/>
      <w:divBdr>
        <w:top w:val="none" w:sz="0" w:space="0" w:color="auto"/>
        <w:left w:val="none" w:sz="0" w:space="0" w:color="auto"/>
        <w:bottom w:val="none" w:sz="0" w:space="0" w:color="auto"/>
        <w:right w:val="none" w:sz="0" w:space="0" w:color="auto"/>
      </w:divBdr>
    </w:div>
    <w:div w:id="1945916514">
      <w:bodyDiv w:val="1"/>
      <w:marLeft w:val="0"/>
      <w:marRight w:val="0"/>
      <w:marTop w:val="0"/>
      <w:marBottom w:val="0"/>
      <w:divBdr>
        <w:top w:val="none" w:sz="0" w:space="0" w:color="auto"/>
        <w:left w:val="none" w:sz="0" w:space="0" w:color="auto"/>
        <w:bottom w:val="none" w:sz="0" w:space="0" w:color="auto"/>
        <w:right w:val="none" w:sz="0" w:space="0" w:color="auto"/>
      </w:divBdr>
    </w:div>
    <w:div w:id="1965647924">
      <w:bodyDiv w:val="1"/>
      <w:marLeft w:val="0"/>
      <w:marRight w:val="0"/>
      <w:marTop w:val="0"/>
      <w:marBottom w:val="0"/>
      <w:divBdr>
        <w:top w:val="none" w:sz="0" w:space="0" w:color="auto"/>
        <w:left w:val="none" w:sz="0" w:space="0" w:color="auto"/>
        <w:bottom w:val="none" w:sz="0" w:space="0" w:color="auto"/>
        <w:right w:val="none" w:sz="0" w:space="0" w:color="auto"/>
      </w:divBdr>
    </w:div>
    <w:div w:id="1978879371">
      <w:bodyDiv w:val="1"/>
      <w:marLeft w:val="0"/>
      <w:marRight w:val="0"/>
      <w:marTop w:val="0"/>
      <w:marBottom w:val="0"/>
      <w:divBdr>
        <w:top w:val="none" w:sz="0" w:space="0" w:color="auto"/>
        <w:left w:val="none" w:sz="0" w:space="0" w:color="auto"/>
        <w:bottom w:val="none" w:sz="0" w:space="0" w:color="auto"/>
        <w:right w:val="none" w:sz="0" w:space="0" w:color="auto"/>
      </w:divBdr>
    </w:div>
    <w:div w:id="1991712748">
      <w:bodyDiv w:val="1"/>
      <w:marLeft w:val="0"/>
      <w:marRight w:val="0"/>
      <w:marTop w:val="0"/>
      <w:marBottom w:val="0"/>
      <w:divBdr>
        <w:top w:val="none" w:sz="0" w:space="0" w:color="auto"/>
        <w:left w:val="none" w:sz="0" w:space="0" w:color="auto"/>
        <w:bottom w:val="none" w:sz="0" w:space="0" w:color="auto"/>
        <w:right w:val="none" w:sz="0" w:space="0" w:color="auto"/>
      </w:divBdr>
    </w:div>
    <w:div w:id="2009942592">
      <w:bodyDiv w:val="1"/>
      <w:marLeft w:val="0"/>
      <w:marRight w:val="0"/>
      <w:marTop w:val="0"/>
      <w:marBottom w:val="0"/>
      <w:divBdr>
        <w:top w:val="none" w:sz="0" w:space="0" w:color="auto"/>
        <w:left w:val="none" w:sz="0" w:space="0" w:color="auto"/>
        <w:bottom w:val="none" w:sz="0" w:space="0" w:color="auto"/>
        <w:right w:val="none" w:sz="0" w:space="0" w:color="auto"/>
      </w:divBdr>
    </w:div>
    <w:div w:id="2048798590">
      <w:bodyDiv w:val="1"/>
      <w:marLeft w:val="0"/>
      <w:marRight w:val="0"/>
      <w:marTop w:val="0"/>
      <w:marBottom w:val="0"/>
      <w:divBdr>
        <w:top w:val="none" w:sz="0" w:space="0" w:color="auto"/>
        <w:left w:val="none" w:sz="0" w:space="0" w:color="auto"/>
        <w:bottom w:val="none" w:sz="0" w:space="0" w:color="auto"/>
        <w:right w:val="none" w:sz="0" w:space="0" w:color="auto"/>
      </w:divBdr>
    </w:div>
    <w:div w:id="2060857256">
      <w:bodyDiv w:val="1"/>
      <w:marLeft w:val="0"/>
      <w:marRight w:val="0"/>
      <w:marTop w:val="0"/>
      <w:marBottom w:val="0"/>
      <w:divBdr>
        <w:top w:val="none" w:sz="0" w:space="0" w:color="auto"/>
        <w:left w:val="none" w:sz="0" w:space="0" w:color="auto"/>
        <w:bottom w:val="none" w:sz="0" w:space="0" w:color="auto"/>
        <w:right w:val="none" w:sz="0" w:space="0" w:color="auto"/>
      </w:divBdr>
    </w:div>
    <w:div w:id="2068453511">
      <w:bodyDiv w:val="1"/>
      <w:marLeft w:val="0"/>
      <w:marRight w:val="0"/>
      <w:marTop w:val="0"/>
      <w:marBottom w:val="0"/>
      <w:divBdr>
        <w:top w:val="none" w:sz="0" w:space="0" w:color="auto"/>
        <w:left w:val="none" w:sz="0" w:space="0" w:color="auto"/>
        <w:bottom w:val="none" w:sz="0" w:space="0" w:color="auto"/>
        <w:right w:val="none" w:sz="0" w:space="0" w:color="auto"/>
      </w:divBdr>
    </w:div>
    <w:div w:id="2071419160">
      <w:bodyDiv w:val="1"/>
      <w:marLeft w:val="0"/>
      <w:marRight w:val="0"/>
      <w:marTop w:val="0"/>
      <w:marBottom w:val="0"/>
      <w:divBdr>
        <w:top w:val="none" w:sz="0" w:space="0" w:color="auto"/>
        <w:left w:val="none" w:sz="0" w:space="0" w:color="auto"/>
        <w:bottom w:val="none" w:sz="0" w:space="0" w:color="auto"/>
        <w:right w:val="none" w:sz="0" w:space="0" w:color="auto"/>
      </w:divBdr>
    </w:div>
    <w:div w:id="2078895154">
      <w:bodyDiv w:val="1"/>
      <w:marLeft w:val="0"/>
      <w:marRight w:val="0"/>
      <w:marTop w:val="0"/>
      <w:marBottom w:val="0"/>
      <w:divBdr>
        <w:top w:val="none" w:sz="0" w:space="0" w:color="auto"/>
        <w:left w:val="none" w:sz="0" w:space="0" w:color="auto"/>
        <w:bottom w:val="none" w:sz="0" w:space="0" w:color="auto"/>
        <w:right w:val="none" w:sz="0" w:space="0" w:color="auto"/>
      </w:divBdr>
    </w:div>
    <w:div w:id="2079864254">
      <w:bodyDiv w:val="1"/>
      <w:marLeft w:val="0"/>
      <w:marRight w:val="0"/>
      <w:marTop w:val="0"/>
      <w:marBottom w:val="0"/>
      <w:divBdr>
        <w:top w:val="none" w:sz="0" w:space="0" w:color="auto"/>
        <w:left w:val="none" w:sz="0" w:space="0" w:color="auto"/>
        <w:bottom w:val="none" w:sz="0" w:space="0" w:color="auto"/>
        <w:right w:val="none" w:sz="0" w:space="0" w:color="auto"/>
      </w:divBdr>
    </w:div>
    <w:div w:id="2091195414">
      <w:bodyDiv w:val="1"/>
      <w:marLeft w:val="0"/>
      <w:marRight w:val="0"/>
      <w:marTop w:val="0"/>
      <w:marBottom w:val="0"/>
      <w:divBdr>
        <w:top w:val="none" w:sz="0" w:space="0" w:color="auto"/>
        <w:left w:val="none" w:sz="0" w:space="0" w:color="auto"/>
        <w:bottom w:val="none" w:sz="0" w:space="0" w:color="auto"/>
        <w:right w:val="none" w:sz="0" w:space="0" w:color="auto"/>
      </w:divBdr>
    </w:div>
    <w:div w:id="2101946488">
      <w:bodyDiv w:val="1"/>
      <w:marLeft w:val="0"/>
      <w:marRight w:val="0"/>
      <w:marTop w:val="0"/>
      <w:marBottom w:val="0"/>
      <w:divBdr>
        <w:top w:val="none" w:sz="0" w:space="0" w:color="auto"/>
        <w:left w:val="none" w:sz="0" w:space="0" w:color="auto"/>
        <w:bottom w:val="none" w:sz="0" w:space="0" w:color="auto"/>
        <w:right w:val="none" w:sz="0" w:space="0" w:color="auto"/>
      </w:divBdr>
    </w:div>
    <w:div w:id="2107651456">
      <w:bodyDiv w:val="1"/>
      <w:marLeft w:val="0"/>
      <w:marRight w:val="0"/>
      <w:marTop w:val="0"/>
      <w:marBottom w:val="0"/>
      <w:divBdr>
        <w:top w:val="none" w:sz="0" w:space="0" w:color="auto"/>
        <w:left w:val="none" w:sz="0" w:space="0" w:color="auto"/>
        <w:bottom w:val="none" w:sz="0" w:space="0" w:color="auto"/>
        <w:right w:val="none" w:sz="0" w:space="0" w:color="auto"/>
      </w:divBdr>
    </w:div>
    <w:div w:id="2107841523">
      <w:bodyDiv w:val="1"/>
      <w:marLeft w:val="0"/>
      <w:marRight w:val="0"/>
      <w:marTop w:val="0"/>
      <w:marBottom w:val="0"/>
      <w:divBdr>
        <w:top w:val="none" w:sz="0" w:space="0" w:color="auto"/>
        <w:left w:val="none" w:sz="0" w:space="0" w:color="auto"/>
        <w:bottom w:val="none" w:sz="0" w:space="0" w:color="auto"/>
        <w:right w:val="none" w:sz="0" w:space="0" w:color="auto"/>
      </w:divBdr>
    </w:div>
    <w:div w:id="2125997538">
      <w:bodyDiv w:val="1"/>
      <w:marLeft w:val="0"/>
      <w:marRight w:val="0"/>
      <w:marTop w:val="0"/>
      <w:marBottom w:val="0"/>
      <w:divBdr>
        <w:top w:val="none" w:sz="0" w:space="0" w:color="auto"/>
        <w:left w:val="none" w:sz="0" w:space="0" w:color="auto"/>
        <w:bottom w:val="none" w:sz="0" w:space="0" w:color="auto"/>
        <w:right w:val="none" w:sz="0" w:space="0" w:color="auto"/>
      </w:divBdr>
    </w:div>
    <w:div w:id="21402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mailto:enquiries@ukopa.co.uk" TargetMode="External"/><Relationship Id="rId13" Type="http://schemas.openxmlformats.org/officeDocument/2006/relationships/hyperlink" Target="http://www.UKOPA.co.uk" TargetMode="Externa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image" Target="media/image3.JPG"/><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Documents\@Work\UKOPA\FARWG\GPG%20Development\TBN%20Template%20Oct%2017%20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9574093E994AAA90777F7ED9D18ACF"/>
        <w:category>
          <w:name w:val="General"/>
          <w:gallery w:val="placeholder"/>
        </w:category>
        <w:types>
          <w:type w:val="bbPlcHdr"/>
        </w:types>
        <w:behaviors>
          <w:behavior w:val="content"/>
        </w:behaviors>
        <w:guid w:val="{533633D6-FEF3-49DE-A632-640ED9701428}"/>
      </w:docPartPr>
      <w:docPartBody>
        <w:p w:rsidR="00D92DF8" w:rsidRDefault="009D1DE4">
          <w:pPr>
            <w:pStyle w:val="569574093E994AAA90777F7ED9D18ACF"/>
          </w:pPr>
          <w:r w:rsidRPr="00B83874">
            <w:rPr>
              <w:rStyle w:val="PlaceholderText"/>
            </w:rPr>
            <w:t>[Title]</w:t>
          </w:r>
        </w:p>
      </w:docPartBody>
    </w:docPart>
    <w:docPart>
      <w:docPartPr>
        <w:name w:val="C6B88C2EEFBA4EB1BE6E4023D0EC61C6"/>
        <w:category>
          <w:name w:val="General"/>
          <w:gallery w:val="placeholder"/>
        </w:category>
        <w:types>
          <w:type w:val="bbPlcHdr"/>
        </w:types>
        <w:behaviors>
          <w:behavior w:val="content"/>
        </w:behaviors>
        <w:guid w:val="{C41F5FDB-4ECC-4935-BECF-BC888A2751BB}"/>
      </w:docPartPr>
      <w:docPartBody>
        <w:p w:rsidR="00D92DF8" w:rsidRDefault="009D1DE4">
          <w:pPr>
            <w:pStyle w:val="C6B88C2EEFBA4EB1BE6E4023D0EC61C6"/>
          </w:pPr>
          <w:r w:rsidRPr="00B83874">
            <w:rPr>
              <w:rStyle w:val="PlaceholderText"/>
            </w:rPr>
            <w:t>[Subject]</w:t>
          </w:r>
        </w:p>
      </w:docPartBody>
    </w:docPart>
    <w:docPart>
      <w:docPartPr>
        <w:name w:val="00549096BAC9497E8017E9F221613D36"/>
        <w:category>
          <w:name w:val="General"/>
          <w:gallery w:val="placeholder"/>
        </w:category>
        <w:types>
          <w:type w:val="bbPlcHdr"/>
        </w:types>
        <w:behaviors>
          <w:behavior w:val="content"/>
        </w:behaviors>
        <w:guid w:val="{BC79C29E-66E7-4FE1-99BA-8DFBDEC00D77}"/>
      </w:docPartPr>
      <w:docPartBody>
        <w:p w:rsidR="00D92DF8" w:rsidRDefault="009D1DE4">
          <w:pPr>
            <w:pStyle w:val="00549096BAC9497E8017E9F221613D36"/>
          </w:pPr>
          <w:r w:rsidRPr="00917A5B">
            <w:rPr>
              <w:rStyle w:val="PlaceholderText"/>
            </w:rPr>
            <w:t>[Comments]</w:t>
          </w:r>
        </w:p>
      </w:docPartBody>
    </w:docPart>
    <w:docPart>
      <w:docPartPr>
        <w:name w:val="E561CE45470E45CEAD1C307754D2BF4E"/>
        <w:category>
          <w:name w:val="General"/>
          <w:gallery w:val="placeholder"/>
        </w:category>
        <w:types>
          <w:type w:val="bbPlcHdr"/>
        </w:types>
        <w:behaviors>
          <w:behavior w:val="content"/>
        </w:behaviors>
        <w:guid w:val="{11861720-6636-44EC-B39B-F169DB4630BB}"/>
      </w:docPartPr>
      <w:docPartBody>
        <w:p w:rsidR="00D92DF8" w:rsidRDefault="009D1DE4">
          <w:pPr>
            <w:pStyle w:val="E561CE45470E45CEAD1C307754D2BF4E"/>
          </w:pPr>
          <w:r w:rsidRPr="00917A5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Bold">
    <w:altName w:val="Arial"/>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E4"/>
    <w:rsid w:val="001166D9"/>
    <w:rsid w:val="00140AD5"/>
    <w:rsid w:val="00170F83"/>
    <w:rsid w:val="001F22FD"/>
    <w:rsid w:val="00212C8B"/>
    <w:rsid w:val="00295DCE"/>
    <w:rsid w:val="003257A1"/>
    <w:rsid w:val="00480995"/>
    <w:rsid w:val="004B68BB"/>
    <w:rsid w:val="005030D3"/>
    <w:rsid w:val="005066C7"/>
    <w:rsid w:val="006869EA"/>
    <w:rsid w:val="007A09BD"/>
    <w:rsid w:val="008C1C12"/>
    <w:rsid w:val="009904E4"/>
    <w:rsid w:val="009955BE"/>
    <w:rsid w:val="009D1DE4"/>
    <w:rsid w:val="00B7027E"/>
    <w:rsid w:val="00B74982"/>
    <w:rsid w:val="00C84987"/>
    <w:rsid w:val="00D92DF8"/>
    <w:rsid w:val="00E3299D"/>
    <w:rsid w:val="00EC12CF"/>
    <w:rsid w:val="00F21F20"/>
    <w:rsid w:val="00F54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987"/>
    <w:rPr>
      <w:color w:val="808080"/>
    </w:rPr>
  </w:style>
  <w:style w:type="paragraph" w:customStyle="1" w:styleId="569574093E994AAA90777F7ED9D18ACF">
    <w:name w:val="569574093E994AAA90777F7ED9D18ACF"/>
  </w:style>
  <w:style w:type="paragraph" w:customStyle="1" w:styleId="C6B88C2EEFBA4EB1BE6E4023D0EC61C6">
    <w:name w:val="C6B88C2EEFBA4EB1BE6E4023D0EC61C6"/>
  </w:style>
  <w:style w:type="paragraph" w:customStyle="1" w:styleId="00549096BAC9497E8017E9F221613D36">
    <w:name w:val="00549096BAC9497E8017E9F221613D36"/>
  </w:style>
  <w:style w:type="paragraph" w:customStyle="1" w:styleId="E561CE45470E45CEAD1C307754D2BF4E">
    <w:name w:val="E561CE45470E45CEAD1C307754D2BF4E"/>
  </w:style>
  <w:style w:type="paragraph" w:customStyle="1" w:styleId="6F7F7E4AD3B24DDABFEA3644C162DA6E">
    <w:name w:val="6F7F7E4AD3B24DDABFEA3644C162DA6E"/>
  </w:style>
  <w:style w:type="paragraph" w:customStyle="1" w:styleId="25235E3FC772446996A9F3BF33A866A8">
    <w:name w:val="25235E3FC772446996A9F3BF33A866A8"/>
  </w:style>
  <w:style w:type="paragraph" w:customStyle="1" w:styleId="A6428171B65C44F6AA1D37A322F024A5">
    <w:name w:val="A6428171B65C44F6AA1D37A322F024A5"/>
    <w:rsid w:val="00C84987"/>
  </w:style>
  <w:style w:type="paragraph" w:customStyle="1" w:styleId="34C3C5D3ACA84760AB23A76AAAA9FB29">
    <w:name w:val="34C3C5D3ACA84760AB23A76AAAA9FB29"/>
    <w:rsid w:val="00C84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PSR96</b:Tag>
    <b:SourceType>Misc</b:SourceType>
    <b:Guid>{BAC2C8A6-E2AE-4570-8C82-1320103BD5A0}</b:Guid>
    <b:Author>
      <b:Author>
        <b:Corporate>SI 1996 No. 825</b:Corporate>
      </b:Author>
    </b:Author>
    <b:Title>The Pipelines Safety Regulations 1996, as amended</b:Title>
    <b:Publisher>HMSO</b:Publisher>
    <b:RefOrder>1</b:RefOrder>
  </b:Source>
  <b:Source>
    <b:Tag>HSE_LUP_risk_criteria</b:Tag>
    <b:SourceType>Report</b:SourceType>
    <b:Guid>{CB3AC450-5AFB-4F53-A1E5-B98716203C2C}</b:Guid>
    <b:Author>
      <b:Author>
        <b:Corporate>Health and Safety Executive</b:Corporate>
      </b:Author>
    </b:Author>
    <b:Title>Risk criteria for land-use planning in the vicinity of major industrial hazards</b:Title>
    <b:Year>1989</b:Year>
    <b:Publisher>HMSO</b:Publisher>
    <b:City>London</b:City>
    <b:RefOrder>6</b:RefOrder>
  </b:Source>
  <b:Source>
    <b:Tag>CIMAH_1984</b:Tag>
    <b:SourceType>Misc</b:SourceType>
    <b:Guid>{F057E51E-8B97-4469-92B3-5CE21C1B191F}</b:Guid>
    <b:Author>
      <b:Author>
        <b:Corporate>SI 1984 No. 1902</b:Corporate>
      </b:Author>
    </b:Author>
    <b:Title> The Control of Industrial Major Accident Hazards Regulations 1984</b:Title>
    <b:Year>1984</b:Year>
    <b:Publisher>HMSO</b:Publisher>
    <b:RefOrder>5</b:RefOrder>
  </b:Source>
  <b:Source>
    <b:Tag>ACMH3</b:Tag>
    <b:SourceType>Misc</b:SourceType>
    <b:Guid>{9D927660-0AB6-4FB8-BABD-8F6D18082316}</b:Guid>
    <b:Author>
      <b:Author>
        <b:Corporate>Health and Safety Commission, Advisory Committee on Major Hazards</b:Corporate>
      </b:Author>
    </b:Author>
    <b:Title>Third Report. The control of major hazards</b:Title>
    <b:Year>1984</b:Year>
    <b:City>London</b:City>
    <b:Publisher>HMSO</b:Publisher>
    <b:RefOrder>4</b:RefOrder>
  </b:Source>
  <b:Source>
    <b:Tag>ACMH1</b:Tag>
    <b:SourceType>Misc</b:SourceType>
    <b:Guid>{4B2AD80D-DB4E-4D8B-912F-6403B016CD31}</b:Guid>
    <b:Author>
      <b:Author>
        <b:Corporate>Health and Safety Commission, Advisory Committee on Major Hazards</b:Corporate>
      </b:Author>
    </b:Author>
    <b:Title>First Report</b:Title>
    <b:Year>1976</b:Year>
    <b:Publisher>HMSO</b:Publisher>
    <b:City>London</b:City>
    <b:RefOrder>2</b:RefOrder>
  </b:Source>
  <b:Source>
    <b:Tag>ACMH2</b:Tag>
    <b:SourceType>Misc</b:SourceType>
    <b:Guid>{D6B8AA13-BC36-40CB-808A-BF23083967BF}</b:Guid>
    <b:Author>
      <b:Author>
        <b:Corporate>Health and Safety Commission, Advisory Committee on Major Hazards</b:Corporate>
      </b:Author>
    </b:Author>
    <b:Title>Second Report</b:Title>
    <b:Year>1979</b:Year>
    <b:City>London</b:City>
    <b:Publisher>HMSO</b:Publisher>
    <b:RefOrder>3</b:RefOrder>
  </b:Source>
  <b:Source>
    <b:Tag>NIHHS_1982</b:Tag>
    <b:SourceType>Misc</b:SourceType>
    <b:Guid>{FD848CCE-5915-41CE-9937-CCFB5B4574CC}</b:Guid>
    <b:Author>
      <b:Author>
        <b:Corporate>SI 1982 No. 1357</b:Corporate>
      </b:Author>
    </b:Author>
    <b:Title>The Notification of Installations Handling Hazardous Substances Regulations 1982</b:Title>
    <b:Year>1982</b:Year>
    <b:City>London</b:City>
    <b:Publisher>HMSO</b:Publisher>
    <b:RefOrder>7</b:RefOrder>
  </b:Source>
  <b:Source>
    <b:Tag>TD1_Ed5</b:Tag>
    <b:SourceType>Misc</b:SourceType>
    <b:Guid>{299C6704-E89D-441B-A3F9-6B0EFF84B43B}</b:Guid>
    <b:Author>
      <b:Author>
        <b:Corporate>IGEM/TD/1 Edition 5 with amendments</b:Corporate>
      </b:Author>
    </b:Author>
    <b:Title>Steel pipelines and associated installations for high pressure gas transmission</b:Title>
    <b:Publisher>Communication 1789, Institution of Gas Engineers &amp; Managers</b:Publisher>
    <b:Year>July 2016</b:Year>
    <b:RefOrder>9</b:RefOrder>
  </b:Source>
  <b:Source>
    <b:Tag>GasAct_1995</b:Tag>
    <b:SourceType>Misc</b:SourceType>
    <b:Guid>{2BB6D0BE-1B61-428F-89AD-F7EBE8DF8A2B}</b:Guid>
    <b:Title>Gas Act</b:Title>
    <b:Year>1995</b:Year>
    <b:RefOrder>8</b:RefOrder>
  </b:Source>
  <b:Source>
    <b:Tag>PipelinesAct_1962</b:Tag>
    <b:SourceType>Misc</b:SourceType>
    <b:Guid>{0E7680C9-7E28-4B36-A9D9-68826B5D06E8}</b:Guid>
    <b:Title>Pipelines Act</b:Title>
    <b:Year>1962</b:Year>
    <b:RefOrder>10</b:RefOrder>
  </b:Source>
  <b:Source>
    <b:Tag>PSR_L20</b:Tag>
    <b:SourceType>Misc</b:SourceType>
    <b:Guid>{142B40C1-CA88-4319-BC21-0A2EAA760B7C}</b:Guid>
    <b:Title>The Pipeline Safety Regulations 1996 - Guidance on Regulations</b:Title>
    <b:Year>1996</b:Year>
    <b:Publisher>HMSO</b:Publisher>
    <b:Author>
      <b:Author>
        <b:NameList>
          <b:Person>
            <b:Last>Anon</b:Last>
          </b:Person>
        </b:NameList>
      </b:Author>
    </b:Author>
    <b:RefOrder>13</b:RefOrder>
  </b:Source>
  <b:Source>
    <b:Tag>PD8010_1_2015</b:Tag>
    <b:SourceType>Misc</b:SourceType>
    <b:Guid>{29AAB2D4-B979-4934-BEF0-85FB30192276}</b:Guid>
    <b:Title>Pipeline systems - Part 1: Steel Pipelines on land - Code of practice</b:Title>
    <b:Year>March 2015</b:Year>
    <b:Publisher>British Standards Institution</b:Publisher>
    <b:Author>
      <b:Author>
        <b:Corporate>PD 8010-1:2015</b:Corporate>
      </b:Author>
    </b:Author>
    <b:RefOrder>11</b:RefOrder>
  </b:Source>
  <b:Source>
    <b:Tag>HSE_LUP</b:Tag>
    <b:SourceType>DocumentFromInternetSite</b:SourceType>
    <b:Guid>{3E59B4ED-6816-4456-BA97-34CAE8FD945B}</b:Guid>
    <b:Author>
      <b:Author>
        <b:Corporate>Health and Safety Executive</b:Corporate>
      </b:Author>
    </b:Author>
    <b:YearAccessed>2017</b:YearAccessed>
    <b:MonthAccessed>12</b:MonthAccessed>
    <b:DayAccessed>15</b:DayAccessed>
    <b:URL>http://www.hse.gov.uk/landuseplanning/methodology.pdf</b:URL>
    <b:Title>HSE’S LAND USE PLANNING METHODOLOGY</b:Title>
    <b:RefOrder>12</b:RefOrder>
  </b:Source>
  <b:Source>
    <b:Tag>CRR206_1999</b:Tag>
    <b:SourceType>Report</b:SourceType>
    <b:Guid>{10AA3341-200F-42A2-A43B-E4F2C42D02F2}</b:Guid>
    <b:Title>Risks from gasoline pipelines in the United Kingdom</b:Title>
    <b:Year>1999</b:Year>
    <b:Publisher>HSE Books</b:Publisher>
    <b:Author>
      <b:Author>
        <b:Corporate>Contract Research Report CRR 206/1999, prepared by Arthur D. Little Limited for the Health and Safety Executive</b:Corporate>
      </b:Author>
    </b:Author>
    <b:RefOrder>14</b:RefOrder>
  </b:Source>
  <b:Source>
    <b:Tag>CRR210_1999</b:Tag>
    <b:SourceType>Report</b:SourceType>
    <b:Guid>{8B08D9F8-43CA-4C8B-9AA9-F1A093D596C5}</b:Guid>
    <b:Author>
      <b:Author>
        <b:Corporate>Contract Research Report CRR 210/1999, prepared by WS Atkins Safety &amp; Reliability for the Health and Safety Executive</b:Corporate>
      </b:Author>
    </b:Author>
    <b:Title>Assessing the risk from gasoline pipelines in the United Kingdom based on a review of historical experience</b:Title>
    <b:Year>1999</b:Year>
    <b:Publisher>HSE Books</b:Publisher>
    <b:RefOrder>15</b:RefOrder>
  </b:Source>
  <b:Source>
    <b:Tag>PD8010_3_2012</b:Tag>
    <b:SourceType>Misc</b:SourceType>
    <b:Guid>{36BFFA25-D286-46E9-8F51-E64C32C0EA80}</b:Guid>
    <b:Title>Pipeline systems. Part 3: Steel pipelines on land and subsea pipelines - Guide to the application of pipeline risk assessement to proposed developments in the vicinity of major accident hazard pipelines containing flammables - Supplement to PD 8010-1:2004</b:Title>
    <b:Year>July 2013</b:Year>
    <b:Publisher>British Standards Institution</b:Publisher>
    <b:Author>
      <b:Author>
        <b:Corporate>PD 8010-3:2009+A1:2013</b:Corporate>
      </b:Author>
    </b:Author>
    <b:RefOrder>19</b:RefOrder>
  </b:Source>
  <b:Source>
    <b:Tag>TD2_Ed1</b:Tag>
    <b:SourceType>Misc</b:SourceType>
    <b:Guid>{D63B54B6-6BED-442B-934D-052C8F9BACF5}</b:Guid>
    <b:Author>
      <b:Author>
        <b:Corporate>IGEM/TD/2</b:Corporate>
      </b:Author>
    </b:Author>
    <b:Title>Application of pipeline risk assessment to proposed developments in the vicinity of high pressure Natural Gas pipelines</b:Title>
    <b:Year>2009</b:Year>
    <b:Publisher>Institution of Gas Engineers &amp; Managers</b:Publisher>
    <b:RefOrder>16</b:RefOrder>
  </b:Source>
  <b:Source>
    <b:Tag>TD2_Ed2</b:Tag>
    <b:SourceType>Misc</b:SourceType>
    <b:Guid>{F93715C9-B6EB-417D-A45D-045B18282640}</b:Guid>
    <b:Author>
      <b:Author>
        <b:Corporate>IGEM/TD/2 Edition 2</b:Corporate>
      </b:Author>
    </b:Author>
    <b:Title>Assessing the risks from high pressure natural gas pipelines</b:Title>
    <b:Year>2013</b:Year>
    <b:Publisher>Institution of Gas Engineers &amp; Managers</b:Publisher>
    <b:RefOrder>18</b:RefOrder>
  </b:Source>
  <b:Source>
    <b:Tag>PD8010_3_2009</b:Tag>
    <b:SourceType>Misc</b:SourceType>
    <b:Guid>{EB1EB9E4-91CE-4F41-A8BE-F3DBF1C8CFA0}</b:Guid>
    <b:Title>Code of practice for pipelines - Part 3: Steel pipelines on land - Guide to the application of pipeline risk assessement to proposed developments in the vicinity of major accident hazard pipelines containing flammables - Supplement to PD 8010-1:2004</b:Title>
    <b:Year>December 2008</b:Year>
    <b:Publisher>British Standards Institution</b:Publisher>
    <b:Author>
      <b:Author>
        <b:Corporate>PD 8010-3:2009</b:Corporate>
      </b:Author>
    </b:Author>
    <b:RefOrder>17</b:RefOrder>
  </b:Source>
  <b:Source>
    <b:Tag>GLND_R9551_1</b:Tag>
    <b:SourceType>Report</b:SourceType>
    <b:Guid>{B55C3638-46D3-4DB6-8B52-60D47A5A7FF8}</b:Guid>
    <b:Author>
      <b:Author>
        <b:NameList>
          <b:Person>
            <b:Last>Toes</b:Last>
            <b:First>Gary</b:First>
          </b:Person>
          <b:Person>
            <b:Last>Rogers</b:Last>
            <b:First>Mark</b:First>
          </b:Person>
        </b:NameList>
      </b:Author>
    </b:Author>
    <b:Title>A Revised Fault Tree Method for Determining the Effectiveness of Slabbing</b:Title>
    <b:Year>11th May 2010</b:Year>
    <b:Publisher>GL Noble Denton Report Number: 9551 Issue 1.0</b:Publisher>
    <b:RefOrder>20</b:RefOrder>
  </b:Source>
  <b:Source>
    <b:Tag>UKOPA_GP_006</b:Tag>
    <b:SourceType>Report</b:SourceType>
    <b:Guid>{7E1F4816-FB3E-4698-BA2D-05679F50D79C}</b:Guid>
    <b:Title>UK Onshore Pipeline Operators' Association - Industry Good Practice Guide, Impact Protection Slabs</b:Title>
    <b:Year>January 2016</b:Year>
    <b:Publisher>UKOPA/GP/006 Edition 1</b:Publisher>
    <b:Author>
      <b:Author>
        <b:Corporate>UKOPA</b:Corporate>
      </b:Author>
    </b:Author>
    <b:YearAccessed>2018</b:YearAccessed>
    <b:MonthAccessed>March</b:MonthAccessed>
    <b:DayAccessed>30</b:DayAccessed>
    <b:URL>http://www.ukopa.co.uk/documents/UKOPA-GPG004.pdf</b:URL>
    <b:Month>January</b:Month>
    <b:RefOrder>22</b:RefOrder>
  </b:Source>
  <b:Source>
    <b:Tag>12631_SPC_001_Rev1</b:Tag>
    <b:SourceType>Report</b:SourceType>
    <b:Guid>{50091538-0FFD-4DF7-B797-D1E1C88F144E}</b:Guid>
    <b:Author>
      <b:Author>
        <b:NameList>
          <b:Person>
            <b:Last>Oldfield</b:Last>
            <b:First>Tom</b:First>
          </b:Person>
          <b:Person>
            <b:Last>Young</b:Last>
            <b:First>Andy</b:First>
          </b:Person>
        </b:NameList>
      </b:Author>
    </b:Author>
    <b:Title>UKOPA Specification. Impact Protection Slabs</b:Title>
    <b:Year>13th June 2013</b:Year>
    <b:Publisher>Penspen Integrity Document Number: 12631-SPC-001 Rev 1</b:Publisher>
    <b:RefOrder>21</b:RefOrder>
  </b:Source>
  <b:Source>
    <b:Tag>CONCAWE_8_11</b:Tag>
    <b:SourceType>Report</b:SourceType>
    <b:Guid>{58F4BBD0-946B-4284-897E-DE26EAE57F00}</b:Guid>
    <b:Author>
      <b:Author>
        <b:Corporate>CONCAWE</b:Corporate>
      </b:Author>
    </b:Author>
    <b:Title>Performance of European cross-country oil pipelines. Statistical summary of reported spillages in 2010 and since 1971</b:Title>
    <b:Year>report no. 8/11, December 2011</b:Year>
    <b:City>Brussels</b:City>
    <b:RefOrder>23</b:RefOrder>
  </b:Source>
  <b:Source>
    <b:Tag>RR774</b:Tag>
    <b:SourceType>Report</b:SourceType>
    <b:Guid>{DB797ABB-51E4-43AE-A58E-41D538661C34}</b:Guid>
    <b:Author>
      <b:Author>
        <b:Corporate>Research Report RR774</b:Corporate>
      </b:Author>
    </b:Author>
    <b:Title>An investigation into the preformance of the PipeTech computer code in calculating Isle of Grain pipeline blowdown tests</b:Title>
    <b:Year>2010</b:Year>
    <b:Publisher>Prepared by the Health and Safety Laboratory for the Health and Safety Executive 2010, HSE Books</b:Publisher>
    <b:RefOrder>24</b:RefOrder>
  </b:Source>
  <b:Source>
    <b:Tag>RR1034</b:Tag>
    <b:SourceType>Report</b:SourceType>
    <b:Guid>{846F0B73-536B-4431-BE98-17A5382AC255}</b:Guid>
    <b:Author>
      <b:Author>
        <b:Corporate>Research Report RR1034</b:Corporate>
      </b:Author>
    </b:Author>
    <b:Title>Review of the event tree structure and ignition probabilities used in HSE's pipeline risk assessement code MISHAP</b:Title>
    <b:Year>2015</b:Year>
    <b:Publisher>Prepared by the Health and Safety Laboratory for the Health and Safety Executive 2015, HSE Books</b:Publisher>
    <b:RefOrder>25</b:RefOrder>
  </b:Source>
  <b:Source>
    <b:Tag>RR1040</b:Tag>
    <b:SourceType>Report</b:SourceType>
    <b:Guid>{618D5C32-294B-48CE-8029-1E80624128AB}</b:Guid>
    <b:Author>
      <b:Author>
        <b:Corporate>Research Report RR1040</b:Corporate>
      </b:Author>
    </b:Author>
    <b:Title>Rewriting MISHAP: The development of MISHAP12</b:Title>
    <b:Year>2015</b:Year>
    <b:Publisher>Prepared by the Health and Safety Laboratory for the Health and Safety Executive 2015, HSE Books</b:Publisher>
    <b:RefOrder>31</b:RefOrder>
  </b:Source>
  <b:Source>
    <b:Tag>RR1035</b:Tag>
    <b:SourceType>Report</b:SourceType>
    <b:Guid>{4B408CC7-18D8-437E-8FEA-61AFD0BF0A83}</b:Guid>
    <b:Author>
      <b:Author>
        <b:Corporate>Research Report RR1035</b:Corporate>
      </b:Author>
    </b:Author>
    <b:Title>Update of pipeline failure rates for land use planning assessments</b:Title>
    <b:Year>2015</b:Year>
    <b:Publisher>Prepared by the Health and Safety Laboratory for the Health and Safety Executive 2015, HSE Books</b:Publisher>
    <b:RefOrder>26</b:RefOrder>
  </b:Source>
  <b:Source>
    <b:Tag>RR1036</b:Tag>
    <b:SourceType>Report</b:SourceType>
    <b:Guid>{89B41E52-CA54-4CB5-8B41-0E02EFF1B39F}</b:Guid>
    <b:Author>
      <b:Author>
        <b:Corporate>Research Report RR1036</b:Corporate>
      </b:Author>
    </b:Author>
    <b:Title>Rewriting the PIPIN code to use a Monte Carlo solution approach</b:Title>
    <b:Year>2015</b:Year>
    <b:Publisher>Prepared by the Health and Safety Laboratory for the Health and Safety Executive 2015, HSE Books</b:Publisher>
    <b:RefOrder>27</b:RefOrder>
  </b:Source>
  <b:Source>
    <b:Tag>RR1037</b:Tag>
    <b:SourceType>Report</b:SourceType>
    <b:Guid>{2DDF63E8-514E-4C3A-980B-7CBA112490E6}</b:Guid>
    <b:Author>
      <b:Author>
        <b:Corporate>Research Report RR1037</b:Corporate>
      </b:Author>
    </b:Author>
    <b:Title>Science Updates to HSE's PIPeline INtegrity model (PIPIN)</b:Title>
    <b:Year>2015</b:Year>
    <b:Publisher>Prepared by the Health and Safety Laboratory for the Health and Safety Executive 2015, HSE Books</b:Publisher>
    <b:RefOrder>28</b:RefOrder>
  </b:Source>
  <b:Source>
    <b:Tag>RR1038</b:Tag>
    <b:SourceType>Report</b:SourceType>
    <b:Guid>{77400C46-B5AB-45D7-8482-9707222F1759}</b:Guid>
    <b:Author>
      <b:Author>
        <b:Corporate>Research Report RR1038</b:Corporate>
      </b:Author>
    </b:Author>
    <b:Title>Data Updates to HSE's PIPeline INtegrity model (PIPIN)</b:Title>
    <b:Year>2015</b:Year>
    <b:Publisher>Prepared by the Health and Safety Laboratory for the Health and Safety Executive 2015, HSE Books</b:Publisher>
    <b:RefOrder>29</b:RefOrder>
  </b:Source>
  <b:Source>
    <b:Tag>RR1039</b:Tag>
    <b:SourceType>Report</b:SourceType>
    <b:Guid>{90781B0F-E5A8-49ED-9DD5-D2A30EE9256A}</b:Guid>
    <b:Author>
      <b:Author>
        <b:Corporate>Research Report RR1039</b:Corporate>
      </b:Author>
    </b:Author>
    <b:Title>Summary of the rewrite of HSE's PIPeline INtegrity model (PIPIN)</b:Title>
    <b:Year>2015</b:Year>
    <b:Publisher>Prepared by the Health and Safety Laboratory for the Health and Safety Executive 2015, HSE Books</b:Publisher>
    <b:RefOrder>30</b:RefOrder>
  </b:Source>
  <b:Source>
    <b:Tag>Corder_IMechE_1995</b:Tag>
    <b:SourceType>ConferenceProceedings</b:SourceType>
    <b:Guid>{56CB7A71-EFD8-4C1F-88F2-694A8FAE9024}</b:Guid>
    <b:Title>The Application of Risk Techniques to the Design and Operation of Pipelines</b:Title>
    <b:Year>pp 113-125, 1995</b:Year>
    <b:City>Institution of Mechanical Engineers, London, UK</b:City>
    <b:Author>
      <b:Author>
        <b:Corporate>I Corder</b:Corporate>
      </b:Author>
    </b:Author>
    <b:ConferenceName>Proceedings of International Conference on Pressure Systems: Operation and Risk Management</b:ConferenceName>
    <b:RefOrder>32</b:RefOrder>
  </b:Source>
  <b:Source>
    <b:Tag>GLND_R10074_1</b:Tag>
    <b:SourceType>Report</b:SourceType>
    <b:Guid>{BA08AFE2-4B0C-40C3-BCF0-1E7D7D7119E5}</b:Guid>
    <b:Author>
      <b:Author>
        <b:NameList>
          <b:Person>
            <b:Last>Mumby</b:Last>
            <b:First>Chris</b:First>
          </b:Person>
        </b:NameList>
      </b:Author>
    </b:Author>
    <b:Title>Influence of Pipeline Depth of Cover on Failure Frequencies due to External Interference</b:Title>
    <b:Year>18th April 2013</b:Year>
    <b:Publisher>GL Noble Denton Report Number: 10074 Issue 1.0</b:Publisher>
    <b:RefOrder>33</b:RefOrder>
  </b:Source>
  <b:Source>
    <b:Tag>MSU_2012_38</b:Tag>
    <b:SourceType>Report</b:SourceType>
    <b:Guid>{41B0484F-88F6-4437-A1B9-EA7E26EB7AD5}</b:Guid>
    <b:Author>
      <b:Author>
        <b:NameList>
          <b:Person>
            <b:Last>Chaplin</b:Last>
            <b:First>Zoe</b:First>
          </b:Person>
        </b:NameList>
      </b:Author>
    </b:Author>
    <b:Title>Update of pipeline failure rates for land use planning assessments</b:Title>
    <b:Year>2012</b:Year>
    <b:Publisher>HSL report MSU/2012/38</b:Publisher>
    <b:RefOrder>34</b:RefOrder>
  </b:Source>
</b:Sources>
</file>

<file path=customXml/itemProps1.xml><?xml version="1.0" encoding="utf-8"?>
<ds:datastoreItem xmlns:ds="http://schemas.openxmlformats.org/officeDocument/2006/customXml" ds:itemID="{D2920236-B117-9D4E-940D-64D4FA99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C:\Users\graha\Documents\@Work\UKOPA\FARWG\GPG Development\TBN Template Oct 17 V1.1.dotx</Template>
  <TotalTime>1206</TotalTime>
  <Pages>32</Pages>
  <Words>10704</Words>
  <Characters>61017</Characters>
  <Application>Microsoft Macintosh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71578</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The history of land use planning</dc:subject>
  <dc:creator>Andy Fuller</dc:creator>
  <dc:description>UKOPA/TBN/007 Edition 1</dc:description>
  <cp:lastModifiedBy>Nikki Barker</cp:lastModifiedBy>
  <cp:revision>22</cp:revision>
  <cp:lastPrinted>2018-10-04T10:29:00Z</cp:lastPrinted>
  <dcterms:created xsi:type="dcterms:W3CDTF">2019-01-06T15:18:00Z</dcterms:created>
  <dcterms:modified xsi:type="dcterms:W3CDTF">2019-05-15T08:09:00Z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