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F5E13" w14:textId="77777777" w:rsidR="005968BD" w:rsidRDefault="00F368C2" w:rsidP="005715C4">
      <w:pPr>
        <w:pStyle w:val="FrontPenspen"/>
        <w:pBdr>
          <w:top w:val="none" w:sz="0" w:space="0" w:color="auto"/>
        </w:pBdr>
        <w:spacing w:after="0"/>
      </w:pPr>
      <w:bookmarkStart w:id="0" w:name="_GoBack"/>
      <w:bookmarkEnd w:id="0"/>
      <w:r>
        <w:br w:type="textWrapping" w:clear="all"/>
      </w:r>
    </w:p>
    <w:p w14:paraId="3CB8BBAB" w14:textId="77777777" w:rsidR="00CE1BFF" w:rsidRDefault="00CE1BFF" w:rsidP="00F368C2">
      <w:pPr>
        <w:pStyle w:val="FrontPenspen"/>
        <w:pBdr>
          <w:top w:val="none" w:sz="0" w:space="0" w:color="auto"/>
        </w:pBdr>
        <w:spacing w:after="2520"/>
      </w:pPr>
    </w:p>
    <w:p w14:paraId="160474E0" w14:textId="77777777" w:rsidR="00012F42" w:rsidRPr="00BF7AD5" w:rsidRDefault="004E7519"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F03E7BF96F6E43C4A14B98A92DB61FA4"/>
          </w:placeholder>
          <w:dataBinding w:prefixMappings="xmlns:ns0='http://purl.org/dc/elements/1.1/' xmlns:ns1='http://schemas.openxmlformats.org/package/2006/metadata/core-properties' " w:xpath="/ns1:coreProperties[1]/ns0:title[1]" w:storeItemID="{6C3C8BC8-F283-45AE-878A-BAB7291924A1}"/>
          <w:text/>
        </w:sdtPr>
        <w:sdtEndPr/>
        <w:sdtContent>
          <w:r w:rsidR="006F5ECE">
            <w:rPr>
              <w:b/>
              <w:color w:val="003656" w:themeColor="accent4" w:themeTint="E6"/>
            </w:rPr>
            <w:t>Technical Briefing Note</w:t>
          </w:r>
        </w:sdtContent>
      </w:sdt>
    </w:p>
    <w:p w14:paraId="4404827A" w14:textId="43A18E1A" w:rsidR="003F7240" w:rsidRPr="00BF7AD5" w:rsidRDefault="004E7519" w:rsidP="00F368C2">
      <w:pPr>
        <w:pStyle w:val="FrontTitle"/>
        <w:pBdr>
          <w:bottom w:val="none" w:sz="0" w:space="0" w:color="auto"/>
        </w:pBdr>
        <w:spacing w:after="120" w:line="360" w:lineRule="auto"/>
        <w:contextualSpacing/>
        <w:rPr>
          <w:color w:val="003656" w:themeColor="accent4" w:themeTint="E6"/>
        </w:rPr>
      </w:pPr>
      <w:sdt>
        <w:sdtPr>
          <w:rPr>
            <w:color w:val="003656" w:themeColor="accent4" w:themeTint="E6"/>
          </w:rPr>
          <w:alias w:val="Subject"/>
          <w:id w:val="6722564"/>
          <w:placeholder>
            <w:docPart w:val="5868F24D9C57422A8B53446533C5CAC4"/>
          </w:placeholder>
          <w:dataBinding w:prefixMappings="xmlns:ns0='http://purl.org/dc/elements/1.1/' xmlns:ns1='http://schemas.openxmlformats.org/package/2006/metadata/core-properties' " w:xpath="/ns1:coreProperties[1]/ns0:subject[1]" w:storeItemID="{6C3C8BC8-F283-45AE-878A-BAB7291924A1}"/>
          <w:text/>
        </w:sdtPr>
        <w:sdtEndPr/>
        <w:sdtContent>
          <w:r w:rsidR="00DB3747">
            <w:rPr>
              <w:color w:val="003656" w:themeColor="accent4" w:themeTint="E6"/>
            </w:rPr>
            <w:t>Effect of Pipeline Surveillance on Risk of 3rd Party Interference</w:t>
          </w:r>
        </w:sdtContent>
      </w:sdt>
    </w:p>
    <w:sdt>
      <w:sdtPr>
        <w:rPr>
          <w:color w:val="003656" w:themeColor="accent4" w:themeTint="E6"/>
          <w:sz w:val="32"/>
          <w:szCs w:val="32"/>
        </w:rPr>
        <w:alias w:val="Comments"/>
        <w:tag w:val=""/>
        <w:id w:val="1506479213"/>
        <w:placeholder>
          <w:docPart w:val="A5A7134072C24DFE8C2D50C99A60199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C0E58A2" w14:textId="13C919DD" w:rsidR="003F7240" w:rsidRPr="00BF7AD5" w:rsidRDefault="00C27876" w:rsidP="00F368C2">
          <w:pPr>
            <w:pStyle w:val="FrontTitle"/>
            <w:pBdr>
              <w:bottom w:val="none" w:sz="0" w:space="0" w:color="auto"/>
            </w:pBdr>
            <w:spacing w:after="120" w:line="360" w:lineRule="auto"/>
            <w:contextualSpacing/>
            <w:rPr>
              <w:color w:val="003656" w:themeColor="accent4" w:themeTint="E6"/>
            </w:rPr>
          </w:pPr>
          <w:r>
            <w:rPr>
              <w:color w:val="003656" w:themeColor="accent4" w:themeTint="E6"/>
              <w:sz w:val="32"/>
              <w:szCs w:val="32"/>
            </w:rPr>
            <w:t>UKOPA/</w:t>
          </w:r>
          <w:r w:rsidR="006F5ECE">
            <w:rPr>
              <w:color w:val="003656" w:themeColor="accent4" w:themeTint="E6"/>
              <w:sz w:val="32"/>
              <w:szCs w:val="32"/>
            </w:rPr>
            <w:t>TBN</w:t>
          </w:r>
          <w:r>
            <w:rPr>
              <w:color w:val="003656" w:themeColor="accent4" w:themeTint="E6"/>
              <w:sz w:val="32"/>
              <w:szCs w:val="32"/>
            </w:rPr>
            <w:t>/</w:t>
          </w:r>
          <w:r w:rsidR="008608B8">
            <w:rPr>
              <w:color w:val="003656" w:themeColor="accent4" w:themeTint="E6"/>
              <w:sz w:val="32"/>
              <w:szCs w:val="32"/>
            </w:rPr>
            <w:t>009</w:t>
          </w:r>
          <w:r>
            <w:rPr>
              <w:color w:val="003656" w:themeColor="accent4" w:themeTint="E6"/>
              <w:sz w:val="32"/>
              <w:szCs w:val="32"/>
            </w:rPr>
            <w:t xml:space="preserve"> Edition </w:t>
          </w:r>
          <w:r w:rsidR="0053077D">
            <w:rPr>
              <w:color w:val="003656" w:themeColor="accent4" w:themeTint="E6"/>
              <w:sz w:val="32"/>
              <w:szCs w:val="32"/>
            </w:rPr>
            <w:t>1</w:t>
          </w:r>
        </w:p>
      </w:sdtContent>
    </w:sdt>
    <w:p w14:paraId="4D6B48A5" w14:textId="36877C56" w:rsidR="00997863" w:rsidRPr="00BF7AD5" w:rsidRDefault="004E7519" w:rsidP="00F368C2">
      <w:pPr>
        <w:pStyle w:val="FrontClient"/>
        <w:spacing w:before="0" w:line="360" w:lineRule="auto"/>
        <w:rPr>
          <w:color w:val="003656" w:themeColor="accent4" w:themeTint="E6"/>
        </w:rPr>
      </w:pPr>
      <w:sdt>
        <w:sdtPr>
          <w:rPr>
            <w:color w:val="003656" w:themeColor="accent4" w:themeTint="E6"/>
            <w:sz w:val="32"/>
            <w:szCs w:val="32"/>
          </w:rPr>
          <w:id w:val="-789435610"/>
          <w:placeholder>
            <w:docPart w:val="29645EA8DF704ED2A0BC6B2B8651F806"/>
          </w:placeholder>
          <w:date w:fullDate="2019-09-11T00:00:00Z">
            <w:dateFormat w:val="MMMM yyyy"/>
            <w:lid w:val="en-GB"/>
            <w:storeMappedDataAs w:val="dateTime"/>
            <w:calendar w:val="gregorian"/>
          </w:date>
        </w:sdtPr>
        <w:sdtEndPr/>
        <w:sdtContent>
          <w:r w:rsidR="00D42808">
            <w:rPr>
              <w:color w:val="003656" w:themeColor="accent4" w:themeTint="E6"/>
              <w:sz w:val="32"/>
              <w:szCs w:val="32"/>
            </w:rPr>
            <w:t>September 2019</w:t>
          </w:r>
        </w:sdtContent>
      </w:sdt>
    </w:p>
    <w:p w14:paraId="27CEBD48" w14:textId="77777777" w:rsidR="00997863" w:rsidRDefault="00997863" w:rsidP="00997863">
      <w:pPr>
        <w:rPr>
          <w:rFonts w:ascii="Calibri" w:eastAsiaTheme="majorEastAsia" w:hAnsi="Calibri" w:cstheme="majorBidi"/>
          <w:noProof/>
          <w:sz w:val="36"/>
          <w:szCs w:val="36"/>
        </w:rPr>
      </w:pPr>
    </w:p>
    <w:p w14:paraId="414036BE" w14:textId="77777777" w:rsidR="006F5ECE" w:rsidRPr="00997863" w:rsidRDefault="006F5ECE" w:rsidP="006F5ECE">
      <w:pPr>
        <w:jc w:val="center"/>
      </w:pPr>
    </w:p>
    <w:p w14:paraId="5780EAB8" w14:textId="77777777" w:rsidR="00997863" w:rsidRPr="00997863" w:rsidRDefault="00997863" w:rsidP="00FA683B">
      <w:pPr>
        <w:jc w:val="center"/>
      </w:pPr>
    </w:p>
    <w:p w14:paraId="07B96A91" w14:textId="77777777" w:rsidR="00997863" w:rsidRDefault="00997863" w:rsidP="00997863"/>
    <w:p w14:paraId="6F39E85B" w14:textId="77777777" w:rsidR="002B6494" w:rsidRDefault="002B6494" w:rsidP="00997863"/>
    <w:p w14:paraId="1B93E74B" w14:textId="77777777" w:rsidR="002B6494" w:rsidRDefault="002B6494" w:rsidP="00997863"/>
    <w:p w14:paraId="141CE205" w14:textId="77777777" w:rsidR="002B6494" w:rsidRDefault="002B6494" w:rsidP="00997863"/>
    <w:p w14:paraId="33178F04" w14:textId="77777777" w:rsidR="002B6494" w:rsidRDefault="002B6494" w:rsidP="00997863"/>
    <w:p w14:paraId="29D664F2" w14:textId="77777777" w:rsidR="002B6494" w:rsidRDefault="002B6494" w:rsidP="00997863"/>
    <w:p w14:paraId="20EB5F3F" w14:textId="77777777" w:rsidR="002B6494" w:rsidRPr="00997863" w:rsidRDefault="002B6494" w:rsidP="00997863"/>
    <w:p w14:paraId="00B1CABC" w14:textId="77777777" w:rsidR="00997863" w:rsidRPr="00997863" w:rsidRDefault="00997863" w:rsidP="00997863"/>
    <w:p w14:paraId="3FBB2F6A" w14:textId="77777777" w:rsidR="005968BD" w:rsidRPr="00997863" w:rsidRDefault="005968BD" w:rsidP="002B6494">
      <w:pPr>
        <w:jc w:val="right"/>
        <w:sectPr w:rsidR="005968BD" w:rsidRPr="00997863" w:rsidSect="00C67A85">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385" w:right="720" w:bottom="720" w:left="720" w:header="454" w:footer="958" w:gutter="0"/>
          <w:cols w:space="720"/>
          <w:docGrid w:linePitch="272"/>
        </w:sectPr>
      </w:pPr>
    </w:p>
    <w:p w14:paraId="0B16DA4B" w14:textId="77777777" w:rsidR="00175244" w:rsidRPr="00175244" w:rsidRDefault="00D83662" w:rsidP="00175244">
      <w:pPr>
        <w:pStyle w:val="BodyText"/>
        <w:ind w:left="284"/>
        <w:rPr>
          <w:rFonts w:cs="Arial"/>
          <w:b/>
          <w:color w:val="003656" w:themeColor="accent4" w:themeTint="E6"/>
        </w:rPr>
      </w:pPr>
      <w:r>
        <w:rPr>
          <w:rFonts w:cs="Arial"/>
          <w:b/>
          <w:color w:val="003656" w:themeColor="accent4" w:themeTint="E6"/>
        </w:rPr>
        <w:lastRenderedPageBreak/>
        <w:t xml:space="preserve">TECHNICAL BRIEFING NOTE </w:t>
      </w:r>
      <w:r w:rsidR="00175244" w:rsidRPr="00175244">
        <w:rPr>
          <w:rFonts w:cs="Arial"/>
          <w:b/>
          <w:color w:val="003656" w:themeColor="accent4" w:themeTint="E6"/>
        </w:rPr>
        <w:t>GUIDANCE ISSUED BY UKOPA:</w:t>
      </w:r>
    </w:p>
    <w:p w14:paraId="06C11397" w14:textId="6324B454" w:rsidR="00175244" w:rsidRPr="007A09E5" w:rsidRDefault="00796ADA" w:rsidP="003C1027">
      <w:pPr>
        <w:pStyle w:val="BodyText"/>
        <w:ind w:left="284"/>
        <w:rPr>
          <w:rFonts w:cs="Arial"/>
        </w:rPr>
      </w:pPr>
      <w:r w:rsidRPr="007A09E5">
        <w:rPr>
          <w:rFonts w:cs="Arial"/>
        </w:rPr>
        <w:t>This Technical Briefing Note (TBN)</w:t>
      </w:r>
      <w:r w:rsidR="007A09E5">
        <w:rPr>
          <w:rFonts w:cs="Arial"/>
        </w:rPr>
        <w:t xml:space="preserve"> identifies</w:t>
      </w:r>
      <w:r w:rsidR="00175244" w:rsidRPr="007A09E5">
        <w:rPr>
          <w:rFonts w:cs="Arial"/>
        </w:rPr>
        <w:t xml:space="preserve"> what is considered by UKOPA to represent current UK pipeline industry good practice within the defined scope of the </w:t>
      </w:r>
      <w:r w:rsidR="003C1027" w:rsidRPr="007A09E5">
        <w:rPr>
          <w:rFonts w:cs="Arial"/>
        </w:rPr>
        <w:t xml:space="preserve">document. All information is </w:t>
      </w:r>
      <w:r w:rsidR="00175244" w:rsidRPr="007A09E5">
        <w:rPr>
          <w:rFonts w:cs="Arial"/>
        </w:rPr>
        <w:t>guidance and should not be considered obligato</w:t>
      </w:r>
      <w:r w:rsidR="003C1027" w:rsidRPr="007A09E5">
        <w:rPr>
          <w:rFonts w:cs="Arial"/>
        </w:rPr>
        <w:t xml:space="preserve">ry against the judgement of the </w:t>
      </w:r>
      <w:r w:rsidR="00175244" w:rsidRPr="007A09E5">
        <w:rPr>
          <w:rFonts w:cs="Arial"/>
        </w:rPr>
        <w:t xml:space="preserve">Pipeline Owner/Operator. Where new and better techniques are </w:t>
      </w:r>
      <w:r w:rsidR="007A09E5">
        <w:rPr>
          <w:rFonts w:cs="Arial"/>
        </w:rPr>
        <w:t>developed</w:t>
      </w:r>
      <w:r w:rsidR="00175244" w:rsidRPr="007A09E5">
        <w:rPr>
          <w:rFonts w:cs="Arial"/>
        </w:rPr>
        <w:t xml:space="preserve"> and proved, they should be adopted without waiting for modifications to this</w:t>
      </w:r>
      <w:r w:rsidR="003C1027" w:rsidRPr="007A09E5">
        <w:rPr>
          <w:rFonts w:cs="Arial"/>
        </w:rPr>
        <w:t xml:space="preserve"> TBN.</w:t>
      </w:r>
    </w:p>
    <w:p w14:paraId="38193F01" w14:textId="77777777" w:rsidR="00175244" w:rsidRDefault="00175244" w:rsidP="00175244">
      <w:pPr>
        <w:pStyle w:val="BodyText"/>
        <w:ind w:left="284"/>
        <w:rPr>
          <w:rFonts w:cs="Arial"/>
        </w:rPr>
      </w:pPr>
    </w:p>
    <w:p w14:paraId="3B92D737" w14:textId="77777777" w:rsidR="00175244" w:rsidRDefault="00175244" w:rsidP="00175244">
      <w:pPr>
        <w:pStyle w:val="BodyText"/>
        <w:ind w:left="284"/>
        <w:rPr>
          <w:rFonts w:cs="Arial"/>
        </w:rPr>
      </w:pPr>
    </w:p>
    <w:p w14:paraId="0B572842" w14:textId="77777777" w:rsidR="00175244" w:rsidRDefault="00175244" w:rsidP="00175244">
      <w:pPr>
        <w:pStyle w:val="BodyText"/>
        <w:ind w:left="284"/>
        <w:rPr>
          <w:rFonts w:cs="Arial"/>
        </w:rPr>
      </w:pPr>
    </w:p>
    <w:p w14:paraId="29B02633" w14:textId="77777777" w:rsidR="00916BD5" w:rsidRPr="00BF7AD5" w:rsidRDefault="00916BD5" w:rsidP="00175244">
      <w:pPr>
        <w:pStyle w:val="BodyText"/>
        <w:ind w:left="284"/>
        <w:rPr>
          <w:rFonts w:cs="Arial"/>
          <w:b/>
        </w:rPr>
      </w:pPr>
      <w:r w:rsidRPr="00BF7AD5">
        <w:rPr>
          <w:rFonts w:cs="Arial"/>
        </w:rPr>
        <w:t>Comments, questions and enquiries about this publication should be directed to</w:t>
      </w:r>
      <w:r w:rsidRPr="00BF7AD5">
        <w:rPr>
          <w:rFonts w:cs="Arial"/>
          <w:b/>
        </w:rPr>
        <w:t>:</w:t>
      </w:r>
    </w:p>
    <w:p w14:paraId="65B62B2C" w14:textId="77777777" w:rsidR="00916BD5" w:rsidRPr="00175244" w:rsidRDefault="00175244" w:rsidP="00BF7AD5">
      <w:pPr>
        <w:pStyle w:val="BodyText"/>
        <w:spacing w:before="0" w:after="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18A31D1D" w14:textId="77777777" w:rsidR="00916BD5" w:rsidRPr="00BF7AD5" w:rsidRDefault="00916BD5" w:rsidP="00BF7AD5">
      <w:pPr>
        <w:pStyle w:val="BodyText"/>
        <w:spacing w:before="0" w:after="0"/>
        <w:ind w:left="1440"/>
        <w:rPr>
          <w:rFonts w:cs="Arial"/>
        </w:rPr>
      </w:pPr>
      <w:r w:rsidRPr="00BF7AD5">
        <w:rPr>
          <w:rFonts w:cs="Arial"/>
        </w:rPr>
        <w:t>Pipeline Maintenance Centre</w:t>
      </w:r>
    </w:p>
    <w:p w14:paraId="44A0AB1D" w14:textId="77777777" w:rsidR="00916BD5" w:rsidRPr="00BF7AD5" w:rsidRDefault="00916BD5" w:rsidP="00BF7AD5">
      <w:pPr>
        <w:pStyle w:val="BodyText"/>
        <w:spacing w:before="0" w:after="0"/>
        <w:ind w:left="1440"/>
        <w:rPr>
          <w:rFonts w:cs="Arial"/>
        </w:rPr>
      </w:pPr>
      <w:r w:rsidRPr="00BF7AD5">
        <w:rPr>
          <w:rFonts w:cs="Arial"/>
        </w:rPr>
        <w:t>Ripley Road</w:t>
      </w:r>
    </w:p>
    <w:p w14:paraId="62D15F9C" w14:textId="77777777" w:rsidR="00916BD5" w:rsidRPr="00BF7AD5" w:rsidRDefault="00916BD5" w:rsidP="00BF7AD5">
      <w:pPr>
        <w:pStyle w:val="BodyText"/>
        <w:spacing w:before="0" w:after="0"/>
        <w:ind w:left="1440"/>
        <w:rPr>
          <w:rFonts w:cs="Arial"/>
        </w:rPr>
      </w:pPr>
      <w:proofErr w:type="spellStart"/>
      <w:r w:rsidRPr="00BF7AD5">
        <w:rPr>
          <w:rFonts w:cs="Arial"/>
        </w:rPr>
        <w:t>Ambergate</w:t>
      </w:r>
      <w:proofErr w:type="spellEnd"/>
      <w:r w:rsidRPr="00BF7AD5">
        <w:rPr>
          <w:rFonts w:cs="Arial"/>
        </w:rPr>
        <w:tab/>
      </w:r>
    </w:p>
    <w:p w14:paraId="154DC8FA" w14:textId="77777777" w:rsidR="00BF7AD5" w:rsidRPr="00BF7AD5" w:rsidRDefault="00916BD5" w:rsidP="00BF7AD5">
      <w:pPr>
        <w:pStyle w:val="BodyText"/>
        <w:spacing w:before="0" w:after="0"/>
        <w:ind w:left="1440"/>
        <w:rPr>
          <w:rFonts w:cs="Arial"/>
        </w:rPr>
      </w:pPr>
      <w:r w:rsidRPr="00BF7AD5">
        <w:rPr>
          <w:rFonts w:cs="Arial"/>
        </w:rPr>
        <w:t>Derbyshire</w:t>
      </w:r>
    </w:p>
    <w:p w14:paraId="6423E879" w14:textId="77777777" w:rsidR="00916BD5" w:rsidRPr="00BF7AD5" w:rsidRDefault="00916BD5" w:rsidP="00BF7AD5">
      <w:pPr>
        <w:pStyle w:val="BodyText"/>
        <w:spacing w:before="0" w:after="0"/>
        <w:ind w:left="1440"/>
        <w:rPr>
          <w:rFonts w:cs="Arial"/>
        </w:rPr>
      </w:pPr>
      <w:r w:rsidRPr="00BF7AD5">
        <w:rPr>
          <w:rFonts w:cs="Arial"/>
        </w:rPr>
        <w:t>DE56 2FZ</w:t>
      </w:r>
    </w:p>
    <w:p w14:paraId="509A5900"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6" w:history="1">
        <w:r w:rsidR="00916BD5" w:rsidRPr="00BF7AD5">
          <w:rPr>
            <w:rStyle w:val="Hyperlink"/>
            <w:rFonts w:cs="Arial"/>
            <w:b/>
          </w:rPr>
          <w:t>enquiries@ukopa.co.uk</w:t>
        </w:r>
      </w:hyperlink>
    </w:p>
    <w:p w14:paraId="4C55362E"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7" w:history="1">
        <w:r w:rsidRPr="0072154B">
          <w:rPr>
            <w:rStyle w:val="Hyperlink"/>
            <w:rFonts w:cs="Arial"/>
            <w:b/>
          </w:rPr>
          <w:t>www.UKOPA.co.uk</w:t>
        </w:r>
      </w:hyperlink>
    </w:p>
    <w:p w14:paraId="7C0C731A" w14:textId="77777777" w:rsidR="00BF7AD5" w:rsidRDefault="00BF7AD5" w:rsidP="00916BD5">
      <w:pPr>
        <w:pStyle w:val="BodyText"/>
        <w:ind w:left="284"/>
        <w:rPr>
          <w:rFonts w:cs="Arial"/>
          <w:b/>
          <w:sz w:val="16"/>
          <w:szCs w:val="16"/>
        </w:rPr>
      </w:pPr>
    </w:p>
    <w:p w14:paraId="04A897F9"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52DAD1BF" w14:textId="77777777" w:rsidR="009F334C" w:rsidRPr="009F334C" w:rsidRDefault="009F334C" w:rsidP="009F334C">
      <w:pPr>
        <w:pStyle w:val="BodyText"/>
        <w:ind w:left="284"/>
        <w:rPr>
          <w:rFonts w:cs="Arial"/>
          <w:sz w:val="16"/>
          <w:szCs w:val="16"/>
        </w:rPr>
      </w:pPr>
      <w:r w:rsidRPr="009F334C">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2FAD5F42" w14:textId="27EAF3FE" w:rsidR="009F334C" w:rsidRPr="009F334C" w:rsidRDefault="009F334C" w:rsidP="009F334C">
      <w:pPr>
        <w:pStyle w:val="BodyText"/>
        <w:ind w:left="284"/>
        <w:rPr>
          <w:rFonts w:cs="Arial"/>
          <w:sz w:val="16"/>
          <w:szCs w:val="16"/>
        </w:rPr>
      </w:pPr>
      <w:r w:rsidRPr="009F334C">
        <w:rPr>
          <w:rFonts w:cs="Arial"/>
          <w:sz w:val="16"/>
          <w:szCs w:val="16"/>
        </w:rPr>
        <w:t>Copyright @</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4E7519">
        <w:rPr>
          <w:rFonts w:cs="Arial"/>
          <w:noProof/>
          <w:sz w:val="16"/>
          <w:szCs w:val="16"/>
        </w:rPr>
        <w:t>2020</w:t>
      </w:r>
      <w:r w:rsidR="00916BD5">
        <w:rPr>
          <w:rFonts w:cs="Arial"/>
          <w:sz w:val="16"/>
          <w:szCs w:val="16"/>
        </w:rPr>
        <w:fldChar w:fldCharType="end"/>
      </w:r>
      <w:r w:rsidRPr="009F334C">
        <w:rPr>
          <w:rFonts w:cs="Arial"/>
          <w:sz w:val="16"/>
          <w:szCs w:val="16"/>
        </w:rPr>
        <w:t>, UKOPA.  All rights reserved</w:t>
      </w:r>
    </w:p>
    <w:p w14:paraId="292C3CC5"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21242A95" w14:textId="30FBDAFE"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r w:rsidR="008B210F">
        <w:rPr>
          <w:rFonts w:cs="Arial"/>
          <w:b/>
          <w:color w:val="003656" w:themeColor="accent4" w:themeTint="E6"/>
        </w:rPr>
        <w:t xml:space="preserve"> 2020</w:t>
      </w:r>
    </w:p>
    <w:tbl>
      <w:tblPr>
        <w:tblStyle w:val="TableGrid"/>
        <w:tblW w:w="0" w:type="auto"/>
        <w:tblLook w:val="04A0" w:firstRow="1" w:lastRow="0" w:firstColumn="1" w:lastColumn="0" w:noHBand="0" w:noVBand="1"/>
      </w:tblPr>
      <w:tblGrid>
        <w:gridCol w:w="1417"/>
        <w:gridCol w:w="1701"/>
        <w:gridCol w:w="1843"/>
        <w:gridCol w:w="3990"/>
      </w:tblGrid>
      <w:tr w:rsidR="00F12BCC" w14:paraId="6803A450"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038267E1"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3CD7DCBC" w14:textId="77777777" w:rsidR="002F1438" w:rsidRPr="00A06D4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403BE267"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5469558B"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2F1438" w14:paraId="267E6751"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6EC383B3" w14:textId="7B8123F9" w:rsidR="002F1438" w:rsidRPr="00A06D46" w:rsidRDefault="00100320" w:rsidP="00533EE5">
            <w:pPr>
              <w:jc w:val="center"/>
              <w:rPr>
                <w:b/>
                <w:szCs w:val="18"/>
              </w:rPr>
            </w:pPr>
            <w:r>
              <w:rPr>
                <w:b/>
                <w:szCs w:val="18"/>
              </w:rPr>
              <w:t>1</w:t>
            </w:r>
          </w:p>
        </w:tc>
        <w:tc>
          <w:tcPr>
            <w:tcW w:w="1701" w:type="dxa"/>
          </w:tcPr>
          <w:p w14:paraId="5DA066C8" w14:textId="2C26FA5E" w:rsidR="002F1438" w:rsidRPr="0018347E" w:rsidRDefault="00617003"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12/09/2019</w:t>
            </w:r>
          </w:p>
        </w:tc>
        <w:tc>
          <w:tcPr>
            <w:tcW w:w="1843" w:type="dxa"/>
          </w:tcPr>
          <w:p w14:paraId="6D93F120" w14:textId="1EFC80FD" w:rsidR="002F1438" w:rsidRPr="0018347E" w:rsidRDefault="00617003"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12</w:t>
            </w:r>
          </w:p>
        </w:tc>
        <w:tc>
          <w:tcPr>
            <w:tcW w:w="3990" w:type="dxa"/>
          </w:tcPr>
          <w:p w14:paraId="5F965D19" w14:textId="15802F53" w:rsidR="002F1438" w:rsidRPr="0018347E" w:rsidRDefault="00617003"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Format conversion from 2005 note</w:t>
            </w:r>
          </w:p>
        </w:tc>
      </w:tr>
      <w:tr w:rsidR="002F1438" w14:paraId="2770BDC1"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5A4E6318" w14:textId="10F8BFEC" w:rsidR="002F1438" w:rsidRPr="00A06D46" w:rsidRDefault="002F1438" w:rsidP="002F1438">
            <w:pPr>
              <w:jc w:val="center"/>
              <w:rPr>
                <w:b/>
                <w:szCs w:val="18"/>
              </w:rPr>
            </w:pPr>
          </w:p>
        </w:tc>
        <w:tc>
          <w:tcPr>
            <w:tcW w:w="1701" w:type="dxa"/>
          </w:tcPr>
          <w:p w14:paraId="0C3C734D"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062013D0"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17A4C6F1"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r>
      <w:tr w:rsidR="002F1438" w14:paraId="7BFD8113"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2B2C636A" w14:textId="31E77AE1" w:rsidR="002F1438" w:rsidRPr="00A06D46" w:rsidRDefault="002F1438" w:rsidP="002F1438">
            <w:pPr>
              <w:jc w:val="center"/>
              <w:rPr>
                <w:b/>
                <w:szCs w:val="18"/>
              </w:rPr>
            </w:pPr>
          </w:p>
        </w:tc>
        <w:tc>
          <w:tcPr>
            <w:tcW w:w="1701" w:type="dxa"/>
          </w:tcPr>
          <w:p w14:paraId="60EEAC3A"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3F521B4A"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4BEDC724"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r>
      <w:tr w:rsidR="00F12BCC" w14:paraId="61F4609A"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74D9D4E" w14:textId="1861E1C8" w:rsidR="00F12BCC" w:rsidRDefault="00F12BCC" w:rsidP="002F1438">
            <w:pPr>
              <w:jc w:val="center"/>
              <w:rPr>
                <w:b/>
                <w:szCs w:val="18"/>
              </w:rPr>
            </w:pPr>
          </w:p>
        </w:tc>
        <w:tc>
          <w:tcPr>
            <w:tcW w:w="1701" w:type="dxa"/>
          </w:tcPr>
          <w:p w14:paraId="0798864B" w14:textId="77777777" w:rsidR="00F12BCC" w:rsidRPr="0018347E" w:rsidRDefault="00F12BCC" w:rsidP="002F1438">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01648D45" w14:textId="77777777" w:rsidR="00F12BCC" w:rsidRPr="0018347E" w:rsidRDefault="00F12BCC"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098C2F04" w14:textId="77777777" w:rsidR="00F12BCC" w:rsidRPr="0018347E" w:rsidRDefault="00F12BCC" w:rsidP="002F1438">
            <w:pPr>
              <w:cnfStyle w:val="000000000000" w:firstRow="0" w:lastRow="0" w:firstColumn="0" w:lastColumn="0" w:oddVBand="0" w:evenVBand="0" w:oddHBand="0" w:evenHBand="0" w:firstRowFirstColumn="0" w:firstRowLastColumn="0" w:lastRowFirstColumn="0" w:lastRowLastColumn="0"/>
              <w:rPr>
                <w:szCs w:val="18"/>
              </w:rPr>
            </w:pPr>
          </w:p>
        </w:tc>
      </w:tr>
    </w:tbl>
    <w:p w14:paraId="772AE978" w14:textId="77777777" w:rsidR="00675D04" w:rsidRDefault="00675D04" w:rsidP="0053157C">
      <w:pPr>
        <w:pStyle w:val="RevisionBoxHeading"/>
      </w:pPr>
    </w:p>
    <w:p w14:paraId="444B89F1" w14:textId="77777777" w:rsidR="00675D04" w:rsidRDefault="00675D04" w:rsidP="00675D04">
      <w:pPr>
        <w:sectPr w:rsidR="00675D04" w:rsidSect="00D42808">
          <w:headerReference w:type="default" r:id="rId18"/>
          <w:footerReference w:type="default" r:id="rId19"/>
          <w:headerReference w:type="first" r:id="rId20"/>
          <w:footerReference w:type="first" r:id="rId21"/>
          <w:endnotePr>
            <w:numFmt w:val="decimal"/>
          </w:endnotePr>
          <w:pgSz w:w="11909" w:h="16834" w:code="9"/>
          <w:pgMar w:top="1418" w:right="1418" w:bottom="709" w:left="1418" w:header="709" w:footer="709" w:gutter="0"/>
          <w:cols w:space="720"/>
          <w:formProt w:val="0"/>
          <w:vAlign w:val="bottom"/>
          <w:docGrid w:linePitch="272"/>
        </w:sectPr>
      </w:pPr>
    </w:p>
    <w:p w14:paraId="20F7CB61" w14:textId="77777777" w:rsidR="0072154B" w:rsidRDefault="0072154B" w:rsidP="00F97F6F">
      <w:pPr>
        <w:pStyle w:val="HeadingContents"/>
      </w:pPr>
    </w:p>
    <w:p w14:paraId="5D420022"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182E0B65" w14:textId="41840E55" w:rsidR="006A7ACC" w:rsidRDefault="0095301A">
      <w:pPr>
        <w:pStyle w:val="TOC1"/>
        <w:rPr>
          <w:rFonts w:eastAsiaTheme="minorEastAsia" w:cstheme="minorBidi"/>
          <w:b w:val="0"/>
          <w:sz w:val="22"/>
          <w:szCs w:val="22"/>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29230217" w:history="1">
        <w:r w:rsidR="006A7ACC" w:rsidRPr="000E01B7">
          <w:rPr>
            <w:rStyle w:val="Hyperlink"/>
          </w:rPr>
          <w:t>1.</w:t>
        </w:r>
        <w:r w:rsidR="006A7ACC">
          <w:rPr>
            <w:rFonts w:eastAsiaTheme="minorEastAsia" w:cstheme="minorBidi"/>
            <w:b w:val="0"/>
            <w:sz w:val="22"/>
            <w:szCs w:val="22"/>
            <w:lang w:eastAsia="en-GB"/>
          </w:rPr>
          <w:tab/>
        </w:r>
        <w:r w:rsidR="006A7ACC" w:rsidRPr="000E01B7">
          <w:rPr>
            <w:rStyle w:val="Hyperlink"/>
          </w:rPr>
          <w:t>Introduction</w:t>
        </w:r>
        <w:r w:rsidR="006A7ACC">
          <w:rPr>
            <w:webHidden/>
          </w:rPr>
          <w:tab/>
        </w:r>
        <w:r w:rsidR="006A7ACC">
          <w:rPr>
            <w:webHidden/>
          </w:rPr>
          <w:fldChar w:fldCharType="begin"/>
        </w:r>
        <w:r w:rsidR="006A7ACC">
          <w:rPr>
            <w:webHidden/>
          </w:rPr>
          <w:instrText xml:space="preserve"> PAGEREF _Toc29230217 \h </w:instrText>
        </w:r>
        <w:r w:rsidR="006A7ACC">
          <w:rPr>
            <w:webHidden/>
          </w:rPr>
        </w:r>
        <w:r w:rsidR="006A7ACC">
          <w:rPr>
            <w:webHidden/>
          </w:rPr>
          <w:fldChar w:fldCharType="separate"/>
        </w:r>
        <w:r w:rsidR="006A7ACC">
          <w:rPr>
            <w:webHidden/>
          </w:rPr>
          <w:t>1</w:t>
        </w:r>
        <w:r w:rsidR="006A7ACC">
          <w:rPr>
            <w:webHidden/>
          </w:rPr>
          <w:fldChar w:fldCharType="end"/>
        </w:r>
      </w:hyperlink>
    </w:p>
    <w:p w14:paraId="3977D1A5" w14:textId="6670FE53" w:rsidR="006A7ACC" w:rsidRDefault="004E7519">
      <w:pPr>
        <w:pStyle w:val="TOC2"/>
        <w:rPr>
          <w:rFonts w:eastAsiaTheme="minorEastAsia" w:cstheme="minorBidi"/>
          <w:sz w:val="22"/>
          <w:szCs w:val="22"/>
          <w:lang w:eastAsia="en-GB"/>
        </w:rPr>
      </w:pPr>
      <w:hyperlink w:anchor="_Toc29230218" w:history="1">
        <w:r w:rsidR="006A7ACC" w:rsidRPr="000E01B7">
          <w:rPr>
            <w:rStyle w:val="Hyperlink"/>
          </w:rPr>
          <w:t>1.1</w:t>
        </w:r>
        <w:r w:rsidR="006A7ACC">
          <w:rPr>
            <w:rFonts w:eastAsiaTheme="minorEastAsia" w:cstheme="minorBidi"/>
            <w:sz w:val="22"/>
            <w:szCs w:val="22"/>
            <w:lang w:eastAsia="en-GB"/>
          </w:rPr>
          <w:tab/>
        </w:r>
        <w:r w:rsidR="006A7ACC" w:rsidRPr="000E01B7">
          <w:rPr>
            <w:rStyle w:val="Hyperlink"/>
          </w:rPr>
          <w:t>Scope</w:t>
        </w:r>
        <w:r w:rsidR="006A7ACC">
          <w:rPr>
            <w:webHidden/>
          </w:rPr>
          <w:tab/>
        </w:r>
        <w:r w:rsidR="006A7ACC">
          <w:rPr>
            <w:webHidden/>
          </w:rPr>
          <w:fldChar w:fldCharType="begin"/>
        </w:r>
        <w:r w:rsidR="006A7ACC">
          <w:rPr>
            <w:webHidden/>
          </w:rPr>
          <w:instrText xml:space="preserve"> PAGEREF _Toc29230218 \h </w:instrText>
        </w:r>
        <w:r w:rsidR="006A7ACC">
          <w:rPr>
            <w:webHidden/>
          </w:rPr>
        </w:r>
        <w:r w:rsidR="006A7ACC">
          <w:rPr>
            <w:webHidden/>
          </w:rPr>
          <w:fldChar w:fldCharType="separate"/>
        </w:r>
        <w:r w:rsidR="006A7ACC">
          <w:rPr>
            <w:webHidden/>
          </w:rPr>
          <w:t>1</w:t>
        </w:r>
        <w:r w:rsidR="006A7ACC">
          <w:rPr>
            <w:webHidden/>
          </w:rPr>
          <w:fldChar w:fldCharType="end"/>
        </w:r>
      </w:hyperlink>
    </w:p>
    <w:p w14:paraId="44B28A5F" w14:textId="125B0456" w:rsidR="006A7ACC" w:rsidRDefault="004E7519">
      <w:pPr>
        <w:pStyle w:val="TOC2"/>
        <w:rPr>
          <w:rFonts w:eastAsiaTheme="minorEastAsia" w:cstheme="minorBidi"/>
          <w:sz w:val="22"/>
          <w:szCs w:val="22"/>
          <w:lang w:eastAsia="en-GB"/>
        </w:rPr>
      </w:pPr>
      <w:hyperlink w:anchor="_Toc29230219" w:history="1">
        <w:r w:rsidR="006A7ACC" w:rsidRPr="000E01B7">
          <w:rPr>
            <w:rStyle w:val="Hyperlink"/>
          </w:rPr>
          <w:t>1.2</w:t>
        </w:r>
        <w:r w:rsidR="006A7ACC">
          <w:rPr>
            <w:rFonts w:eastAsiaTheme="minorEastAsia" w:cstheme="minorBidi"/>
            <w:sz w:val="22"/>
            <w:szCs w:val="22"/>
            <w:lang w:eastAsia="en-GB"/>
          </w:rPr>
          <w:tab/>
        </w:r>
        <w:r w:rsidR="006A7ACC" w:rsidRPr="000E01B7">
          <w:rPr>
            <w:rStyle w:val="Hyperlink"/>
          </w:rPr>
          <w:t>Abbreviations</w:t>
        </w:r>
        <w:r w:rsidR="006A7ACC">
          <w:rPr>
            <w:webHidden/>
          </w:rPr>
          <w:tab/>
        </w:r>
        <w:r w:rsidR="006A7ACC">
          <w:rPr>
            <w:webHidden/>
          </w:rPr>
          <w:fldChar w:fldCharType="begin"/>
        </w:r>
        <w:r w:rsidR="006A7ACC">
          <w:rPr>
            <w:webHidden/>
          </w:rPr>
          <w:instrText xml:space="preserve"> PAGEREF _Toc29230219 \h </w:instrText>
        </w:r>
        <w:r w:rsidR="006A7ACC">
          <w:rPr>
            <w:webHidden/>
          </w:rPr>
        </w:r>
        <w:r w:rsidR="006A7ACC">
          <w:rPr>
            <w:webHidden/>
          </w:rPr>
          <w:fldChar w:fldCharType="separate"/>
        </w:r>
        <w:r w:rsidR="006A7ACC">
          <w:rPr>
            <w:webHidden/>
          </w:rPr>
          <w:t>1</w:t>
        </w:r>
        <w:r w:rsidR="006A7ACC">
          <w:rPr>
            <w:webHidden/>
          </w:rPr>
          <w:fldChar w:fldCharType="end"/>
        </w:r>
      </w:hyperlink>
    </w:p>
    <w:p w14:paraId="107339C7" w14:textId="58A7948D" w:rsidR="006A7ACC" w:rsidRDefault="004E7519">
      <w:pPr>
        <w:pStyle w:val="TOC1"/>
        <w:rPr>
          <w:rFonts w:eastAsiaTheme="minorEastAsia" w:cstheme="minorBidi"/>
          <w:b w:val="0"/>
          <w:sz w:val="22"/>
          <w:szCs w:val="22"/>
          <w:lang w:eastAsia="en-GB"/>
        </w:rPr>
      </w:pPr>
      <w:hyperlink w:anchor="_Toc29230220" w:history="1">
        <w:r w:rsidR="006A7ACC" w:rsidRPr="000E01B7">
          <w:rPr>
            <w:rStyle w:val="Hyperlink"/>
          </w:rPr>
          <w:t>2.</w:t>
        </w:r>
        <w:r w:rsidR="006A7ACC">
          <w:rPr>
            <w:rFonts w:eastAsiaTheme="minorEastAsia" w:cstheme="minorBidi"/>
            <w:b w:val="0"/>
            <w:sz w:val="22"/>
            <w:szCs w:val="22"/>
            <w:lang w:eastAsia="en-GB"/>
          </w:rPr>
          <w:tab/>
        </w:r>
        <w:r w:rsidR="006A7ACC" w:rsidRPr="000E01B7">
          <w:rPr>
            <w:rStyle w:val="Hyperlink"/>
          </w:rPr>
          <w:t>Probability of 3</w:t>
        </w:r>
        <w:r w:rsidR="006A7ACC" w:rsidRPr="000E01B7">
          <w:rPr>
            <w:rStyle w:val="Hyperlink"/>
            <w:vertAlign w:val="superscript"/>
          </w:rPr>
          <w:t>rd</w:t>
        </w:r>
        <w:r w:rsidR="006A7ACC" w:rsidRPr="000E01B7">
          <w:rPr>
            <w:rStyle w:val="Hyperlink"/>
          </w:rPr>
          <w:t xml:space="preserve"> Party Excavation Reaching the Pipeline</w:t>
        </w:r>
        <w:r w:rsidR="006A7ACC">
          <w:rPr>
            <w:webHidden/>
          </w:rPr>
          <w:tab/>
        </w:r>
        <w:r w:rsidR="006A7ACC">
          <w:rPr>
            <w:webHidden/>
          </w:rPr>
          <w:fldChar w:fldCharType="begin"/>
        </w:r>
        <w:r w:rsidR="006A7ACC">
          <w:rPr>
            <w:webHidden/>
          </w:rPr>
          <w:instrText xml:space="preserve"> PAGEREF _Toc29230220 \h </w:instrText>
        </w:r>
        <w:r w:rsidR="006A7ACC">
          <w:rPr>
            <w:webHidden/>
          </w:rPr>
        </w:r>
        <w:r w:rsidR="006A7ACC">
          <w:rPr>
            <w:webHidden/>
          </w:rPr>
          <w:fldChar w:fldCharType="separate"/>
        </w:r>
        <w:r w:rsidR="006A7ACC">
          <w:rPr>
            <w:webHidden/>
          </w:rPr>
          <w:t>2</w:t>
        </w:r>
        <w:r w:rsidR="006A7ACC">
          <w:rPr>
            <w:webHidden/>
          </w:rPr>
          <w:fldChar w:fldCharType="end"/>
        </w:r>
      </w:hyperlink>
    </w:p>
    <w:p w14:paraId="2F7C43E9" w14:textId="7B27EC1B" w:rsidR="006A7ACC" w:rsidRDefault="004E7519">
      <w:pPr>
        <w:pStyle w:val="TOC1"/>
        <w:rPr>
          <w:rFonts w:eastAsiaTheme="minorEastAsia" w:cstheme="minorBidi"/>
          <w:b w:val="0"/>
          <w:sz w:val="22"/>
          <w:szCs w:val="22"/>
          <w:lang w:eastAsia="en-GB"/>
        </w:rPr>
      </w:pPr>
      <w:hyperlink w:anchor="_Toc29230221" w:history="1">
        <w:r w:rsidR="006A7ACC" w:rsidRPr="000E01B7">
          <w:rPr>
            <w:rStyle w:val="Hyperlink"/>
          </w:rPr>
          <w:t>3.</w:t>
        </w:r>
        <w:r w:rsidR="006A7ACC">
          <w:rPr>
            <w:rFonts w:eastAsiaTheme="minorEastAsia" w:cstheme="minorBidi"/>
            <w:b w:val="0"/>
            <w:sz w:val="22"/>
            <w:szCs w:val="22"/>
            <w:lang w:eastAsia="en-GB"/>
          </w:rPr>
          <w:tab/>
        </w:r>
        <w:r w:rsidR="006A7ACC" w:rsidRPr="000E01B7">
          <w:rPr>
            <w:rStyle w:val="Hyperlink"/>
          </w:rPr>
          <w:t>Method of Analysis</w:t>
        </w:r>
        <w:r w:rsidR="006A7ACC">
          <w:rPr>
            <w:webHidden/>
          </w:rPr>
          <w:tab/>
        </w:r>
        <w:r w:rsidR="006A7ACC">
          <w:rPr>
            <w:webHidden/>
          </w:rPr>
          <w:fldChar w:fldCharType="begin"/>
        </w:r>
        <w:r w:rsidR="006A7ACC">
          <w:rPr>
            <w:webHidden/>
          </w:rPr>
          <w:instrText xml:space="preserve"> PAGEREF _Toc29230221 \h </w:instrText>
        </w:r>
        <w:r w:rsidR="006A7ACC">
          <w:rPr>
            <w:webHidden/>
          </w:rPr>
        </w:r>
        <w:r w:rsidR="006A7ACC">
          <w:rPr>
            <w:webHidden/>
          </w:rPr>
          <w:fldChar w:fldCharType="separate"/>
        </w:r>
        <w:r w:rsidR="006A7ACC">
          <w:rPr>
            <w:webHidden/>
          </w:rPr>
          <w:t>3</w:t>
        </w:r>
        <w:r w:rsidR="006A7ACC">
          <w:rPr>
            <w:webHidden/>
          </w:rPr>
          <w:fldChar w:fldCharType="end"/>
        </w:r>
      </w:hyperlink>
    </w:p>
    <w:p w14:paraId="4D461976" w14:textId="1178EECE" w:rsidR="006A7ACC" w:rsidRDefault="004E7519">
      <w:pPr>
        <w:pStyle w:val="TOC2"/>
        <w:rPr>
          <w:rFonts w:eastAsiaTheme="minorEastAsia" w:cstheme="minorBidi"/>
          <w:sz w:val="22"/>
          <w:szCs w:val="22"/>
          <w:lang w:eastAsia="en-GB"/>
        </w:rPr>
      </w:pPr>
      <w:hyperlink w:anchor="_Toc29230222" w:history="1">
        <w:r w:rsidR="006A7ACC" w:rsidRPr="000E01B7">
          <w:rPr>
            <w:rStyle w:val="Hyperlink"/>
          </w:rPr>
          <w:t>3.1</w:t>
        </w:r>
        <w:r w:rsidR="006A7ACC">
          <w:rPr>
            <w:rFonts w:eastAsiaTheme="minorEastAsia" w:cstheme="minorBidi"/>
            <w:sz w:val="22"/>
            <w:szCs w:val="22"/>
            <w:lang w:eastAsia="en-GB"/>
          </w:rPr>
          <w:tab/>
        </w:r>
        <w:r w:rsidR="006A7ACC" w:rsidRPr="000E01B7">
          <w:rPr>
            <w:rStyle w:val="Hyperlink"/>
          </w:rPr>
          <w:t>Data from the UKOPA Infringement Database</w:t>
        </w:r>
        <w:r w:rsidR="006A7ACC">
          <w:rPr>
            <w:webHidden/>
          </w:rPr>
          <w:tab/>
        </w:r>
        <w:r w:rsidR="006A7ACC">
          <w:rPr>
            <w:webHidden/>
          </w:rPr>
          <w:fldChar w:fldCharType="begin"/>
        </w:r>
        <w:r w:rsidR="006A7ACC">
          <w:rPr>
            <w:webHidden/>
          </w:rPr>
          <w:instrText xml:space="preserve"> PAGEREF _Toc29230222 \h </w:instrText>
        </w:r>
        <w:r w:rsidR="006A7ACC">
          <w:rPr>
            <w:webHidden/>
          </w:rPr>
        </w:r>
        <w:r w:rsidR="006A7ACC">
          <w:rPr>
            <w:webHidden/>
          </w:rPr>
          <w:fldChar w:fldCharType="separate"/>
        </w:r>
        <w:r w:rsidR="006A7ACC">
          <w:rPr>
            <w:webHidden/>
          </w:rPr>
          <w:t>3</w:t>
        </w:r>
        <w:r w:rsidR="006A7ACC">
          <w:rPr>
            <w:webHidden/>
          </w:rPr>
          <w:fldChar w:fldCharType="end"/>
        </w:r>
      </w:hyperlink>
    </w:p>
    <w:p w14:paraId="154B9937" w14:textId="6D1C6ABB" w:rsidR="006A7ACC" w:rsidRDefault="004E7519">
      <w:pPr>
        <w:pStyle w:val="TOC2"/>
        <w:rPr>
          <w:rFonts w:eastAsiaTheme="minorEastAsia" w:cstheme="minorBidi"/>
          <w:sz w:val="22"/>
          <w:szCs w:val="22"/>
          <w:lang w:eastAsia="en-GB"/>
        </w:rPr>
      </w:pPr>
      <w:hyperlink w:anchor="_Toc29230223" w:history="1">
        <w:r w:rsidR="006A7ACC" w:rsidRPr="000E01B7">
          <w:rPr>
            <w:rStyle w:val="Hyperlink"/>
          </w:rPr>
          <w:t>3.2</w:t>
        </w:r>
        <w:r w:rsidR="006A7ACC">
          <w:rPr>
            <w:rFonts w:eastAsiaTheme="minorEastAsia" w:cstheme="minorBidi"/>
            <w:sz w:val="22"/>
            <w:szCs w:val="22"/>
            <w:lang w:eastAsia="en-GB"/>
          </w:rPr>
          <w:tab/>
        </w:r>
        <w:r w:rsidR="006A7ACC" w:rsidRPr="000E01B7">
          <w:rPr>
            <w:rStyle w:val="Hyperlink"/>
          </w:rPr>
          <w:t>Derivation of Parameters for Monte-Carlo Simulation</w:t>
        </w:r>
        <w:r w:rsidR="006A7ACC">
          <w:rPr>
            <w:webHidden/>
          </w:rPr>
          <w:tab/>
        </w:r>
        <w:r w:rsidR="006A7ACC">
          <w:rPr>
            <w:webHidden/>
          </w:rPr>
          <w:fldChar w:fldCharType="begin"/>
        </w:r>
        <w:r w:rsidR="006A7ACC">
          <w:rPr>
            <w:webHidden/>
          </w:rPr>
          <w:instrText xml:space="preserve"> PAGEREF _Toc29230223 \h </w:instrText>
        </w:r>
        <w:r w:rsidR="006A7ACC">
          <w:rPr>
            <w:webHidden/>
          </w:rPr>
        </w:r>
        <w:r w:rsidR="006A7ACC">
          <w:rPr>
            <w:webHidden/>
          </w:rPr>
          <w:fldChar w:fldCharType="separate"/>
        </w:r>
        <w:r w:rsidR="006A7ACC">
          <w:rPr>
            <w:webHidden/>
          </w:rPr>
          <w:t>4</w:t>
        </w:r>
        <w:r w:rsidR="006A7ACC">
          <w:rPr>
            <w:webHidden/>
          </w:rPr>
          <w:fldChar w:fldCharType="end"/>
        </w:r>
      </w:hyperlink>
    </w:p>
    <w:p w14:paraId="10418230" w14:textId="6065010F" w:rsidR="006A7ACC" w:rsidRDefault="004E7519">
      <w:pPr>
        <w:pStyle w:val="TOC1"/>
        <w:rPr>
          <w:rFonts w:eastAsiaTheme="minorEastAsia" w:cstheme="minorBidi"/>
          <w:b w:val="0"/>
          <w:sz w:val="22"/>
          <w:szCs w:val="22"/>
          <w:lang w:eastAsia="en-GB"/>
        </w:rPr>
      </w:pPr>
      <w:hyperlink w:anchor="_Toc29230224" w:history="1">
        <w:r w:rsidR="006A7ACC" w:rsidRPr="000E01B7">
          <w:rPr>
            <w:rStyle w:val="Hyperlink"/>
          </w:rPr>
          <w:t>4.</w:t>
        </w:r>
        <w:r w:rsidR="006A7ACC">
          <w:rPr>
            <w:rFonts w:eastAsiaTheme="minorEastAsia" w:cstheme="minorBidi"/>
            <w:b w:val="0"/>
            <w:sz w:val="22"/>
            <w:szCs w:val="22"/>
            <w:lang w:eastAsia="en-GB"/>
          </w:rPr>
          <w:tab/>
        </w:r>
        <w:r w:rsidR="006A7ACC" w:rsidRPr="000E01B7">
          <w:rPr>
            <w:rStyle w:val="Hyperlink"/>
          </w:rPr>
          <w:t>Results</w:t>
        </w:r>
        <w:r w:rsidR="006A7ACC">
          <w:rPr>
            <w:webHidden/>
          </w:rPr>
          <w:tab/>
        </w:r>
        <w:r w:rsidR="006A7ACC">
          <w:rPr>
            <w:webHidden/>
          </w:rPr>
          <w:fldChar w:fldCharType="begin"/>
        </w:r>
        <w:r w:rsidR="006A7ACC">
          <w:rPr>
            <w:webHidden/>
          </w:rPr>
          <w:instrText xml:space="preserve"> PAGEREF _Toc29230224 \h </w:instrText>
        </w:r>
        <w:r w:rsidR="006A7ACC">
          <w:rPr>
            <w:webHidden/>
          </w:rPr>
        </w:r>
        <w:r w:rsidR="006A7ACC">
          <w:rPr>
            <w:webHidden/>
          </w:rPr>
          <w:fldChar w:fldCharType="separate"/>
        </w:r>
        <w:r w:rsidR="006A7ACC">
          <w:rPr>
            <w:webHidden/>
          </w:rPr>
          <w:t>7</w:t>
        </w:r>
        <w:r w:rsidR="006A7ACC">
          <w:rPr>
            <w:webHidden/>
          </w:rPr>
          <w:fldChar w:fldCharType="end"/>
        </w:r>
      </w:hyperlink>
    </w:p>
    <w:p w14:paraId="3C2C2F8C" w14:textId="24B50D62" w:rsidR="006A7ACC" w:rsidRDefault="004E7519">
      <w:pPr>
        <w:pStyle w:val="TOC1"/>
        <w:rPr>
          <w:rFonts w:eastAsiaTheme="minorEastAsia" w:cstheme="minorBidi"/>
          <w:b w:val="0"/>
          <w:sz w:val="22"/>
          <w:szCs w:val="22"/>
          <w:lang w:eastAsia="en-GB"/>
        </w:rPr>
      </w:pPr>
      <w:hyperlink w:anchor="_Toc29230225" w:history="1">
        <w:r w:rsidR="006A7ACC" w:rsidRPr="000E01B7">
          <w:rPr>
            <w:rStyle w:val="Hyperlink"/>
          </w:rPr>
          <w:t>5.</w:t>
        </w:r>
        <w:r w:rsidR="006A7ACC">
          <w:rPr>
            <w:rFonts w:eastAsiaTheme="minorEastAsia" w:cstheme="minorBidi"/>
            <w:b w:val="0"/>
            <w:sz w:val="22"/>
            <w:szCs w:val="22"/>
            <w:lang w:eastAsia="en-GB"/>
          </w:rPr>
          <w:tab/>
        </w:r>
        <w:r w:rsidR="006A7ACC" w:rsidRPr="000E01B7">
          <w:rPr>
            <w:rStyle w:val="Hyperlink"/>
          </w:rPr>
          <w:t>Conclusions</w:t>
        </w:r>
        <w:r w:rsidR="006A7ACC">
          <w:rPr>
            <w:webHidden/>
          </w:rPr>
          <w:tab/>
        </w:r>
        <w:r w:rsidR="006A7ACC">
          <w:rPr>
            <w:webHidden/>
          </w:rPr>
          <w:fldChar w:fldCharType="begin"/>
        </w:r>
        <w:r w:rsidR="006A7ACC">
          <w:rPr>
            <w:webHidden/>
          </w:rPr>
          <w:instrText xml:space="preserve"> PAGEREF _Toc29230225 \h </w:instrText>
        </w:r>
        <w:r w:rsidR="006A7ACC">
          <w:rPr>
            <w:webHidden/>
          </w:rPr>
        </w:r>
        <w:r w:rsidR="006A7ACC">
          <w:rPr>
            <w:webHidden/>
          </w:rPr>
          <w:fldChar w:fldCharType="separate"/>
        </w:r>
        <w:r w:rsidR="006A7ACC">
          <w:rPr>
            <w:webHidden/>
          </w:rPr>
          <w:t>8</w:t>
        </w:r>
        <w:r w:rsidR="006A7ACC">
          <w:rPr>
            <w:webHidden/>
          </w:rPr>
          <w:fldChar w:fldCharType="end"/>
        </w:r>
      </w:hyperlink>
    </w:p>
    <w:p w14:paraId="0628EBF9" w14:textId="69ABEEC5" w:rsidR="006A7ACC" w:rsidRDefault="004E7519">
      <w:pPr>
        <w:pStyle w:val="TOC1"/>
        <w:rPr>
          <w:rFonts w:eastAsiaTheme="minorEastAsia" w:cstheme="minorBidi"/>
          <w:b w:val="0"/>
          <w:sz w:val="22"/>
          <w:szCs w:val="22"/>
          <w:lang w:eastAsia="en-GB"/>
        </w:rPr>
      </w:pPr>
      <w:hyperlink w:anchor="_Toc29230226" w:history="1">
        <w:r w:rsidR="006A7ACC" w:rsidRPr="000E01B7">
          <w:rPr>
            <w:rStyle w:val="Hyperlink"/>
          </w:rPr>
          <w:t>6.</w:t>
        </w:r>
        <w:r w:rsidR="006A7ACC">
          <w:rPr>
            <w:rFonts w:eastAsiaTheme="minorEastAsia" w:cstheme="minorBidi"/>
            <w:b w:val="0"/>
            <w:sz w:val="22"/>
            <w:szCs w:val="22"/>
            <w:lang w:eastAsia="en-GB"/>
          </w:rPr>
          <w:tab/>
        </w:r>
        <w:r w:rsidR="006A7ACC" w:rsidRPr="000E01B7">
          <w:rPr>
            <w:rStyle w:val="Hyperlink"/>
          </w:rPr>
          <w:t>References</w:t>
        </w:r>
        <w:r w:rsidR="006A7ACC">
          <w:rPr>
            <w:webHidden/>
          </w:rPr>
          <w:tab/>
        </w:r>
        <w:r w:rsidR="006A7ACC">
          <w:rPr>
            <w:webHidden/>
          </w:rPr>
          <w:fldChar w:fldCharType="begin"/>
        </w:r>
        <w:r w:rsidR="006A7ACC">
          <w:rPr>
            <w:webHidden/>
          </w:rPr>
          <w:instrText xml:space="preserve"> PAGEREF _Toc29230226 \h </w:instrText>
        </w:r>
        <w:r w:rsidR="006A7ACC">
          <w:rPr>
            <w:webHidden/>
          </w:rPr>
        </w:r>
        <w:r w:rsidR="006A7ACC">
          <w:rPr>
            <w:webHidden/>
          </w:rPr>
          <w:fldChar w:fldCharType="separate"/>
        </w:r>
        <w:r w:rsidR="006A7ACC">
          <w:rPr>
            <w:webHidden/>
          </w:rPr>
          <w:t>9</w:t>
        </w:r>
        <w:r w:rsidR="006A7ACC">
          <w:rPr>
            <w:webHidden/>
          </w:rPr>
          <w:fldChar w:fldCharType="end"/>
        </w:r>
      </w:hyperlink>
    </w:p>
    <w:p w14:paraId="1645D786" w14:textId="6AF16853" w:rsidR="00F97F6F" w:rsidRDefault="0095301A" w:rsidP="00805A9C">
      <w:r>
        <w:rPr>
          <w:noProof/>
        </w:rPr>
        <w:fldChar w:fldCharType="end"/>
      </w:r>
    </w:p>
    <w:p w14:paraId="1069E6CB" w14:textId="77777777" w:rsidR="00B16B51" w:rsidRPr="00805A9C" w:rsidRDefault="00B16B51" w:rsidP="00805A9C">
      <w:pPr>
        <w:sectPr w:rsidR="00B16B51" w:rsidRPr="00805A9C" w:rsidSect="007D70C0">
          <w:footerReference w:type="default" r:id="rId22"/>
          <w:endnotePr>
            <w:numFmt w:val="decimal"/>
          </w:endnotePr>
          <w:pgSz w:w="11909" w:h="16834" w:code="9"/>
          <w:pgMar w:top="1952" w:right="1418" w:bottom="709" w:left="1418" w:header="709" w:footer="706" w:gutter="0"/>
          <w:cols w:space="720"/>
          <w:formProt w:val="0"/>
          <w:docGrid w:linePitch="272"/>
        </w:sectPr>
      </w:pPr>
    </w:p>
    <w:p w14:paraId="49C7B0EE" w14:textId="170DC69B" w:rsidR="005968BD" w:rsidRPr="007127E5" w:rsidRDefault="00D42808" w:rsidP="007127E5">
      <w:pPr>
        <w:pStyle w:val="Heading1"/>
      </w:pPr>
      <w:bookmarkStart w:id="1" w:name="_Toc29230217"/>
      <w:r w:rsidRPr="007127E5">
        <w:lastRenderedPageBreak/>
        <w:t>Introduction</w:t>
      </w:r>
      <w:bookmarkEnd w:id="1"/>
    </w:p>
    <w:p w14:paraId="208B56F0" w14:textId="77183131" w:rsidR="006C1A12" w:rsidRDefault="006C1A12" w:rsidP="006C1A12">
      <w:pPr>
        <w:pStyle w:val="BodyText"/>
        <w:rPr>
          <w:lang w:eastAsia="en-GB"/>
        </w:rPr>
      </w:pPr>
      <w:r>
        <w:rPr>
          <w:lang w:eastAsia="en-GB"/>
        </w:rPr>
        <w:t>Major hazard pipelines require regular surveillance to reduce the risk of damage to the pipeline by external factors and third parties. PD 8010-1</w:t>
      </w:r>
      <w:sdt>
        <w:sdtPr>
          <w:rPr>
            <w:lang w:eastAsia="en-GB"/>
          </w:rPr>
          <w:id w:val="-1983068648"/>
          <w:citation/>
        </w:sdtPr>
        <w:sdtEndPr/>
        <w:sdtContent>
          <w:r>
            <w:rPr>
              <w:lang w:eastAsia="en-GB"/>
            </w:rPr>
            <w:fldChar w:fldCharType="begin"/>
          </w:r>
          <w:r>
            <w:rPr>
              <w:lang w:eastAsia="en-GB"/>
            </w:rPr>
            <w:instrText xml:space="preserve"> CITATION PD8010_1_2015 \l 2057 </w:instrText>
          </w:r>
          <w:r>
            <w:rPr>
              <w:lang w:eastAsia="en-GB"/>
            </w:rPr>
            <w:fldChar w:fldCharType="separate"/>
          </w:r>
          <w:r w:rsidR="00CE02A1">
            <w:rPr>
              <w:noProof/>
              <w:lang w:eastAsia="en-GB"/>
            </w:rPr>
            <w:t xml:space="preserve"> [1]</w:t>
          </w:r>
          <w:r>
            <w:rPr>
              <w:lang w:eastAsia="en-GB"/>
            </w:rPr>
            <w:fldChar w:fldCharType="end"/>
          </w:r>
        </w:sdtContent>
      </w:sdt>
      <w:r>
        <w:rPr>
          <w:lang w:eastAsia="en-GB"/>
        </w:rPr>
        <w:t xml:space="preserve"> gives general guidance for the periodic survey of the pipeline route to detect factors that could affect the safety of the pipeline and Section 12.6 of IGEM/TD/1</w:t>
      </w:r>
      <w:sdt>
        <w:sdtPr>
          <w:rPr>
            <w:lang w:eastAsia="en-GB"/>
          </w:rPr>
          <w:id w:val="572849316"/>
          <w:citation/>
        </w:sdtPr>
        <w:sdtEndPr/>
        <w:sdtContent>
          <w:r w:rsidR="00CE02A1">
            <w:rPr>
              <w:lang w:eastAsia="en-GB"/>
            </w:rPr>
            <w:fldChar w:fldCharType="begin"/>
          </w:r>
          <w:r w:rsidR="00CE02A1">
            <w:rPr>
              <w:lang w:eastAsia="en-GB"/>
            </w:rPr>
            <w:instrText xml:space="preserve"> CITATION TD1_Ed5 \l 2057 </w:instrText>
          </w:r>
          <w:r w:rsidR="00CE02A1">
            <w:rPr>
              <w:lang w:eastAsia="en-GB"/>
            </w:rPr>
            <w:fldChar w:fldCharType="separate"/>
          </w:r>
          <w:r w:rsidR="00CE02A1">
            <w:rPr>
              <w:noProof/>
              <w:lang w:eastAsia="en-GB"/>
            </w:rPr>
            <w:t xml:space="preserve"> [2]</w:t>
          </w:r>
          <w:r w:rsidR="00CE02A1">
            <w:rPr>
              <w:lang w:eastAsia="en-GB"/>
            </w:rPr>
            <w:fldChar w:fldCharType="end"/>
          </w:r>
        </w:sdtContent>
      </w:sdt>
      <w:r>
        <w:rPr>
          <w:lang w:eastAsia="en-GB"/>
        </w:rPr>
        <w:t xml:space="preserve"> describes in detail the requirements for aerial survey, vantage survey and full walking survey. </w:t>
      </w:r>
      <w:r w:rsidR="00CE02A1">
        <w:rPr>
          <w:lang w:eastAsia="en-GB"/>
        </w:rPr>
        <w:t>IGEM/TD/1 recommends</w:t>
      </w:r>
      <w:r>
        <w:rPr>
          <w:lang w:eastAsia="en-GB"/>
        </w:rPr>
        <w:t xml:space="preserve"> an aerial survey of all pipelines should be undertaken every 2 weeks</w:t>
      </w:r>
      <w:r w:rsidR="00CE02A1">
        <w:rPr>
          <w:lang w:eastAsia="en-GB"/>
        </w:rPr>
        <w:t>,</w:t>
      </w:r>
      <w:r>
        <w:rPr>
          <w:lang w:eastAsia="en-GB"/>
        </w:rPr>
        <w:t xml:space="preserve"> unless the frequency is set by a risk</w:t>
      </w:r>
      <w:r w:rsidR="00CE02A1">
        <w:rPr>
          <w:lang w:eastAsia="en-GB"/>
        </w:rPr>
        <w:t>-</w:t>
      </w:r>
      <w:r>
        <w:rPr>
          <w:lang w:eastAsia="en-GB"/>
        </w:rPr>
        <w:t>based approach.</w:t>
      </w:r>
    </w:p>
    <w:p w14:paraId="7BACA613" w14:textId="575FD9F3" w:rsidR="006C1A12" w:rsidRDefault="006C1A12" w:rsidP="006C1A12">
      <w:pPr>
        <w:pStyle w:val="BodyText"/>
        <w:rPr>
          <w:lang w:eastAsia="en-GB"/>
        </w:rPr>
      </w:pPr>
      <w:r>
        <w:rPr>
          <w:lang w:eastAsia="en-GB"/>
        </w:rPr>
        <w:t>Increased surveillance frequency is recognised as a means of reducing the probability that</w:t>
      </w:r>
      <w:r w:rsidR="00CE02A1">
        <w:rPr>
          <w:lang w:eastAsia="en-GB"/>
        </w:rPr>
        <w:t xml:space="preserve"> </w:t>
      </w:r>
      <w:r>
        <w:rPr>
          <w:lang w:eastAsia="en-GB"/>
        </w:rPr>
        <w:t>an unauthorised excavation near the pipeline will reach it and cause damage or product</w:t>
      </w:r>
      <w:r w:rsidR="00CE02A1">
        <w:rPr>
          <w:lang w:eastAsia="en-GB"/>
        </w:rPr>
        <w:t xml:space="preserve"> </w:t>
      </w:r>
      <w:r>
        <w:rPr>
          <w:lang w:eastAsia="en-GB"/>
        </w:rPr>
        <w:t>loss. However, it is considered a secondary mitigation measure (compared to slabbing or</w:t>
      </w:r>
      <w:r w:rsidR="00CE02A1">
        <w:rPr>
          <w:lang w:eastAsia="en-GB"/>
        </w:rPr>
        <w:t xml:space="preserve"> </w:t>
      </w:r>
      <w:r>
        <w:rPr>
          <w:lang w:eastAsia="en-GB"/>
        </w:rPr>
        <w:t>other passive measures), and is dependent on effective management and surveillance</w:t>
      </w:r>
      <w:r w:rsidR="00CE02A1">
        <w:rPr>
          <w:lang w:eastAsia="en-GB"/>
        </w:rPr>
        <w:t xml:space="preserve"> </w:t>
      </w:r>
      <w:r>
        <w:rPr>
          <w:lang w:eastAsia="en-GB"/>
        </w:rPr>
        <w:t>systems, so may only be applicable to temporary situations (fairs, festivals, construction</w:t>
      </w:r>
      <w:r w:rsidR="00CE02A1">
        <w:rPr>
          <w:lang w:eastAsia="en-GB"/>
        </w:rPr>
        <w:t xml:space="preserve"> </w:t>
      </w:r>
      <w:r>
        <w:rPr>
          <w:lang w:eastAsia="en-GB"/>
        </w:rPr>
        <w:t>activities etc).</w:t>
      </w:r>
    </w:p>
    <w:p w14:paraId="4ED3FBE1" w14:textId="230330DD" w:rsidR="006C1A12" w:rsidRDefault="00CE02A1" w:rsidP="006C1A12">
      <w:pPr>
        <w:pStyle w:val="BodyText"/>
      </w:pPr>
      <w:r>
        <w:rPr>
          <w:lang w:eastAsia="en-GB"/>
        </w:rPr>
        <w:t>Th</w:t>
      </w:r>
      <w:r w:rsidR="006A7ACC">
        <w:rPr>
          <w:lang w:eastAsia="en-GB"/>
        </w:rPr>
        <w:t>is</w:t>
      </w:r>
      <w:r>
        <w:rPr>
          <w:lang w:eastAsia="en-GB"/>
        </w:rPr>
        <w:t xml:space="preserve"> TBN</w:t>
      </w:r>
      <w:r w:rsidR="006C1A12">
        <w:rPr>
          <w:lang w:eastAsia="en-GB"/>
        </w:rPr>
        <w:t xml:space="preserve"> addresses the degree to which the risk of </w:t>
      </w:r>
      <w:r>
        <w:rPr>
          <w:lang w:eastAsia="en-GB"/>
        </w:rPr>
        <w:t>external</w:t>
      </w:r>
      <w:r w:rsidR="006C1A12">
        <w:rPr>
          <w:lang w:eastAsia="en-GB"/>
        </w:rPr>
        <w:t xml:space="preserve"> interference to a pipeline</w:t>
      </w:r>
      <w:r>
        <w:rPr>
          <w:lang w:eastAsia="en-GB"/>
        </w:rPr>
        <w:t xml:space="preserve"> </w:t>
      </w:r>
      <w:r w:rsidR="00C2482E">
        <w:rPr>
          <w:lang w:eastAsia="en-GB"/>
        </w:rPr>
        <w:t>due to 3</w:t>
      </w:r>
      <w:r w:rsidR="00C2482E" w:rsidRPr="00C2482E">
        <w:rPr>
          <w:vertAlign w:val="superscript"/>
          <w:lang w:eastAsia="en-GB"/>
        </w:rPr>
        <w:t>rd</w:t>
      </w:r>
      <w:r w:rsidR="00C2482E">
        <w:rPr>
          <w:lang w:eastAsia="en-GB"/>
        </w:rPr>
        <w:t xml:space="preserve"> parties </w:t>
      </w:r>
      <w:r w:rsidR="006C1A12">
        <w:rPr>
          <w:lang w:eastAsia="en-GB"/>
        </w:rPr>
        <w:t>can be reduced by increasing the frequency of surveillance. In this context the risk</w:t>
      </w:r>
      <w:r>
        <w:rPr>
          <w:lang w:eastAsia="en-GB"/>
        </w:rPr>
        <w:t xml:space="preserve"> </w:t>
      </w:r>
      <w:r w:rsidR="006C1A12">
        <w:rPr>
          <w:lang w:eastAsia="en-GB"/>
        </w:rPr>
        <w:t xml:space="preserve">assessment process considers the probability of a </w:t>
      </w:r>
      <w:r w:rsidR="00C2482E">
        <w:rPr>
          <w:lang w:eastAsia="en-GB"/>
        </w:rPr>
        <w:t>third-party</w:t>
      </w:r>
      <w:r w:rsidR="006C1A12">
        <w:rPr>
          <w:lang w:eastAsia="en-GB"/>
        </w:rPr>
        <w:t xml:space="preserve"> excavation reaching and</w:t>
      </w:r>
      <w:r>
        <w:rPr>
          <w:lang w:eastAsia="en-GB"/>
        </w:rPr>
        <w:t xml:space="preserve"> </w:t>
      </w:r>
      <w:r w:rsidR="006C1A12">
        <w:rPr>
          <w:lang w:eastAsia="en-GB"/>
        </w:rPr>
        <w:t>damaging the pipeline; it does not address the probability of product loss occurring because</w:t>
      </w:r>
      <w:r>
        <w:rPr>
          <w:lang w:eastAsia="en-GB"/>
        </w:rPr>
        <w:t xml:space="preserve"> </w:t>
      </w:r>
      <w:r w:rsidR="006C1A12">
        <w:rPr>
          <w:lang w:eastAsia="en-GB"/>
        </w:rPr>
        <w:t>this is dependent of other factors concerning the design and construction of the pipeline</w:t>
      </w:r>
      <w:r>
        <w:rPr>
          <w:lang w:eastAsia="en-GB"/>
        </w:rPr>
        <w:t xml:space="preserve"> </w:t>
      </w:r>
      <w:r w:rsidR="006C1A12" w:rsidRPr="00CE02A1">
        <w:rPr>
          <w:lang w:eastAsia="en-GB"/>
        </w:rPr>
        <w:t>itself.</w:t>
      </w:r>
      <w:r w:rsidR="006C1A12" w:rsidRPr="006C1A12">
        <w:rPr>
          <w:lang w:eastAsia="en-GB"/>
        </w:rPr>
        <w:t xml:space="preserve"> </w:t>
      </w:r>
    </w:p>
    <w:p w14:paraId="6B1D0353" w14:textId="77777777" w:rsidR="007127E5" w:rsidRDefault="007127E5" w:rsidP="007127E5">
      <w:pPr>
        <w:pStyle w:val="Heading2"/>
      </w:pPr>
      <w:bookmarkStart w:id="2" w:name="_Toc534652569"/>
      <w:bookmarkStart w:id="3" w:name="_Toc29230218"/>
      <w:r>
        <w:t>Scope</w:t>
      </w:r>
      <w:bookmarkEnd w:id="2"/>
      <w:bookmarkEnd w:id="3"/>
    </w:p>
    <w:p w14:paraId="6E8809B3" w14:textId="0EC916F7" w:rsidR="005802B2" w:rsidRPr="005802B2" w:rsidRDefault="005802B2" w:rsidP="007127E5">
      <w:pPr>
        <w:pStyle w:val="BodyText"/>
      </w:pPr>
      <w:r>
        <w:rPr>
          <w:lang w:eastAsia="en-GB"/>
        </w:rPr>
        <w:t>This</w:t>
      </w:r>
      <w:r>
        <w:t xml:space="preserve"> TBN is a recreation of a briefing paper written for the Risk Assessment Working Group (RAWG) in 2005</w:t>
      </w:r>
      <w:sdt>
        <w:sdtPr>
          <w:id w:val="699677432"/>
          <w:citation/>
        </w:sdtPr>
        <w:sdtEndPr/>
        <w:sdtContent>
          <w:r w:rsidR="0054020A">
            <w:fldChar w:fldCharType="begin"/>
          </w:r>
          <w:r w:rsidR="0054020A">
            <w:instrText xml:space="preserve"> CITATION RMcC_Surveillance_Oct2005 \l 2057 </w:instrText>
          </w:r>
          <w:r w:rsidR="0054020A">
            <w:fldChar w:fldCharType="separate"/>
          </w:r>
          <w:r w:rsidR="0054020A">
            <w:rPr>
              <w:noProof/>
            </w:rPr>
            <w:t xml:space="preserve"> [3]</w:t>
          </w:r>
          <w:r w:rsidR="0054020A">
            <w:fldChar w:fldCharType="end"/>
          </w:r>
        </w:sdtContent>
      </w:sdt>
      <w:r>
        <w:t>. The briefing paper is referenced and the results are included, in IGEM/TD/2</w:t>
      </w:r>
      <w:sdt>
        <w:sdtPr>
          <w:id w:val="-581291956"/>
          <w:citation/>
        </w:sdtPr>
        <w:sdtEndPr/>
        <w:sdtContent>
          <w:r>
            <w:fldChar w:fldCharType="begin"/>
          </w:r>
          <w:r>
            <w:instrText xml:space="preserve"> CITATION TD2_Ed2 \l 2057 </w:instrText>
          </w:r>
          <w:r>
            <w:fldChar w:fldCharType="separate"/>
          </w:r>
          <w:r>
            <w:rPr>
              <w:noProof/>
            </w:rPr>
            <w:t xml:space="preserve"> [3]</w:t>
          </w:r>
          <w:r>
            <w:fldChar w:fldCharType="end"/>
          </w:r>
        </w:sdtContent>
      </w:sdt>
      <w:r>
        <w:t xml:space="preserve"> and PD 8010-3</w:t>
      </w:r>
      <w:sdt>
        <w:sdtPr>
          <w:id w:val="-1950698362"/>
          <w:citation/>
        </w:sdtPr>
        <w:sdtEndPr/>
        <w:sdtContent>
          <w:r>
            <w:fldChar w:fldCharType="begin"/>
          </w:r>
          <w:r>
            <w:instrText xml:space="preserve"> CITATION PD8010_3_2012 \l 2057 </w:instrText>
          </w:r>
          <w:r>
            <w:fldChar w:fldCharType="separate"/>
          </w:r>
          <w:r>
            <w:rPr>
              <w:noProof/>
            </w:rPr>
            <w:t xml:space="preserve"> [4]</w:t>
          </w:r>
          <w:r>
            <w:fldChar w:fldCharType="end"/>
          </w:r>
        </w:sdtContent>
      </w:sdt>
      <w:r>
        <w:t>. Minor updates have been made to references.</w:t>
      </w:r>
    </w:p>
    <w:p w14:paraId="5FA1190D" w14:textId="5A72215B" w:rsidR="005A0526" w:rsidRDefault="005802B2" w:rsidP="007127E5">
      <w:pPr>
        <w:pStyle w:val="Heading2"/>
      </w:pPr>
      <w:bookmarkStart w:id="4" w:name="_Toc29230219"/>
      <w:r>
        <w:t>Abbreviations</w:t>
      </w:r>
      <w:bookmarkEnd w:id="4"/>
    </w:p>
    <w:tbl>
      <w:tblPr>
        <w:tblStyle w:val="TableGrid"/>
        <w:tblW w:w="0" w:type="auto"/>
        <w:jc w:val="lef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254"/>
        <w:gridCol w:w="5408"/>
      </w:tblGrid>
      <w:tr w:rsidR="006A7ACC" w:rsidRPr="007127E5" w14:paraId="47AC7D14" w14:textId="77777777" w:rsidTr="007127E5">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3D6521DD" w14:textId="10A4E6CC" w:rsidR="006A7ACC" w:rsidRPr="006A7ACC" w:rsidRDefault="006A7ACC" w:rsidP="006A7ACC">
            <w:pPr>
              <w:keepNext w:val="0"/>
              <w:keepLines w:val="0"/>
              <w:rPr>
                <w:rFonts w:cstheme="minorHAnsi"/>
                <w:sz w:val="20"/>
              </w:rPr>
            </w:pPr>
            <w:r w:rsidRPr="006A7ACC">
              <w:rPr>
                <w:rFonts w:cstheme="minorHAnsi"/>
                <w:sz w:val="20"/>
              </w:rPr>
              <w:t>FARWG</w:t>
            </w:r>
          </w:p>
        </w:tc>
        <w:tc>
          <w:tcPr>
            <w:tcW w:w="5408" w:type="dxa"/>
          </w:tcPr>
          <w:p w14:paraId="6BD0E34A" w14:textId="6F66E24F" w:rsidR="006A7ACC" w:rsidRPr="006A7ACC" w:rsidRDefault="006A7ACC" w:rsidP="006A7ACC">
            <w:pPr>
              <w:keepNext w:val="0"/>
              <w:keepLines w:val="0"/>
              <w:jc w:val="left"/>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Fault and Risk Working Group</w:t>
            </w:r>
          </w:p>
        </w:tc>
      </w:tr>
      <w:tr w:rsidR="007127E5" w:rsidRPr="007127E5" w14:paraId="21737837" w14:textId="77777777" w:rsidTr="007127E5">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39CB568C" w14:textId="77777777" w:rsidR="007127E5" w:rsidRPr="007127E5" w:rsidRDefault="007127E5" w:rsidP="007127E5">
            <w:pPr>
              <w:keepNext w:val="0"/>
              <w:keepLines w:val="0"/>
              <w:rPr>
                <w:rFonts w:cstheme="minorHAnsi"/>
                <w:sz w:val="20"/>
              </w:rPr>
            </w:pPr>
            <w:r w:rsidRPr="007127E5">
              <w:rPr>
                <w:rFonts w:cstheme="minorHAnsi"/>
                <w:sz w:val="20"/>
              </w:rPr>
              <w:t>IGEM</w:t>
            </w:r>
          </w:p>
        </w:tc>
        <w:tc>
          <w:tcPr>
            <w:tcW w:w="5408" w:type="dxa"/>
          </w:tcPr>
          <w:p w14:paraId="48C3FAA5" w14:textId="77777777" w:rsidR="007127E5" w:rsidRPr="007127E5" w:rsidRDefault="007127E5" w:rsidP="007127E5">
            <w:pPr>
              <w:keepNext w:val="0"/>
              <w:keepLines w:val="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7127E5">
              <w:rPr>
                <w:rFonts w:cstheme="minorHAnsi"/>
                <w:sz w:val="20"/>
              </w:rPr>
              <w:t xml:space="preserve">Institution of Gas Engineers &amp; Managers </w:t>
            </w:r>
          </w:p>
        </w:tc>
      </w:tr>
      <w:tr w:rsidR="007127E5" w:rsidRPr="007127E5" w14:paraId="141F8A64" w14:textId="77777777" w:rsidTr="007127E5">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65D79B83" w14:textId="6BC25139" w:rsidR="007127E5" w:rsidRPr="007127E5" w:rsidRDefault="007127E5" w:rsidP="007127E5">
            <w:pPr>
              <w:rPr>
                <w:rFonts w:cstheme="minorHAnsi"/>
                <w:sz w:val="20"/>
              </w:rPr>
            </w:pPr>
            <w:r w:rsidRPr="007127E5">
              <w:rPr>
                <w:rFonts w:cstheme="minorHAnsi"/>
                <w:sz w:val="20"/>
              </w:rPr>
              <w:t>PD</w:t>
            </w:r>
          </w:p>
        </w:tc>
        <w:tc>
          <w:tcPr>
            <w:tcW w:w="5408" w:type="dxa"/>
          </w:tcPr>
          <w:p w14:paraId="1B75E003" w14:textId="4CCB11BD" w:rsidR="007127E5" w:rsidRPr="007127E5" w:rsidRDefault="007127E5" w:rsidP="007127E5">
            <w:pPr>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7127E5">
              <w:rPr>
                <w:rFonts w:cstheme="minorHAnsi"/>
                <w:sz w:val="20"/>
              </w:rPr>
              <w:t>Published Document</w:t>
            </w:r>
          </w:p>
        </w:tc>
      </w:tr>
      <w:tr w:rsidR="007127E5" w:rsidRPr="007127E5" w14:paraId="70B5A59C" w14:textId="77777777" w:rsidTr="007127E5">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0C56F514" w14:textId="3CECB35E" w:rsidR="007127E5" w:rsidRPr="007127E5" w:rsidRDefault="007127E5" w:rsidP="007127E5">
            <w:pPr>
              <w:rPr>
                <w:rFonts w:cstheme="minorHAnsi"/>
                <w:sz w:val="20"/>
              </w:rPr>
            </w:pPr>
            <w:r w:rsidRPr="007127E5">
              <w:rPr>
                <w:rFonts w:cstheme="minorHAnsi"/>
                <w:sz w:val="20"/>
              </w:rPr>
              <w:t>RAWG</w:t>
            </w:r>
          </w:p>
        </w:tc>
        <w:tc>
          <w:tcPr>
            <w:tcW w:w="5408" w:type="dxa"/>
          </w:tcPr>
          <w:p w14:paraId="7F04A833" w14:textId="2F592FC2" w:rsidR="007127E5" w:rsidRPr="007127E5" w:rsidRDefault="007127E5" w:rsidP="007127E5">
            <w:pPr>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7127E5">
              <w:rPr>
                <w:rFonts w:cstheme="minorHAnsi"/>
                <w:sz w:val="20"/>
              </w:rPr>
              <w:t>Risk Assessment Working Group (predecessor to FARWG)</w:t>
            </w:r>
          </w:p>
        </w:tc>
      </w:tr>
      <w:tr w:rsidR="007127E5" w:rsidRPr="007127E5" w14:paraId="1681C349" w14:textId="77777777" w:rsidTr="007127E5">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76336F06" w14:textId="6C04CD4A" w:rsidR="007127E5" w:rsidRPr="007127E5" w:rsidRDefault="007127E5" w:rsidP="007127E5">
            <w:pPr>
              <w:rPr>
                <w:rFonts w:cstheme="minorHAnsi"/>
                <w:sz w:val="20"/>
              </w:rPr>
            </w:pPr>
            <w:r w:rsidRPr="007127E5">
              <w:rPr>
                <w:rFonts w:cstheme="minorHAnsi"/>
                <w:sz w:val="20"/>
              </w:rPr>
              <w:t>TBN</w:t>
            </w:r>
          </w:p>
        </w:tc>
        <w:tc>
          <w:tcPr>
            <w:tcW w:w="5408" w:type="dxa"/>
          </w:tcPr>
          <w:p w14:paraId="2E3731E4" w14:textId="76BA9EF0" w:rsidR="007127E5" w:rsidRPr="007127E5" w:rsidRDefault="007127E5" w:rsidP="007127E5">
            <w:pPr>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7127E5">
              <w:rPr>
                <w:rFonts w:cstheme="minorHAnsi"/>
                <w:sz w:val="20"/>
              </w:rPr>
              <w:t>Technical Briefing Note</w:t>
            </w:r>
          </w:p>
        </w:tc>
      </w:tr>
      <w:tr w:rsidR="007127E5" w:rsidRPr="007127E5" w14:paraId="46E75B6F" w14:textId="77777777" w:rsidTr="007127E5">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1C1CC06B" w14:textId="3AB5F8CE" w:rsidR="007127E5" w:rsidRPr="007127E5" w:rsidRDefault="007127E5" w:rsidP="007127E5">
            <w:pPr>
              <w:rPr>
                <w:rFonts w:cstheme="minorHAnsi"/>
                <w:sz w:val="20"/>
              </w:rPr>
            </w:pPr>
            <w:r w:rsidRPr="007127E5">
              <w:rPr>
                <w:rFonts w:cstheme="minorHAnsi"/>
                <w:sz w:val="20"/>
              </w:rPr>
              <w:t>UKOPA</w:t>
            </w:r>
          </w:p>
        </w:tc>
        <w:tc>
          <w:tcPr>
            <w:tcW w:w="5408" w:type="dxa"/>
          </w:tcPr>
          <w:p w14:paraId="160E8A96" w14:textId="47394636" w:rsidR="007127E5" w:rsidRPr="007127E5" w:rsidRDefault="007127E5" w:rsidP="007127E5">
            <w:pPr>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7127E5">
              <w:rPr>
                <w:rFonts w:cstheme="minorHAnsi"/>
                <w:sz w:val="20"/>
              </w:rPr>
              <w:t xml:space="preserve">United Kingdom Onshore Pipeline Operators’ Association </w:t>
            </w:r>
          </w:p>
        </w:tc>
      </w:tr>
    </w:tbl>
    <w:p w14:paraId="63AC5095" w14:textId="610994EC" w:rsidR="001F2169" w:rsidRDefault="00796F8D" w:rsidP="007127E5">
      <w:pPr>
        <w:pStyle w:val="Heading1"/>
      </w:pPr>
      <w:bookmarkStart w:id="5" w:name="_Toc29230220"/>
      <w:r>
        <w:lastRenderedPageBreak/>
        <w:t>Probability of 3</w:t>
      </w:r>
      <w:r w:rsidRPr="00796F8D">
        <w:rPr>
          <w:vertAlign w:val="superscript"/>
        </w:rPr>
        <w:t>rd</w:t>
      </w:r>
      <w:r>
        <w:t xml:space="preserve"> Party Excavation Reaching the Pipeline</w:t>
      </w:r>
      <w:bookmarkEnd w:id="5"/>
    </w:p>
    <w:p w14:paraId="47A3095C" w14:textId="15FDA040" w:rsidR="00796F8D" w:rsidRDefault="00796F8D" w:rsidP="00796F8D">
      <w:pPr>
        <w:pStyle w:val="BodyText"/>
      </w:pPr>
      <w:r>
        <w:t>The risk of a third-party excavation reaching the pipeline is affected by three main factors:</w:t>
      </w:r>
    </w:p>
    <w:p w14:paraId="2C1683A4" w14:textId="52CA6BE5" w:rsidR="00796F8D" w:rsidRDefault="00796F8D" w:rsidP="00EA7E5B">
      <w:pPr>
        <w:pStyle w:val="BodyText"/>
        <w:numPr>
          <w:ilvl w:val="0"/>
          <w:numId w:val="19"/>
        </w:numPr>
      </w:pPr>
      <w:r>
        <w:t>The frequency with which unauthorised excavations occur along a length of pipeline relative to the frequency of surveillance;</w:t>
      </w:r>
    </w:p>
    <w:p w14:paraId="3A9A0DC7" w14:textId="3A6BDB68" w:rsidR="00796F8D" w:rsidRDefault="00796F8D" w:rsidP="00EA7E5B">
      <w:pPr>
        <w:pStyle w:val="BodyText"/>
        <w:numPr>
          <w:ilvl w:val="0"/>
          <w:numId w:val="19"/>
        </w:numPr>
      </w:pPr>
      <w:r>
        <w:t>The likely duration of the excavation before it reaches the pipeline; and,</w:t>
      </w:r>
    </w:p>
    <w:p w14:paraId="5A7009B9" w14:textId="5AB94E97" w:rsidR="00796F8D" w:rsidRDefault="00796F8D" w:rsidP="00EA7E5B">
      <w:pPr>
        <w:pStyle w:val="BodyText"/>
        <w:numPr>
          <w:ilvl w:val="0"/>
          <w:numId w:val="19"/>
        </w:numPr>
      </w:pPr>
      <w:r>
        <w:t>The surveillance frequency.</w:t>
      </w:r>
    </w:p>
    <w:p w14:paraId="42E860C2" w14:textId="056E668B" w:rsidR="00796F8D" w:rsidRDefault="00796F8D" w:rsidP="00796F8D">
      <w:pPr>
        <w:pStyle w:val="BodyText"/>
      </w:pPr>
      <w:r>
        <w:t xml:space="preserve">Other factors of importance include the possibility of a landowner or member of the public reporting the third party activity to the pipeline operator, the possibility of the third party identifying the pipeline route by markers, and the extent to which the equipment or machinery involved could cause a serious threat to the pipeline. These factors are not directly included in this analysis. In </w:t>
      </w:r>
      <w:r w:rsidR="00B206DB">
        <w:t>addition,</w:t>
      </w:r>
      <w:r>
        <w:t xml:space="preserve"> no allowance has been included for the efficiency and reliability of surveillance in identifying and detecting 3</w:t>
      </w:r>
      <w:r w:rsidRPr="00796F8D">
        <w:rPr>
          <w:vertAlign w:val="superscript"/>
        </w:rPr>
        <w:t>rd</w:t>
      </w:r>
      <w:r>
        <w:t xml:space="preserve"> party excavations, these being dependent on the management and technical systems in operation at the time.</w:t>
      </w:r>
    </w:p>
    <w:p w14:paraId="04B8C9AE" w14:textId="3AEC31D4" w:rsidR="00796F8D" w:rsidRDefault="00796F8D" w:rsidP="00F77222">
      <w:pPr>
        <w:pStyle w:val="Heading1"/>
      </w:pPr>
      <w:bookmarkStart w:id="6" w:name="_Toc29230221"/>
      <w:r>
        <w:lastRenderedPageBreak/>
        <w:t>Method of Analysis</w:t>
      </w:r>
      <w:bookmarkEnd w:id="6"/>
    </w:p>
    <w:p w14:paraId="12406CC2" w14:textId="47E26267" w:rsidR="00796F8D" w:rsidRDefault="00796F8D" w:rsidP="00796F8D">
      <w:pPr>
        <w:pStyle w:val="BodyText"/>
      </w:pPr>
      <w:r>
        <w:t xml:space="preserve">The method used to analyse </w:t>
      </w:r>
      <w:r w:rsidR="00110100">
        <w:t>the effect of increased surveillance is the Monte-Carlo simulation method which involves examining the operation over an extended period (1000 years) and generating random events to describe the start of an unauthorised excavation and the duration of the excavation before it reaches the pipeline.</w:t>
      </w:r>
    </w:p>
    <w:p w14:paraId="52E5D5C5" w14:textId="5BB74422" w:rsidR="00110100" w:rsidRDefault="00110100" w:rsidP="00110100">
      <w:pPr>
        <w:pStyle w:val="BodyText"/>
        <w:jc w:val="left"/>
      </w:pPr>
      <w:r>
        <w:t>The analysis process consists of the following stages:</w:t>
      </w:r>
    </w:p>
    <w:p w14:paraId="23B52977" w14:textId="13FB6ABD" w:rsidR="00110100" w:rsidRDefault="00110100" w:rsidP="00796F8D">
      <w:pPr>
        <w:pStyle w:val="BodyText"/>
      </w:pPr>
      <w:r w:rsidRPr="00110100">
        <w:rPr>
          <w:noProof/>
        </w:rPr>
        <w:drawing>
          <wp:inline distT="0" distB="0" distL="0" distR="0" wp14:anchorId="2F3A81D8" wp14:editId="2CFF2A2F">
            <wp:extent cx="5220000" cy="35830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20000" cy="3583066"/>
                    </a:xfrm>
                    <a:prstGeom prst="rect">
                      <a:avLst/>
                    </a:prstGeom>
                  </pic:spPr>
                </pic:pic>
              </a:graphicData>
            </a:graphic>
          </wp:inline>
        </w:drawing>
      </w:r>
    </w:p>
    <w:p w14:paraId="31B1BFC4" w14:textId="2072A5EE" w:rsidR="00110100" w:rsidRDefault="00B206DB" w:rsidP="00B206DB">
      <w:pPr>
        <w:pStyle w:val="Heading2"/>
      </w:pPr>
      <w:bookmarkStart w:id="7" w:name="_Toc29230222"/>
      <w:r>
        <w:t>Data from the UKOPA Infringement Database</w:t>
      </w:r>
      <w:bookmarkEnd w:id="7"/>
    </w:p>
    <w:p w14:paraId="69545561" w14:textId="1F0AB8D7" w:rsidR="00B206DB" w:rsidRDefault="00B206DB" w:rsidP="00B206DB">
      <w:pPr>
        <w:pStyle w:val="BodyText"/>
      </w:pPr>
      <w:r>
        <w:t>The June 2005 presentation for the UKOPA Infringement Database is shown below. The total number of infringements was 353.</w:t>
      </w:r>
    </w:p>
    <w:p w14:paraId="3853834F" w14:textId="092394DE" w:rsidR="00F77222" w:rsidRDefault="00B206DB" w:rsidP="00F77222">
      <w:pPr>
        <w:pStyle w:val="BodyText"/>
        <w:keepNext/>
        <w:spacing w:after="0"/>
        <w:jc w:val="center"/>
      </w:pPr>
      <w:r w:rsidRPr="00B206DB">
        <w:rPr>
          <w:noProof/>
        </w:rPr>
        <w:drawing>
          <wp:inline distT="0" distB="0" distL="0" distR="0" wp14:anchorId="44E26221" wp14:editId="4FC030C0">
            <wp:extent cx="3060000" cy="2206048"/>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0000" cy="2206048"/>
                    </a:xfrm>
                    <a:prstGeom prst="rect">
                      <a:avLst/>
                    </a:prstGeom>
                  </pic:spPr>
                </pic:pic>
              </a:graphicData>
            </a:graphic>
          </wp:inline>
        </w:drawing>
      </w:r>
    </w:p>
    <w:p w14:paraId="49A8DA9A" w14:textId="4E61E7ED" w:rsidR="00B206DB" w:rsidRDefault="00F77222" w:rsidP="00F77222">
      <w:pPr>
        <w:pStyle w:val="Caption"/>
      </w:pPr>
      <w:r>
        <w:t xml:space="preserve">Figure </w:t>
      </w:r>
      <w:fldSimple w:instr=" STYLEREF 1 \s ">
        <w:r>
          <w:rPr>
            <w:noProof/>
          </w:rPr>
          <w:t>3</w:t>
        </w:r>
      </w:fldSimple>
      <w:r>
        <w:t>.</w:t>
      </w:r>
      <w:fldSimple w:instr=" SEQ Figure \* ARABIC \s 1 ">
        <w:r>
          <w:rPr>
            <w:noProof/>
          </w:rPr>
          <w:t>1</w:t>
        </w:r>
      </w:fldSimple>
      <w:r>
        <w:t>: UKOPA Infringement Database Results (2005)</w:t>
      </w:r>
    </w:p>
    <w:p w14:paraId="48E8A865" w14:textId="534926E9" w:rsidR="00B206DB" w:rsidRDefault="00B206DB" w:rsidP="00B206DB">
      <w:pPr>
        <w:pStyle w:val="BodyText"/>
      </w:pPr>
      <w:r>
        <w:lastRenderedPageBreak/>
        <w:t xml:space="preserve">The classification of infringements is as </w:t>
      </w:r>
      <w:r w:rsidR="003249BC">
        <w:t xml:space="preserve">per </w:t>
      </w:r>
      <w:r w:rsidR="003249BC">
        <w:fldChar w:fldCharType="begin"/>
      </w:r>
      <w:r w:rsidR="003249BC">
        <w:instrText xml:space="preserve"> REF _Ref19126889 \h </w:instrText>
      </w:r>
      <w:r w:rsidR="003249BC">
        <w:fldChar w:fldCharType="separate"/>
      </w:r>
      <w:r w:rsidR="00FC7554">
        <w:t xml:space="preserve">Table </w:t>
      </w:r>
      <w:r w:rsidR="00FC7554">
        <w:rPr>
          <w:noProof/>
        </w:rPr>
        <w:t>2</w:t>
      </w:r>
      <w:r w:rsidR="00FC7554">
        <w:t>.</w:t>
      </w:r>
      <w:r w:rsidR="00FC7554">
        <w:rPr>
          <w:noProof/>
        </w:rPr>
        <w:t>1</w:t>
      </w:r>
      <w:r w:rsidR="003249BC">
        <w:fldChar w:fldCharType="end"/>
      </w:r>
      <w:r w:rsidR="003249BC">
        <w:t xml:space="preserve"> and </w:t>
      </w:r>
      <w:r w:rsidR="003249BC">
        <w:fldChar w:fldCharType="begin"/>
      </w:r>
      <w:r w:rsidR="003249BC">
        <w:instrText xml:space="preserve"> REF _Ref19126891 \h </w:instrText>
      </w:r>
      <w:r w:rsidR="003249BC">
        <w:fldChar w:fldCharType="separate"/>
      </w:r>
      <w:r w:rsidR="00FC7554">
        <w:t xml:space="preserve">Table </w:t>
      </w:r>
      <w:r w:rsidR="00FC7554">
        <w:rPr>
          <w:noProof/>
        </w:rPr>
        <w:t>2</w:t>
      </w:r>
      <w:r w:rsidR="00FC7554">
        <w:t>.</w:t>
      </w:r>
      <w:r w:rsidR="00FC7554">
        <w:rPr>
          <w:noProof/>
        </w:rPr>
        <w:t>2</w:t>
      </w:r>
      <w:r w:rsidR="003249BC">
        <w:fldChar w:fldCharType="end"/>
      </w:r>
      <w:r w:rsidR="003249BC">
        <w:t>.</w:t>
      </w:r>
    </w:p>
    <w:tbl>
      <w:tblPr>
        <w:tblStyle w:val="TableGrid"/>
        <w:tblW w:w="8222" w:type="dxa"/>
        <w:jc w:val="left"/>
        <w:tblInd w:w="846" w:type="dxa"/>
        <w:tblLook w:val="06A0" w:firstRow="1" w:lastRow="0" w:firstColumn="1" w:lastColumn="0" w:noHBand="1" w:noVBand="1"/>
      </w:tblPr>
      <w:tblGrid>
        <w:gridCol w:w="1046"/>
        <w:gridCol w:w="2500"/>
        <w:gridCol w:w="4676"/>
      </w:tblGrid>
      <w:tr w:rsidR="00B206DB" w:rsidRPr="00631044" w14:paraId="4A0CA98F" w14:textId="70EDB912" w:rsidTr="006A7ACC">
        <w:trPr>
          <w:cnfStyle w:val="100000000000" w:firstRow="1" w:lastRow="0" w:firstColumn="0" w:lastColumn="0" w:oddVBand="0" w:evenVBand="0" w:oddHBand="0"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46" w:type="dxa"/>
            <w:shd w:val="clear" w:color="auto" w:fill="CAC8C8" w:themeFill="accent2"/>
          </w:tcPr>
          <w:p w14:paraId="124A1485" w14:textId="6498A63E" w:rsidR="00B206DB" w:rsidRPr="00631044" w:rsidRDefault="00B206DB" w:rsidP="00B206DB">
            <w:pPr>
              <w:jc w:val="center"/>
            </w:pPr>
            <w:r>
              <w:t>Category</w:t>
            </w:r>
          </w:p>
        </w:tc>
        <w:tc>
          <w:tcPr>
            <w:tcW w:w="2500" w:type="dxa"/>
            <w:tcBorders>
              <w:bottom w:val="single" w:sz="4" w:space="0" w:color="auto"/>
              <w:right w:val="single" w:sz="4" w:space="0" w:color="auto"/>
            </w:tcBorders>
            <w:shd w:val="clear" w:color="auto" w:fill="CAC8C8" w:themeFill="accent2"/>
          </w:tcPr>
          <w:p w14:paraId="3F01FB26" w14:textId="06E88F34" w:rsidR="00B206DB" w:rsidRPr="00454AD2" w:rsidRDefault="00B206DB" w:rsidP="00B206DB">
            <w:pPr>
              <w:cnfStyle w:val="100000000000" w:firstRow="1" w:lastRow="0" w:firstColumn="0" w:lastColumn="0" w:oddVBand="0" w:evenVBand="0" w:oddHBand="0" w:evenHBand="0" w:firstRowFirstColumn="0" w:firstRowLastColumn="0" w:lastRowFirstColumn="0" w:lastRowLastColumn="0"/>
            </w:pPr>
            <w:r>
              <w:t>Type</w:t>
            </w:r>
          </w:p>
        </w:tc>
        <w:tc>
          <w:tcPr>
            <w:tcW w:w="4676" w:type="dxa"/>
            <w:tcBorders>
              <w:bottom w:val="single" w:sz="4" w:space="0" w:color="auto"/>
              <w:right w:val="single" w:sz="4" w:space="0" w:color="auto"/>
            </w:tcBorders>
            <w:shd w:val="clear" w:color="auto" w:fill="CAC8C8" w:themeFill="accent2"/>
          </w:tcPr>
          <w:p w14:paraId="6AE1EA49" w14:textId="1BECB751" w:rsidR="00B206DB" w:rsidRPr="00B206DB" w:rsidRDefault="00B206DB" w:rsidP="00B206DB">
            <w:pPr>
              <w:cnfStyle w:val="100000000000" w:firstRow="1" w:lastRow="0" w:firstColumn="0" w:lastColumn="0" w:oddVBand="0" w:evenVBand="0" w:oddHBand="0" w:evenHBand="0" w:firstRowFirstColumn="0" w:firstRowLastColumn="0" w:lastRowFirstColumn="0" w:lastRowLastColumn="0"/>
              <w:rPr>
                <w:bCs/>
              </w:rPr>
            </w:pPr>
            <w:r w:rsidRPr="00B206DB">
              <w:rPr>
                <w:bCs/>
              </w:rPr>
              <w:t>Description</w:t>
            </w:r>
          </w:p>
        </w:tc>
      </w:tr>
      <w:tr w:rsidR="00B206DB" w:rsidRPr="00631044" w14:paraId="45B48812" w14:textId="77777777" w:rsidTr="006A7ACC">
        <w:trPr>
          <w:trHeight w:val="20"/>
          <w:jc w:val="left"/>
        </w:trPr>
        <w:tc>
          <w:tcPr>
            <w:cnfStyle w:val="001000000000" w:firstRow="0" w:lastRow="0" w:firstColumn="1" w:lastColumn="0" w:oddVBand="0" w:evenVBand="0" w:oddHBand="0" w:evenHBand="0" w:firstRowFirstColumn="0" w:firstRowLastColumn="0" w:lastRowFirstColumn="0" w:lastRowLastColumn="0"/>
            <w:tcW w:w="1046" w:type="dxa"/>
          </w:tcPr>
          <w:p w14:paraId="0A485518" w14:textId="3944E2B0" w:rsidR="00B206DB" w:rsidRPr="00B206DB" w:rsidRDefault="00B206DB" w:rsidP="00B206DB">
            <w:pPr>
              <w:jc w:val="center"/>
              <w:rPr>
                <w:b/>
                <w:bCs/>
              </w:rPr>
            </w:pPr>
            <w:r w:rsidRPr="00B206DB">
              <w:rPr>
                <w:b/>
                <w:bCs/>
              </w:rPr>
              <w:t>A</w:t>
            </w:r>
          </w:p>
        </w:tc>
        <w:tc>
          <w:tcPr>
            <w:tcW w:w="2500" w:type="dxa"/>
            <w:tcBorders>
              <w:right w:val="single" w:sz="4" w:space="0" w:color="auto"/>
            </w:tcBorders>
          </w:tcPr>
          <w:p w14:paraId="13F52F4C" w14:textId="6E67D24B" w:rsidR="00B206DB" w:rsidRPr="00631044" w:rsidRDefault="00B206DB" w:rsidP="00B206DB">
            <w:pPr>
              <w:cnfStyle w:val="000000000000" w:firstRow="0" w:lastRow="0" w:firstColumn="0" w:lastColumn="0" w:oddVBand="0" w:evenVBand="0" w:oddHBand="0" w:evenHBand="0" w:firstRowFirstColumn="0" w:firstRowLastColumn="0" w:lastRowFirstColumn="0" w:lastRowLastColumn="0"/>
            </w:pPr>
            <w:r>
              <w:t>Pipeline damage or leak</w:t>
            </w:r>
          </w:p>
        </w:tc>
        <w:tc>
          <w:tcPr>
            <w:tcW w:w="4676" w:type="dxa"/>
            <w:tcBorders>
              <w:left w:val="single" w:sz="4" w:space="0" w:color="auto"/>
            </w:tcBorders>
          </w:tcPr>
          <w:p w14:paraId="40242537" w14:textId="10546B00" w:rsidR="00B206DB" w:rsidRPr="00631044" w:rsidRDefault="003249BC" w:rsidP="00B206DB">
            <w:pPr>
              <w:cnfStyle w:val="000000000000" w:firstRow="0" w:lastRow="0" w:firstColumn="0" w:lastColumn="0" w:oddVBand="0" w:evenVBand="0" w:oddHBand="0" w:evenHBand="0" w:firstRowFirstColumn="0" w:firstRowLastColumn="0" w:lastRowFirstColumn="0" w:lastRowLastColumn="0"/>
            </w:pPr>
            <w:r>
              <w:t>Includes damage to wrap or protective sleeve</w:t>
            </w:r>
          </w:p>
        </w:tc>
      </w:tr>
      <w:tr w:rsidR="00B206DB" w:rsidRPr="00631044" w14:paraId="1CBC1675" w14:textId="77777777" w:rsidTr="006A7ACC">
        <w:trPr>
          <w:jc w:val="left"/>
        </w:trPr>
        <w:tc>
          <w:tcPr>
            <w:cnfStyle w:val="001000000000" w:firstRow="0" w:lastRow="0" w:firstColumn="1" w:lastColumn="0" w:oddVBand="0" w:evenVBand="0" w:oddHBand="0" w:evenHBand="0" w:firstRowFirstColumn="0" w:firstRowLastColumn="0" w:lastRowFirstColumn="0" w:lastRowLastColumn="0"/>
            <w:tcW w:w="1046" w:type="dxa"/>
          </w:tcPr>
          <w:p w14:paraId="39D4F341" w14:textId="0C389454" w:rsidR="00B206DB" w:rsidRPr="00B206DB" w:rsidRDefault="00B206DB" w:rsidP="00B206DB">
            <w:pPr>
              <w:jc w:val="center"/>
              <w:rPr>
                <w:b/>
                <w:bCs/>
              </w:rPr>
            </w:pPr>
            <w:r w:rsidRPr="00B206DB">
              <w:rPr>
                <w:b/>
                <w:bCs/>
              </w:rPr>
              <w:t>B</w:t>
            </w:r>
          </w:p>
        </w:tc>
        <w:tc>
          <w:tcPr>
            <w:tcW w:w="2500" w:type="dxa"/>
            <w:tcBorders>
              <w:right w:val="single" w:sz="4" w:space="0" w:color="auto"/>
            </w:tcBorders>
          </w:tcPr>
          <w:p w14:paraId="3984E0DA" w14:textId="1CB146A9" w:rsidR="00B206DB" w:rsidRPr="00631044" w:rsidRDefault="00B206DB" w:rsidP="00B206DB">
            <w:pPr>
              <w:cnfStyle w:val="000000000000" w:firstRow="0" w:lastRow="0" w:firstColumn="0" w:lastColumn="0" w:oddVBand="0" w:evenVBand="0" w:oddHBand="0" w:evenHBand="0" w:firstRowFirstColumn="0" w:firstRowLastColumn="0" w:lastRowFirstColumn="0" w:lastRowLastColumn="0"/>
            </w:pPr>
            <w:r>
              <w:t>Serious potential for damage</w:t>
            </w:r>
          </w:p>
        </w:tc>
        <w:tc>
          <w:tcPr>
            <w:tcW w:w="4676" w:type="dxa"/>
            <w:tcBorders>
              <w:left w:val="single" w:sz="4" w:space="0" w:color="auto"/>
            </w:tcBorders>
          </w:tcPr>
          <w:p w14:paraId="39B2D5AD" w14:textId="4BBDCB26" w:rsidR="00B206DB" w:rsidRPr="00631044" w:rsidRDefault="003249BC" w:rsidP="00B206DB">
            <w:pPr>
              <w:cnfStyle w:val="000000000000" w:firstRow="0" w:lastRow="0" w:firstColumn="0" w:lastColumn="0" w:oddVBand="0" w:evenVBand="0" w:oddHBand="0" w:evenHBand="0" w:firstRowFirstColumn="0" w:firstRowLastColumn="0" w:lastRowFirstColumn="0" w:lastRowLastColumn="0"/>
            </w:pPr>
            <w:r>
              <w:t>Methods or equipment used could have resulted in significant damage had excavation taken place at pipeline</w:t>
            </w:r>
          </w:p>
        </w:tc>
      </w:tr>
      <w:tr w:rsidR="00B206DB" w:rsidRPr="00631044" w14:paraId="2369E664" w14:textId="77777777" w:rsidTr="006A7ACC">
        <w:trPr>
          <w:jc w:val="left"/>
        </w:trPr>
        <w:tc>
          <w:tcPr>
            <w:cnfStyle w:val="001000000000" w:firstRow="0" w:lastRow="0" w:firstColumn="1" w:lastColumn="0" w:oddVBand="0" w:evenVBand="0" w:oddHBand="0" w:evenHBand="0" w:firstRowFirstColumn="0" w:firstRowLastColumn="0" w:lastRowFirstColumn="0" w:lastRowLastColumn="0"/>
            <w:tcW w:w="1046" w:type="dxa"/>
          </w:tcPr>
          <w:p w14:paraId="76B63A5A" w14:textId="7D22ADB4" w:rsidR="00B206DB" w:rsidRPr="00B206DB" w:rsidRDefault="00B206DB" w:rsidP="00B206DB">
            <w:pPr>
              <w:jc w:val="center"/>
              <w:rPr>
                <w:b/>
                <w:bCs/>
              </w:rPr>
            </w:pPr>
            <w:r w:rsidRPr="00B206DB">
              <w:rPr>
                <w:b/>
                <w:bCs/>
              </w:rPr>
              <w:t>C</w:t>
            </w:r>
          </w:p>
        </w:tc>
        <w:tc>
          <w:tcPr>
            <w:tcW w:w="2500" w:type="dxa"/>
          </w:tcPr>
          <w:p w14:paraId="47E98335" w14:textId="0B08AE98" w:rsidR="00B206DB" w:rsidRPr="00BF5332" w:rsidRDefault="00B206DB" w:rsidP="00B206DB">
            <w:pPr>
              <w:cnfStyle w:val="000000000000" w:firstRow="0" w:lastRow="0" w:firstColumn="0" w:lastColumn="0" w:oddVBand="0" w:evenVBand="0" w:oddHBand="0" w:evenHBand="0" w:firstRowFirstColumn="0" w:firstRowLastColumn="0" w:lastRowFirstColumn="0" w:lastRowLastColumn="0"/>
            </w:pPr>
            <w:r>
              <w:t>Limited potential for damage</w:t>
            </w:r>
          </w:p>
        </w:tc>
        <w:tc>
          <w:tcPr>
            <w:tcW w:w="4676" w:type="dxa"/>
          </w:tcPr>
          <w:p w14:paraId="645B7379" w14:textId="1A830883" w:rsidR="00B206DB" w:rsidRPr="00BF5332" w:rsidRDefault="003249BC" w:rsidP="00B206DB">
            <w:pPr>
              <w:cnfStyle w:val="000000000000" w:firstRow="0" w:lastRow="0" w:firstColumn="0" w:lastColumn="0" w:oddVBand="0" w:evenVBand="0" w:oddHBand="0" w:evenHBand="0" w:firstRowFirstColumn="0" w:firstRowLastColumn="0" w:lastRowFirstColumn="0" w:lastRowLastColumn="0"/>
            </w:pPr>
            <w:r>
              <w:t>Methods or equipment would not have resulted in serious damage</w:t>
            </w:r>
          </w:p>
        </w:tc>
      </w:tr>
    </w:tbl>
    <w:p w14:paraId="30B8405A" w14:textId="0A8E60FE" w:rsidR="00B206DB" w:rsidRDefault="00B206DB" w:rsidP="000862D2">
      <w:pPr>
        <w:pStyle w:val="Caption"/>
      </w:pPr>
      <w:bookmarkStart w:id="8" w:name="_Ref19126889"/>
      <w:r>
        <w:t xml:space="preserve">Table </w:t>
      </w:r>
      <w:fldSimple w:instr=" STYLEREF 1 \s ">
        <w:r w:rsidR="00FC7554">
          <w:rPr>
            <w:noProof/>
          </w:rPr>
          <w:t>2</w:t>
        </w:r>
      </w:fldSimple>
      <w:r w:rsidR="003249BC">
        <w:t>.</w:t>
      </w:r>
      <w:fldSimple w:instr=" SEQ Table \* ARABIC \s 1 ">
        <w:r w:rsidR="00FC7554">
          <w:rPr>
            <w:noProof/>
          </w:rPr>
          <w:t>1</w:t>
        </w:r>
      </w:fldSimple>
      <w:bookmarkEnd w:id="8"/>
      <w:r>
        <w:t xml:space="preserve">: </w:t>
      </w:r>
      <w:r w:rsidR="003249BC">
        <w:t xml:space="preserve">UKOPA </w:t>
      </w:r>
      <w:r w:rsidR="003249BC" w:rsidRPr="003249BC">
        <w:t>Infringement</w:t>
      </w:r>
      <w:r w:rsidR="003249BC">
        <w:t xml:space="preserve"> </w:t>
      </w:r>
      <w:r w:rsidR="003249BC" w:rsidRPr="000862D2">
        <w:t>Database</w:t>
      </w:r>
      <w:r w:rsidR="003249BC">
        <w:t xml:space="preserve"> infringement classification</w:t>
      </w:r>
    </w:p>
    <w:tbl>
      <w:tblPr>
        <w:tblStyle w:val="TableGrid"/>
        <w:tblW w:w="7687" w:type="dxa"/>
        <w:jc w:val="left"/>
        <w:tblInd w:w="1129" w:type="dxa"/>
        <w:tblLook w:val="06A0" w:firstRow="1" w:lastRow="0" w:firstColumn="1" w:lastColumn="0" w:noHBand="1" w:noVBand="1"/>
      </w:tblPr>
      <w:tblGrid>
        <w:gridCol w:w="1795"/>
        <w:gridCol w:w="5892"/>
      </w:tblGrid>
      <w:tr w:rsidR="003249BC" w:rsidRPr="00454AD2" w14:paraId="6F8BA515" w14:textId="77777777" w:rsidTr="006A7ACC">
        <w:trPr>
          <w:cnfStyle w:val="100000000000" w:firstRow="1" w:lastRow="0" w:firstColumn="0" w:lastColumn="0" w:oddVBand="0" w:evenVBand="0" w:oddHBand="0"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795" w:type="dxa"/>
            <w:shd w:val="clear" w:color="auto" w:fill="CAC8C8" w:themeFill="accent2"/>
          </w:tcPr>
          <w:p w14:paraId="36C9F5FD" w14:textId="3BCD5B9F" w:rsidR="003249BC" w:rsidRPr="00631044" w:rsidRDefault="003249BC" w:rsidP="000B4EAC">
            <w:pPr>
              <w:jc w:val="center"/>
            </w:pPr>
            <w:r>
              <w:t>Location Category</w:t>
            </w:r>
          </w:p>
        </w:tc>
        <w:tc>
          <w:tcPr>
            <w:tcW w:w="5892" w:type="dxa"/>
            <w:tcBorders>
              <w:bottom w:val="single" w:sz="4" w:space="0" w:color="auto"/>
              <w:right w:val="single" w:sz="4" w:space="0" w:color="auto"/>
            </w:tcBorders>
            <w:shd w:val="clear" w:color="auto" w:fill="CAC8C8" w:themeFill="accent2"/>
          </w:tcPr>
          <w:p w14:paraId="7CEEC86B" w14:textId="721FE950" w:rsidR="003249BC" w:rsidRPr="00454AD2" w:rsidRDefault="003249BC" w:rsidP="000B4EAC">
            <w:pPr>
              <w:cnfStyle w:val="100000000000" w:firstRow="1" w:lastRow="0" w:firstColumn="0" w:lastColumn="0" w:oddVBand="0" w:evenVBand="0" w:oddHBand="0" w:evenHBand="0" w:firstRowFirstColumn="0" w:firstRowLastColumn="0" w:lastRowFirstColumn="0" w:lastRowLastColumn="0"/>
            </w:pPr>
            <w:r>
              <w:t>Location Description</w:t>
            </w:r>
          </w:p>
        </w:tc>
      </w:tr>
      <w:tr w:rsidR="003249BC" w:rsidRPr="00631044" w14:paraId="5B7EB24A" w14:textId="77777777" w:rsidTr="006A7ACC">
        <w:trPr>
          <w:trHeight w:val="20"/>
          <w:jc w:val="left"/>
        </w:trPr>
        <w:tc>
          <w:tcPr>
            <w:cnfStyle w:val="001000000000" w:firstRow="0" w:lastRow="0" w:firstColumn="1" w:lastColumn="0" w:oddVBand="0" w:evenVBand="0" w:oddHBand="0" w:evenHBand="0" w:firstRowFirstColumn="0" w:firstRowLastColumn="0" w:lastRowFirstColumn="0" w:lastRowLastColumn="0"/>
            <w:tcW w:w="1795" w:type="dxa"/>
          </w:tcPr>
          <w:p w14:paraId="5B490C57" w14:textId="2783EA90" w:rsidR="003249BC" w:rsidRPr="00B206DB" w:rsidRDefault="003249BC" w:rsidP="000B4EAC">
            <w:pPr>
              <w:jc w:val="center"/>
              <w:rPr>
                <w:b/>
                <w:bCs/>
              </w:rPr>
            </w:pPr>
            <w:r>
              <w:rPr>
                <w:b/>
                <w:bCs/>
              </w:rPr>
              <w:t>1</w:t>
            </w:r>
          </w:p>
        </w:tc>
        <w:tc>
          <w:tcPr>
            <w:tcW w:w="5892" w:type="dxa"/>
            <w:tcBorders>
              <w:right w:val="single" w:sz="4" w:space="0" w:color="auto"/>
            </w:tcBorders>
          </w:tcPr>
          <w:p w14:paraId="1C6B4D3C" w14:textId="3A44FB4F" w:rsidR="003249BC" w:rsidRPr="00631044" w:rsidRDefault="003249BC" w:rsidP="000B4EAC">
            <w:pPr>
              <w:cnfStyle w:val="000000000000" w:firstRow="0" w:lastRow="0" w:firstColumn="0" w:lastColumn="0" w:oddVBand="0" w:evenVBand="0" w:oddHBand="0" w:evenHBand="0" w:firstRowFirstColumn="0" w:firstRowLastColumn="0" w:lastRowFirstColumn="0" w:lastRowLastColumn="0"/>
            </w:pPr>
            <w:r>
              <w:t xml:space="preserve">Within pipeline wayleave or easement. </w:t>
            </w:r>
            <w:r>
              <w:br/>
              <w:t>Typically, this is the zone within which the pipeline operator has legal rights, including a requirement by the landowner to notify planned work (although this may be different for non-Pipelines Act pipelines laid by Statutory Undertakers).</w:t>
            </w:r>
          </w:p>
        </w:tc>
      </w:tr>
      <w:tr w:rsidR="003249BC" w:rsidRPr="00631044" w14:paraId="1544C4AB" w14:textId="77777777" w:rsidTr="006A7ACC">
        <w:trPr>
          <w:jc w:val="left"/>
        </w:trPr>
        <w:tc>
          <w:tcPr>
            <w:cnfStyle w:val="001000000000" w:firstRow="0" w:lastRow="0" w:firstColumn="1" w:lastColumn="0" w:oddVBand="0" w:evenVBand="0" w:oddHBand="0" w:evenHBand="0" w:firstRowFirstColumn="0" w:firstRowLastColumn="0" w:lastRowFirstColumn="0" w:lastRowLastColumn="0"/>
            <w:tcW w:w="1795" w:type="dxa"/>
          </w:tcPr>
          <w:p w14:paraId="268AA344" w14:textId="2D7CCEEB" w:rsidR="003249BC" w:rsidRPr="00B206DB" w:rsidRDefault="003249BC" w:rsidP="000B4EAC">
            <w:pPr>
              <w:jc w:val="center"/>
              <w:rPr>
                <w:b/>
                <w:bCs/>
              </w:rPr>
            </w:pPr>
            <w:r>
              <w:rPr>
                <w:b/>
                <w:bCs/>
              </w:rPr>
              <w:t>2</w:t>
            </w:r>
          </w:p>
        </w:tc>
        <w:tc>
          <w:tcPr>
            <w:tcW w:w="5892" w:type="dxa"/>
            <w:tcBorders>
              <w:right w:val="single" w:sz="4" w:space="0" w:color="auto"/>
            </w:tcBorders>
          </w:tcPr>
          <w:p w14:paraId="2FA62E23" w14:textId="171ADFEF" w:rsidR="003249BC" w:rsidRPr="00631044" w:rsidRDefault="003249BC" w:rsidP="003249BC">
            <w:pPr>
              <w:cnfStyle w:val="000000000000" w:firstRow="0" w:lastRow="0" w:firstColumn="0" w:lastColumn="0" w:oddVBand="0" w:evenVBand="0" w:oddHBand="0" w:evenHBand="0" w:firstRowFirstColumn="0" w:firstRowLastColumn="0" w:lastRowFirstColumn="0" w:lastRowLastColumn="0"/>
            </w:pPr>
            <w:r>
              <w:t>Within pipeline operators’ zone of interest, but outside the pipeline wayleave or easement.</w:t>
            </w:r>
            <w:r>
              <w:br/>
              <w:t>This is the area within which the operator would have reasonably expected a competent third party to have given notification in the prevailing circumstances.</w:t>
            </w:r>
          </w:p>
        </w:tc>
      </w:tr>
    </w:tbl>
    <w:p w14:paraId="4CE2C82E" w14:textId="585100E6" w:rsidR="00B206DB" w:rsidRDefault="003249BC" w:rsidP="000862D2">
      <w:pPr>
        <w:pStyle w:val="Caption"/>
      </w:pPr>
      <w:bookmarkStart w:id="9" w:name="_Ref19126891"/>
      <w:r>
        <w:t xml:space="preserve">Table </w:t>
      </w:r>
      <w:fldSimple w:instr=" STYLEREF 1 \s ">
        <w:r w:rsidR="00FC7554">
          <w:rPr>
            <w:noProof/>
          </w:rPr>
          <w:t>2</w:t>
        </w:r>
      </w:fldSimple>
      <w:r>
        <w:t>.</w:t>
      </w:r>
      <w:fldSimple w:instr=" SEQ Table \* ARABIC \s 1 ">
        <w:r w:rsidR="00FC7554">
          <w:rPr>
            <w:noProof/>
          </w:rPr>
          <w:t>2</w:t>
        </w:r>
      </w:fldSimple>
      <w:bookmarkEnd w:id="9"/>
      <w:r>
        <w:t>: UKOPA Infringement Database location classification</w:t>
      </w:r>
    </w:p>
    <w:p w14:paraId="60E6C014" w14:textId="7E44DB43" w:rsidR="003249BC" w:rsidRDefault="003249BC" w:rsidP="003249BC">
      <w:pPr>
        <w:pStyle w:val="Heading2"/>
      </w:pPr>
      <w:bookmarkStart w:id="10" w:name="_Toc29230223"/>
      <w:r>
        <w:t>Derivation of Parameters for Monte-Carlo Simulation</w:t>
      </w:r>
      <w:bookmarkEnd w:id="10"/>
    </w:p>
    <w:p w14:paraId="00A068E0" w14:textId="03CD0121" w:rsidR="00372381" w:rsidRDefault="00372381" w:rsidP="00372381">
      <w:pPr>
        <w:pStyle w:val="Heading3"/>
      </w:pPr>
      <w:r>
        <w:t>Frequency of excavations</w:t>
      </w:r>
    </w:p>
    <w:p w14:paraId="6AB10828" w14:textId="0402A783" w:rsidR="00372381" w:rsidRDefault="00372381" w:rsidP="00372381">
      <w:pPr>
        <w:pStyle w:val="BodyText"/>
      </w:pPr>
      <w:r>
        <w:t>Data collected over the 2-3 years (to 2005) for the Infringement Database for about 20,000 km of pipelines in the UK indicates that the expected frequency of unauthorised excavations is approximately between 2 and 5 per 300 km length of pipeline (i.e. between 6.7 and 16.7 per 1000 km). The Monte-Carlo models shows that the results are not very sensitive to the excavation rate, and that the higher the number of excavations per year, the lower the probability of detection for a given surveillance frequency.</w:t>
      </w:r>
    </w:p>
    <w:p w14:paraId="74E0FBA4" w14:textId="15858995" w:rsidR="00372381" w:rsidRPr="00372381" w:rsidRDefault="00372381" w:rsidP="00372381">
      <w:pPr>
        <w:pStyle w:val="BodyText"/>
      </w:pPr>
      <w:r>
        <w:t>To allow for under reporting of incidents in the Infringement Database, an excavation frequency of 10 per 300 km length per year (i.e. 33.3 per 1000 km years) has been assumed.</w:t>
      </w:r>
    </w:p>
    <w:p w14:paraId="28F3073A" w14:textId="17A463A4" w:rsidR="00372381" w:rsidRDefault="00372381" w:rsidP="00372381">
      <w:pPr>
        <w:pStyle w:val="Heading3"/>
      </w:pPr>
      <w:bookmarkStart w:id="11" w:name="_Ref19188974"/>
      <w:r>
        <w:t>Duration of excavation before reaching the pipeline</w:t>
      </w:r>
      <w:bookmarkEnd w:id="11"/>
    </w:p>
    <w:p w14:paraId="188F3AB9" w14:textId="1A105FC9" w:rsidR="00372381" w:rsidRDefault="00372381" w:rsidP="00372381">
      <w:pPr>
        <w:pStyle w:val="BodyText"/>
      </w:pPr>
      <w:r>
        <w:t xml:space="preserve">Not every excavation will necessarily reach the pipeline. </w:t>
      </w:r>
      <w:r w:rsidR="000B4EAC">
        <w:t>However, in this analysis it is assumed that excavations have a randomly generated duration with an average set for the Exponential Distribution as follows:</w:t>
      </w:r>
    </w:p>
    <w:p w14:paraId="013763E3" w14:textId="4050F45B" w:rsidR="000B4EAC" w:rsidRPr="000B4EAC" w:rsidRDefault="000B4EAC" w:rsidP="00372381">
      <w:pPr>
        <w:pStyle w:val="BodyText"/>
      </w:pPr>
      <m:oMathPara>
        <m:oMath>
          <m:r>
            <w:rPr>
              <w:rFonts w:ascii="Cambria Math" w:hAnsi="Cambria Math"/>
            </w:rPr>
            <m:t xml:space="preserve">Duration of excavation= </m:t>
          </m:r>
          <m:f>
            <m:fPr>
              <m:ctrlPr>
                <w:rPr>
                  <w:rFonts w:ascii="Cambria Math" w:hAnsi="Cambria Math"/>
                  <w:i/>
                </w:rPr>
              </m:ctrlPr>
            </m:fPr>
            <m:num>
              <m:r>
                <w:rPr>
                  <w:rFonts w:ascii="Cambria Math" w:hAnsi="Cambria Math"/>
                </w:rPr>
                <m:t>Average Duration</m:t>
              </m:r>
            </m:num>
            <m:den>
              <m:func>
                <m:funcPr>
                  <m:ctrlPr>
                    <w:rPr>
                      <w:rFonts w:ascii="Cambria Math" w:hAnsi="Cambria Math"/>
                      <w:i/>
                    </w:rPr>
                  </m:ctrlPr>
                </m:funcPr>
                <m:fName>
                  <m:r>
                    <m:rPr>
                      <m:sty m:val="p"/>
                    </m:rPr>
                    <w:rPr>
                      <w:rFonts w:ascii="Cambria Math" w:hAnsi="Cambria Math"/>
                    </w:rPr>
                    <m:t>-ln</m:t>
                  </m:r>
                </m:fName>
                <m:e>
                  <m:r>
                    <w:rPr>
                      <w:rFonts w:ascii="Cambria Math" w:hAnsi="Cambria Math"/>
                    </w:rPr>
                    <m:t>(Random number between 0 and 1)</m:t>
                  </m:r>
                </m:e>
              </m:func>
            </m:den>
          </m:f>
        </m:oMath>
      </m:oMathPara>
    </w:p>
    <w:p w14:paraId="7CBB173A" w14:textId="30FE682A" w:rsidR="000B4EAC" w:rsidRDefault="000B4EAC" w:rsidP="00372381">
      <w:pPr>
        <w:pStyle w:val="BodyText"/>
      </w:pPr>
      <w:r>
        <w:t>From the Infringement Database, it has been assumed that:</w:t>
      </w:r>
    </w:p>
    <w:p w14:paraId="2AEED2CC" w14:textId="7A379984" w:rsidR="000B4EAC" w:rsidRDefault="000B4EAC" w:rsidP="00EA7E5B">
      <w:pPr>
        <w:pStyle w:val="BodyText"/>
        <w:numPr>
          <w:ilvl w:val="0"/>
          <w:numId w:val="20"/>
        </w:numPr>
      </w:pPr>
      <w:r>
        <w:t>A1 type infringements are caused by relatively short duration excavations which then caused damage to the wrap or pipeline. There are 15 of these events recorded.</w:t>
      </w:r>
    </w:p>
    <w:p w14:paraId="4209694B" w14:textId="405D5703" w:rsidR="000B4EAC" w:rsidRDefault="000B4EAC" w:rsidP="00EA7E5B">
      <w:pPr>
        <w:pStyle w:val="BodyText"/>
        <w:numPr>
          <w:ilvl w:val="0"/>
          <w:numId w:val="20"/>
        </w:numPr>
      </w:pPr>
      <w:r>
        <w:lastRenderedPageBreak/>
        <w:t>B1 type infringements are caused by events in the easement near the pipeline and are therefore likely to cause damage in a medium timescale but have been detected and stopped before they caused damage. There are 96 of these events recorded.</w:t>
      </w:r>
    </w:p>
    <w:p w14:paraId="57DFE77A" w14:textId="3745836A" w:rsidR="000B4EAC" w:rsidRDefault="000B4EAC" w:rsidP="00EA7E5B">
      <w:pPr>
        <w:pStyle w:val="BodyText"/>
        <w:numPr>
          <w:ilvl w:val="0"/>
          <w:numId w:val="20"/>
        </w:numPr>
      </w:pPr>
      <w:r>
        <w:t xml:space="preserve">B2 / C1/ C2 type infringements are of longer duration because they are outside the easements and / or are unlikely to cause damage to the pipeline. There are </w:t>
      </w:r>
      <w:r w:rsidR="00FC7554">
        <w:t>242 of these incidents recorded.</w:t>
      </w:r>
    </w:p>
    <w:p w14:paraId="32E717A6" w14:textId="77777777" w:rsidR="00FC7554" w:rsidRDefault="00FC7554" w:rsidP="000862D2">
      <w:pPr>
        <w:pStyle w:val="BodyText"/>
        <w:keepNext/>
        <w:spacing w:after="0"/>
        <w:jc w:val="center"/>
      </w:pPr>
      <w:r w:rsidRPr="00FC7554">
        <w:rPr>
          <w:noProof/>
        </w:rPr>
        <w:drawing>
          <wp:inline distT="0" distB="0" distL="0" distR="0" wp14:anchorId="4530C6D3" wp14:editId="5CFDB0E6">
            <wp:extent cx="3029349" cy="216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29349" cy="2160000"/>
                    </a:xfrm>
                    <a:prstGeom prst="rect">
                      <a:avLst/>
                    </a:prstGeom>
                  </pic:spPr>
                </pic:pic>
              </a:graphicData>
            </a:graphic>
          </wp:inline>
        </w:drawing>
      </w:r>
    </w:p>
    <w:p w14:paraId="2ABCBDAB" w14:textId="054E31BF" w:rsidR="00FC7554" w:rsidRDefault="00FC7554" w:rsidP="000862D2">
      <w:pPr>
        <w:pStyle w:val="Caption"/>
      </w:pPr>
      <w:r>
        <w:t xml:space="preserve">Figure </w:t>
      </w:r>
      <w:fldSimple w:instr=" STYLEREF 1 \s ">
        <w:r w:rsidR="00F77222">
          <w:rPr>
            <w:noProof/>
          </w:rPr>
          <w:t>3</w:t>
        </w:r>
      </w:fldSimple>
      <w:r w:rsidR="00F77222">
        <w:t>.</w:t>
      </w:r>
      <w:fldSimple w:instr=" SEQ Figure \* ARABIC \s 1 ">
        <w:r w:rsidR="00F77222">
          <w:rPr>
            <w:noProof/>
          </w:rPr>
          <w:t>2</w:t>
        </w:r>
      </w:fldSimple>
      <w:r>
        <w:t>: Profile of Infringement Types</w:t>
      </w:r>
    </w:p>
    <w:p w14:paraId="711C5F56" w14:textId="4619C782" w:rsidR="00FC7554" w:rsidRDefault="00FC7554" w:rsidP="00FC7554">
      <w:pPr>
        <w:pStyle w:val="BodyText"/>
      </w:pPr>
      <w:r>
        <w:t>Various average excavation durations have been calculated using the Monte-Carlo model.</w:t>
      </w:r>
      <w:r w:rsidRPr="00FC7554">
        <w:t xml:space="preserve"> </w:t>
      </w:r>
      <w:r>
        <w:t>They show that the shorter the average duration, the less likely is the surveillance to find and stop the excavation before it reaches the pipeline. After a series of trial and error runs, the best fit for the average excavation duration is 2.5 days, on the basis that:</w:t>
      </w:r>
    </w:p>
    <w:p w14:paraId="68824BC5" w14:textId="7E4A9491" w:rsidR="00FC7554" w:rsidRDefault="00FC7554" w:rsidP="00EA7E5B">
      <w:pPr>
        <w:pStyle w:val="BodyText"/>
        <w:numPr>
          <w:ilvl w:val="0"/>
          <w:numId w:val="21"/>
        </w:numPr>
      </w:pPr>
      <w:r>
        <w:t>Excavation duration less than 1 day is equivalent to an A1 type event;</w:t>
      </w:r>
    </w:p>
    <w:p w14:paraId="69A1A333" w14:textId="36D784CB" w:rsidR="00FC7554" w:rsidRDefault="00FC7554" w:rsidP="00EA7E5B">
      <w:pPr>
        <w:pStyle w:val="BodyText"/>
        <w:numPr>
          <w:ilvl w:val="0"/>
          <w:numId w:val="21"/>
        </w:numPr>
      </w:pPr>
      <w:r>
        <w:t>Excavation duration 1 days to 2.5 days is equivalent to a B1 type event; and,</w:t>
      </w:r>
    </w:p>
    <w:p w14:paraId="60DF2D88" w14:textId="4F443BCD" w:rsidR="00FC7554" w:rsidRDefault="00FC7554" w:rsidP="00EA7E5B">
      <w:pPr>
        <w:pStyle w:val="BodyText"/>
        <w:numPr>
          <w:ilvl w:val="0"/>
          <w:numId w:val="21"/>
        </w:numPr>
      </w:pPr>
      <w:r>
        <w:t>Excavation duration greater than 2.5 days is equivalent to a B2, C1 or C2 event.</w:t>
      </w:r>
    </w:p>
    <w:p w14:paraId="0AF6189F" w14:textId="29CB99BC" w:rsidR="00FC7554" w:rsidRDefault="00FC7554" w:rsidP="00FC7554">
      <w:pPr>
        <w:pStyle w:val="BodyText"/>
      </w:pPr>
      <w:r>
        <w:t xml:space="preserve">The pattern of event frequencies which best fits the average 2.5-day duration is shown in </w:t>
      </w:r>
      <w:r w:rsidR="002D6045">
        <w:fldChar w:fldCharType="begin"/>
      </w:r>
      <w:r w:rsidR="002D6045">
        <w:instrText xml:space="preserve"> REF _Ref19186426 \h </w:instrText>
      </w:r>
      <w:r w:rsidR="002D6045">
        <w:fldChar w:fldCharType="separate"/>
      </w:r>
      <w:r w:rsidR="002D6045">
        <w:t xml:space="preserve">Figure </w:t>
      </w:r>
      <w:r w:rsidR="002D6045">
        <w:rPr>
          <w:noProof/>
        </w:rPr>
        <w:t>2</w:t>
      </w:r>
      <w:r w:rsidR="002D6045">
        <w:t>.</w:t>
      </w:r>
      <w:r w:rsidR="002D6045">
        <w:rPr>
          <w:noProof/>
        </w:rPr>
        <w:t>2</w:t>
      </w:r>
      <w:r w:rsidR="002D6045">
        <w:fldChar w:fldCharType="end"/>
      </w:r>
      <w:r w:rsidR="002D6045">
        <w:t>.</w:t>
      </w:r>
    </w:p>
    <w:p w14:paraId="2FC91731" w14:textId="525DB598" w:rsidR="00FC7554" w:rsidRDefault="00FC7554" w:rsidP="00FC7554">
      <w:pPr>
        <w:pStyle w:val="BodyText"/>
        <w:keepNext/>
        <w:spacing w:after="0"/>
        <w:jc w:val="center"/>
      </w:pPr>
      <w:r w:rsidRPr="00FC7554">
        <w:rPr>
          <w:noProof/>
        </w:rPr>
        <w:drawing>
          <wp:inline distT="0" distB="0" distL="0" distR="0" wp14:anchorId="25E025AB" wp14:editId="3B830799">
            <wp:extent cx="3030457" cy="216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30457" cy="2160000"/>
                    </a:xfrm>
                    <a:prstGeom prst="rect">
                      <a:avLst/>
                    </a:prstGeom>
                  </pic:spPr>
                </pic:pic>
              </a:graphicData>
            </a:graphic>
          </wp:inline>
        </w:drawing>
      </w:r>
    </w:p>
    <w:p w14:paraId="5244ABA6" w14:textId="41A06E86" w:rsidR="00FC7554" w:rsidRDefault="00FC7554" w:rsidP="000862D2">
      <w:pPr>
        <w:pStyle w:val="Caption"/>
      </w:pPr>
      <w:bookmarkStart w:id="12" w:name="_Ref19186426"/>
      <w:r>
        <w:t xml:space="preserve">Figure </w:t>
      </w:r>
      <w:fldSimple w:instr=" STYLEREF 1 \s ">
        <w:r w:rsidR="00F77222">
          <w:rPr>
            <w:noProof/>
          </w:rPr>
          <w:t>3</w:t>
        </w:r>
      </w:fldSimple>
      <w:r w:rsidR="00F77222">
        <w:t>.</w:t>
      </w:r>
      <w:fldSimple w:instr=" SEQ Figure \* ARABIC \s 1 ">
        <w:r w:rsidR="00F77222">
          <w:rPr>
            <w:noProof/>
          </w:rPr>
          <w:t>3</w:t>
        </w:r>
      </w:fldSimple>
      <w:bookmarkEnd w:id="12"/>
      <w:r>
        <w:t xml:space="preserve">: </w:t>
      </w:r>
      <w:r w:rsidR="002D6045">
        <w:t xml:space="preserve">Assumed </w:t>
      </w:r>
      <w:r>
        <w:t xml:space="preserve">Distribution of Event </w:t>
      </w:r>
      <w:r w:rsidR="002D6045">
        <w:t>Durations</w:t>
      </w:r>
    </w:p>
    <w:p w14:paraId="23EC3700" w14:textId="77777777" w:rsidR="002D6045" w:rsidRDefault="002D6045" w:rsidP="002D6045">
      <w:pPr>
        <w:pStyle w:val="BodyText"/>
      </w:pPr>
      <w:r>
        <w:lastRenderedPageBreak/>
        <w:t xml:space="preserve">This shows that for 15 A1 type events, there would be 94 B1 type events and 192 of the rest, which is similar to the actual experience from the Infringement Database. </w:t>
      </w:r>
    </w:p>
    <w:p w14:paraId="37ABE7C7" w14:textId="248C3496" w:rsidR="002D6045" w:rsidRDefault="002D6045" w:rsidP="002D6045">
      <w:pPr>
        <w:pStyle w:val="BodyText"/>
      </w:pPr>
      <w:r>
        <w:t xml:space="preserve">It should be noted that due to the way the Exponential Distribution works, the setting of the average duration for an excavation of 2.5 days generates a lower duration with the greatest frequency of such an event. For a simulation of 1000 years, the number of excavations of different duration is shown in </w:t>
      </w:r>
      <w:r w:rsidR="009F57F6">
        <w:fldChar w:fldCharType="begin"/>
      </w:r>
      <w:r w:rsidR="009F57F6">
        <w:instrText xml:space="preserve"> REF _Ref19188359 \h </w:instrText>
      </w:r>
      <w:r w:rsidR="009F57F6">
        <w:fldChar w:fldCharType="separate"/>
      </w:r>
      <w:r w:rsidR="009F57F6">
        <w:t xml:space="preserve">Figure </w:t>
      </w:r>
      <w:r w:rsidR="009F57F6">
        <w:rPr>
          <w:noProof/>
        </w:rPr>
        <w:t>2</w:t>
      </w:r>
      <w:r w:rsidR="009F57F6">
        <w:t>.</w:t>
      </w:r>
      <w:r w:rsidR="009F57F6">
        <w:rPr>
          <w:noProof/>
        </w:rPr>
        <w:t>3</w:t>
      </w:r>
      <w:r w:rsidR="009F57F6">
        <w:fldChar w:fldCharType="end"/>
      </w:r>
      <w:r>
        <w:t>.</w:t>
      </w:r>
    </w:p>
    <w:p w14:paraId="21020FCF" w14:textId="77777777" w:rsidR="009F57F6" w:rsidRDefault="002D6045" w:rsidP="009F57F6">
      <w:pPr>
        <w:pStyle w:val="BodyText"/>
        <w:keepNext/>
        <w:spacing w:after="0"/>
        <w:jc w:val="center"/>
      </w:pPr>
      <w:r w:rsidRPr="002D6045">
        <w:rPr>
          <w:noProof/>
        </w:rPr>
        <w:drawing>
          <wp:inline distT="0" distB="0" distL="0" distR="0" wp14:anchorId="77F9C002" wp14:editId="560826F8">
            <wp:extent cx="3567268" cy="216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67268" cy="2160000"/>
                    </a:xfrm>
                    <a:prstGeom prst="rect">
                      <a:avLst/>
                    </a:prstGeom>
                  </pic:spPr>
                </pic:pic>
              </a:graphicData>
            </a:graphic>
          </wp:inline>
        </w:drawing>
      </w:r>
    </w:p>
    <w:p w14:paraId="03706CD8" w14:textId="78C02FD1" w:rsidR="002D6045" w:rsidRDefault="009F57F6" w:rsidP="000862D2">
      <w:pPr>
        <w:pStyle w:val="Caption"/>
      </w:pPr>
      <w:bookmarkStart w:id="13" w:name="_Ref19188359"/>
      <w:r>
        <w:t xml:space="preserve">Figure </w:t>
      </w:r>
      <w:fldSimple w:instr=" STYLEREF 1 \s ">
        <w:r w:rsidR="00F77222">
          <w:rPr>
            <w:noProof/>
          </w:rPr>
          <w:t>3</w:t>
        </w:r>
      </w:fldSimple>
      <w:r w:rsidR="00F77222">
        <w:t>.</w:t>
      </w:r>
      <w:fldSimple w:instr=" SEQ Figure \* ARABIC \s 1 ">
        <w:r w:rsidR="00F77222">
          <w:rPr>
            <w:noProof/>
          </w:rPr>
          <w:t>4</w:t>
        </w:r>
      </w:fldSimple>
      <w:bookmarkEnd w:id="13"/>
      <w:r>
        <w:t>: Distribution of Excavation Durations</w:t>
      </w:r>
    </w:p>
    <w:p w14:paraId="272029AB" w14:textId="77777777" w:rsidR="000862D2" w:rsidRDefault="000862D2" w:rsidP="000862D2">
      <w:pPr>
        <w:pStyle w:val="BodyText"/>
      </w:pPr>
      <w:r>
        <w:t xml:space="preserve">The highest number of events is in the 1 to </w:t>
      </w:r>
      <w:proofErr w:type="gramStart"/>
      <w:r>
        <w:t>2 day</w:t>
      </w:r>
      <w:proofErr w:type="gramEnd"/>
      <w:r>
        <w:t xml:space="preserve"> duration. </w:t>
      </w:r>
    </w:p>
    <w:p w14:paraId="3C8C1F3A" w14:textId="03D1E895" w:rsidR="000862D2" w:rsidRDefault="000862D2" w:rsidP="000862D2">
      <w:pPr>
        <w:pStyle w:val="BodyText"/>
      </w:pPr>
      <w:r>
        <w:t xml:space="preserve">To obtain the simulation results, several different runs were carried out using </w:t>
      </w:r>
      <w:proofErr w:type="gramStart"/>
      <w:r>
        <w:t>1000 year</w:t>
      </w:r>
      <w:proofErr w:type="gramEnd"/>
      <w:r>
        <w:t xml:space="preserve"> simulation periods. This was found to give similar results when running the same case several times so longer periods were not required to obtain stable results.</w:t>
      </w:r>
    </w:p>
    <w:p w14:paraId="195CD3E7" w14:textId="33F264E5" w:rsidR="009F57F6" w:rsidRPr="009F57F6" w:rsidRDefault="000862D2" w:rsidP="000862D2">
      <w:pPr>
        <w:pStyle w:val="BodyText"/>
      </w:pPr>
      <w:r>
        <w:t>Different sets of results have been obtained for different surveillance periods and different key parameters including excavation duration and excavation frequency. However, the optimal results fitting the data for the Infringement Database are for 10 excavations per year with average duration 2.5 days.</w:t>
      </w:r>
    </w:p>
    <w:p w14:paraId="649C50D9" w14:textId="37B2FE97" w:rsidR="001F2169" w:rsidRDefault="001F2169" w:rsidP="007127E5">
      <w:pPr>
        <w:pStyle w:val="Heading1"/>
      </w:pPr>
      <w:bookmarkStart w:id="14" w:name="_Toc29230224"/>
      <w:r>
        <w:lastRenderedPageBreak/>
        <w:t>Results</w:t>
      </w:r>
      <w:bookmarkEnd w:id="14"/>
    </w:p>
    <w:p w14:paraId="4B223EC3" w14:textId="1BE13A0F" w:rsidR="000862D2" w:rsidRDefault="000862D2" w:rsidP="000862D2">
      <w:pPr>
        <w:pStyle w:val="BodyText"/>
      </w:pPr>
      <w:r>
        <w:t xml:space="preserve">The results are presented in terms of risk reduction factor relative to the standard </w:t>
      </w:r>
      <w:proofErr w:type="gramStart"/>
      <w:r>
        <w:t>14 day</w:t>
      </w:r>
      <w:proofErr w:type="gramEnd"/>
      <w:r>
        <w:t xml:space="preserve"> (2-weekly) surveillance period. Risk reduction factors have been obtained for a generic pipeline route where the following parameters have been applied:</w:t>
      </w:r>
    </w:p>
    <w:p w14:paraId="3F51220E" w14:textId="3F6E9CF7" w:rsidR="000862D2" w:rsidRDefault="000862D2" w:rsidP="00EA7E5B">
      <w:pPr>
        <w:pStyle w:val="BodyText"/>
        <w:numPr>
          <w:ilvl w:val="0"/>
          <w:numId w:val="22"/>
        </w:numPr>
      </w:pPr>
      <w:r>
        <w:t>Typical route length - 200 – 300 kilometres, surveyed at routine intervals;</w:t>
      </w:r>
    </w:p>
    <w:p w14:paraId="639823C6" w14:textId="262B11D2" w:rsidR="000862D2" w:rsidRDefault="000862D2" w:rsidP="00EA7E5B">
      <w:pPr>
        <w:pStyle w:val="BodyText"/>
        <w:numPr>
          <w:ilvl w:val="0"/>
          <w:numId w:val="22"/>
        </w:numPr>
      </w:pPr>
      <w:r>
        <w:t>Number of unauthorised excavations occurring per year – 10; and,</w:t>
      </w:r>
    </w:p>
    <w:p w14:paraId="69EF3266" w14:textId="6AA42E7C" w:rsidR="000862D2" w:rsidRDefault="000862D2" w:rsidP="00EA7E5B">
      <w:pPr>
        <w:pStyle w:val="BodyText"/>
        <w:numPr>
          <w:ilvl w:val="0"/>
          <w:numId w:val="22"/>
        </w:numPr>
      </w:pPr>
      <w:r>
        <w:t xml:space="preserve">Average duration of excavation before reaching pipeline - 2.5 days (used in Exponential distribution to obtain random duration – see Section </w:t>
      </w:r>
      <w:r w:rsidR="00EE642D">
        <w:fldChar w:fldCharType="begin"/>
      </w:r>
      <w:r w:rsidR="00EE642D">
        <w:instrText xml:space="preserve"> REF _Ref19188974 \r \h </w:instrText>
      </w:r>
      <w:r w:rsidR="00EE642D">
        <w:fldChar w:fldCharType="separate"/>
      </w:r>
      <w:r w:rsidR="00F77222">
        <w:t>3.2.2</w:t>
      </w:r>
      <w:r w:rsidR="00EE642D">
        <w:fldChar w:fldCharType="end"/>
      </w:r>
      <w:r>
        <w:t>)</w:t>
      </w:r>
    </w:p>
    <w:p w14:paraId="68DDB3F4" w14:textId="78970D91" w:rsidR="000862D2" w:rsidRDefault="000862D2" w:rsidP="000862D2">
      <w:pPr>
        <w:pStyle w:val="BodyText"/>
      </w:pPr>
      <w:r>
        <w:t>These values have been derived from consideration of the UKOPA Infringement Database.</w:t>
      </w:r>
    </w:p>
    <w:p w14:paraId="263BE4F1" w14:textId="64116D58" w:rsidR="00EE642D" w:rsidRPr="000862D2" w:rsidRDefault="00EE642D" w:rsidP="000862D2">
      <w:pPr>
        <w:pStyle w:val="BodyText"/>
      </w:pPr>
      <w:r w:rsidRPr="00EE642D">
        <w:rPr>
          <w:noProof/>
        </w:rPr>
        <w:drawing>
          <wp:inline distT="0" distB="0" distL="0" distR="0" wp14:anchorId="50D9E2EA" wp14:editId="34AA8481">
            <wp:extent cx="5220000" cy="3534273"/>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20000" cy="3534273"/>
                    </a:xfrm>
                    <a:prstGeom prst="rect">
                      <a:avLst/>
                    </a:prstGeom>
                    <a:noFill/>
                    <a:ln>
                      <a:noFill/>
                    </a:ln>
                  </pic:spPr>
                </pic:pic>
              </a:graphicData>
            </a:graphic>
          </wp:inline>
        </w:drawing>
      </w:r>
    </w:p>
    <w:p w14:paraId="5BD6842D" w14:textId="777D42C7" w:rsidR="001F2169" w:rsidRDefault="001F2169" w:rsidP="007127E5">
      <w:pPr>
        <w:pStyle w:val="Heading1"/>
      </w:pPr>
      <w:bookmarkStart w:id="15" w:name="_Toc29230225"/>
      <w:r w:rsidRPr="00524F3D">
        <w:lastRenderedPageBreak/>
        <w:t>Conclusions</w:t>
      </w:r>
      <w:bookmarkEnd w:id="15"/>
    </w:p>
    <w:p w14:paraId="35A41301" w14:textId="23ED4D1B" w:rsidR="000862D2" w:rsidRPr="000862D2" w:rsidRDefault="000862D2" w:rsidP="000862D2">
      <w:pPr>
        <w:pStyle w:val="BodyText"/>
      </w:pPr>
      <w:r>
        <w:t>This TBN has described the application of the Monte-Carlo simulation to derive the effects of increased surveillance frequency in reducing the probability of an unauthorised excavation reaching and damaging an underground pipeline. Data for setting the key parameters has been derived from the UKOPA Infringement database. Results are presented in terms of the Risk reduction factor relative to the standard surveillance frequency of 2 weeks.</w:t>
      </w:r>
    </w:p>
    <w:bookmarkStart w:id="16" w:name="_Toc29230226" w:displacedByCustomXml="next"/>
    <w:sdt>
      <w:sdtPr>
        <w:rPr>
          <w:rFonts w:asciiTheme="minorHAnsi" w:hAnsiTheme="minorHAnsi"/>
          <w:b w:val="0"/>
          <w:caps w:val="0"/>
          <w:noProof w:val="0"/>
          <w:color w:val="auto"/>
          <w:kern w:val="0"/>
          <w:sz w:val="20"/>
        </w:rPr>
        <w:id w:val="1260565788"/>
        <w:docPartObj>
          <w:docPartGallery w:val="Bibliographies"/>
          <w:docPartUnique/>
        </w:docPartObj>
      </w:sdtPr>
      <w:sdtEndPr/>
      <w:sdtContent>
        <w:p w14:paraId="2F212133" w14:textId="734B29DA" w:rsidR="000862D2" w:rsidRDefault="000862D2">
          <w:pPr>
            <w:pStyle w:val="Heading1"/>
          </w:pPr>
          <w:r>
            <w:t>References</w:t>
          </w:r>
          <w:bookmarkEnd w:id="16"/>
        </w:p>
        <w:sdt>
          <w:sdtPr>
            <w:id w:val="-573587230"/>
            <w:bibliography/>
          </w:sdtPr>
          <w:sdtEndPr/>
          <w:sdtContent>
            <w:p w14:paraId="596E966C" w14:textId="77777777" w:rsidR="000862D2" w:rsidRDefault="000862D2">
              <w:pPr>
                <w:rPr>
                  <w:rFonts w:ascii="Times New Roman" w:hAnsi="Times New Roman"/>
                  <w:noProof/>
                  <w:lang w:eastAsia="en-GB"/>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
                <w:gridCol w:w="8775"/>
              </w:tblGrid>
              <w:tr w:rsidR="000862D2" w14:paraId="417CFEC4" w14:textId="77777777">
                <w:trPr>
                  <w:divId w:val="1317495878"/>
                  <w:tblCellSpacing w:w="15" w:type="dxa"/>
                </w:trPr>
                <w:tc>
                  <w:tcPr>
                    <w:tcW w:w="50" w:type="pct"/>
                    <w:hideMark/>
                  </w:tcPr>
                  <w:p w14:paraId="70D1E72D" w14:textId="44004547" w:rsidR="000862D2" w:rsidRDefault="000862D2">
                    <w:pPr>
                      <w:pStyle w:val="Bibliography"/>
                      <w:rPr>
                        <w:noProof/>
                        <w:sz w:val="24"/>
                        <w:szCs w:val="24"/>
                      </w:rPr>
                    </w:pPr>
                    <w:r>
                      <w:rPr>
                        <w:noProof/>
                      </w:rPr>
                      <w:t xml:space="preserve">[1] </w:t>
                    </w:r>
                  </w:p>
                </w:tc>
                <w:tc>
                  <w:tcPr>
                    <w:tcW w:w="0" w:type="auto"/>
                    <w:hideMark/>
                  </w:tcPr>
                  <w:p w14:paraId="3F9E9312" w14:textId="77777777" w:rsidR="000862D2" w:rsidRDefault="000862D2">
                    <w:pPr>
                      <w:pStyle w:val="Bibliography"/>
                      <w:rPr>
                        <w:noProof/>
                      </w:rPr>
                    </w:pPr>
                    <w:r>
                      <w:rPr>
                        <w:noProof/>
                      </w:rPr>
                      <w:t xml:space="preserve">PD 8010-1:2015, </w:t>
                    </w:r>
                    <w:r>
                      <w:rPr>
                        <w:i/>
                        <w:iCs/>
                        <w:noProof/>
                      </w:rPr>
                      <w:t xml:space="preserve">Pipeline systems - Part 1: Steel Pipelines on land - Code of practice, </w:t>
                    </w:r>
                    <w:r>
                      <w:rPr>
                        <w:noProof/>
                      </w:rPr>
                      <w:t xml:space="preserve">British Standards Institution, March 2015. </w:t>
                    </w:r>
                  </w:p>
                </w:tc>
              </w:tr>
              <w:tr w:rsidR="000862D2" w14:paraId="56046364" w14:textId="77777777">
                <w:trPr>
                  <w:divId w:val="1317495878"/>
                  <w:tblCellSpacing w:w="15" w:type="dxa"/>
                </w:trPr>
                <w:tc>
                  <w:tcPr>
                    <w:tcW w:w="50" w:type="pct"/>
                    <w:hideMark/>
                  </w:tcPr>
                  <w:p w14:paraId="73468E40" w14:textId="77777777" w:rsidR="000862D2" w:rsidRDefault="000862D2">
                    <w:pPr>
                      <w:pStyle w:val="Bibliography"/>
                      <w:rPr>
                        <w:noProof/>
                      </w:rPr>
                    </w:pPr>
                    <w:r>
                      <w:rPr>
                        <w:noProof/>
                      </w:rPr>
                      <w:t xml:space="preserve">[2] </w:t>
                    </w:r>
                  </w:p>
                </w:tc>
                <w:tc>
                  <w:tcPr>
                    <w:tcW w:w="0" w:type="auto"/>
                    <w:hideMark/>
                  </w:tcPr>
                  <w:p w14:paraId="74CC2069" w14:textId="77777777" w:rsidR="000862D2" w:rsidRDefault="000862D2">
                    <w:pPr>
                      <w:pStyle w:val="Bibliography"/>
                      <w:rPr>
                        <w:noProof/>
                      </w:rPr>
                    </w:pPr>
                    <w:r>
                      <w:rPr>
                        <w:noProof/>
                      </w:rPr>
                      <w:t xml:space="preserve">IGEM/TD/1 Edition 5 with amendments, </w:t>
                    </w:r>
                    <w:r>
                      <w:rPr>
                        <w:i/>
                        <w:iCs/>
                        <w:noProof/>
                      </w:rPr>
                      <w:t xml:space="preserve">Steel pipelines and associated installations for high pressure gas transmission, </w:t>
                    </w:r>
                    <w:r>
                      <w:rPr>
                        <w:noProof/>
                      </w:rPr>
                      <w:t xml:space="preserve">Communication 1789, Institution of Gas Engineers &amp; Managers, July 2016. </w:t>
                    </w:r>
                  </w:p>
                </w:tc>
              </w:tr>
              <w:tr w:rsidR="000862D2" w14:paraId="5A0F6E4A" w14:textId="77777777">
                <w:trPr>
                  <w:divId w:val="1317495878"/>
                  <w:tblCellSpacing w:w="15" w:type="dxa"/>
                </w:trPr>
                <w:tc>
                  <w:tcPr>
                    <w:tcW w:w="50" w:type="pct"/>
                    <w:hideMark/>
                  </w:tcPr>
                  <w:p w14:paraId="0165C7ED" w14:textId="77777777" w:rsidR="000862D2" w:rsidRDefault="000862D2">
                    <w:pPr>
                      <w:pStyle w:val="Bibliography"/>
                      <w:rPr>
                        <w:noProof/>
                      </w:rPr>
                    </w:pPr>
                    <w:r>
                      <w:rPr>
                        <w:noProof/>
                      </w:rPr>
                      <w:t xml:space="preserve">[3] </w:t>
                    </w:r>
                  </w:p>
                </w:tc>
                <w:tc>
                  <w:tcPr>
                    <w:tcW w:w="0" w:type="auto"/>
                    <w:hideMark/>
                  </w:tcPr>
                  <w:p w14:paraId="38B38559" w14:textId="77777777" w:rsidR="000862D2" w:rsidRDefault="000862D2">
                    <w:pPr>
                      <w:pStyle w:val="Bibliography"/>
                      <w:rPr>
                        <w:noProof/>
                      </w:rPr>
                    </w:pPr>
                    <w:r>
                      <w:rPr>
                        <w:noProof/>
                      </w:rPr>
                      <w:t>R. A. McConnell, “Effect of Surveillance Frequency on 3rd Party Excavation Rate,” Briefing Paper to UKOPA RAWG, October 2005.</w:t>
                    </w:r>
                  </w:p>
                </w:tc>
              </w:tr>
              <w:tr w:rsidR="000862D2" w14:paraId="659F77A2" w14:textId="77777777">
                <w:trPr>
                  <w:divId w:val="1317495878"/>
                  <w:tblCellSpacing w:w="15" w:type="dxa"/>
                </w:trPr>
                <w:tc>
                  <w:tcPr>
                    <w:tcW w:w="50" w:type="pct"/>
                    <w:hideMark/>
                  </w:tcPr>
                  <w:p w14:paraId="1D06F2B6" w14:textId="77777777" w:rsidR="000862D2" w:rsidRDefault="000862D2">
                    <w:pPr>
                      <w:pStyle w:val="Bibliography"/>
                      <w:rPr>
                        <w:noProof/>
                      </w:rPr>
                    </w:pPr>
                    <w:r>
                      <w:rPr>
                        <w:noProof/>
                      </w:rPr>
                      <w:t xml:space="preserve">[4] </w:t>
                    </w:r>
                  </w:p>
                </w:tc>
                <w:tc>
                  <w:tcPr>
                    <w:tcW w:w="0" w:type="auto"/>
                    <w:hideMark/>
                  </w:tcPr>
                  <w:p w14:paraId="2E9A0430" w14:textId="77777777" w:rsidR="000862D2" w:rsidRDefault="000862D2">
                    <w:pPr>
                      <w:pStyle w:val="Bibliography"/>
                      <w:rPr>
                        <w:noProof/>
                      </w:rPr>
                    </w:pPr>
                    <w:r>
                      <w:rPr>
                        <w:noProof/>
                      </w:rPr>
                      <w:t xml:space="preserve">IGEM/TD/2 Edition 2, </w:t>
                    </w:r>
                    <w:r>
                      <w:rPr>
                        <w:i/>
                        <w:iCs/>
                        <w:noProof/>
                      </w:rPr>
                      <w:t xml:space="preserve">Assessing the risks from high pressure natural gas pipelines, </w:t>
                    </w:r>
                    <w:r>
                      <w:rPr>
                        <w:noProof/>
                      </w:rPr>
                      <w:t xml:space="preserve">Institution of Gas Engineers &amp; Managers, 2013. </w:t>
                    </w:r>
                  </w:p>
                </w:tc>
              </w:tr>
              <w:tr w:rsidR="000862D2" w14:paraId="58D73B4E" w14:textId="77777777">
                <w:trPr>
                  <w:divId w:val="1317495878"/>
                  <w:tblCellSpacing w:w="15" w:type="dxa"/>
                </w:trPr>
                <w:tc>
                  <w:tcPr>
                    <w:tcW w:w="50" w:type="pct"/>
                    <w:hideMark/>
                  </w:tcPr>
                  <w:p w14:paraId="31BD65A8" w14:textId="77777777" w:rsidR="000862D2" w:rsidRDefault="000862D2">
                    <w:pPr>
                      <w:pStyle w:val="Bibliography"/>
                      <w:rPr>
                        <w:noProof/>
                      </w:rPr>
                    </w:pPr>
                    <w:r>
                      <w:rPr>
                        <w:noProof/>
                      </w:rPr>
                      <w:t xml:space="preserve">[5] </w:t>
                    </w:r>
                  </w:p>
                </w:tc>
                <w:tc>
                  <w:tcPr>
                    <w:tcW w:w="0" w:type="auto"/>
                    <w:hideMark/>
                  </w:tcPr>
                  <w:p w14:paraId="49F1B5C6" w14:textId="77777777" w:rsidR="000862D2" w:rsidRDefault="000862D2">
                    <w:pPr>
                      <w:pStyle w:val="Bibliography"/>
                      <w:rPr>
                        <w:noProof/>
                      </w:rPr>
                    </w:pPr>
                    <w:r>
                      <w:rPr>
                        <w:noProof/>
                      </w:rPr>
                      <w:t xml:space="preserve">PD 8010-3:2009+A1:2013, </w:t>
                    </w:r>
                    <w:r>
                      <w:rPr>
                        <w:i/>
                        <w:iCs/>
                        <w:noProof/>
                      </w:rPr>
                      <w:t xml:space="preserve">Pipeline systems. Part 3: Steel pipelines on land and subsea pipelines - Guide to the application of pipeline risk assessement to proposed developments in the vicinity of major accident hazard pipelines containing flammables - Supplement to PD 8010-1:2004, </w:t>
                    </w:r>
                    <w:r>
                      <w:rPr>
                        <w:noProof/>
                      </w:rPr>
                      <w:t xml:space="preserve">British Standards Institution, July 2013. </w:t>
                    </w:r>
                  </w:p>
                </w:tc>
              </w:tr>
            </w:tbl>
            <w:p w14:paraId="540AF906" w14:textId="77777777" w:rsidR="000862D2" w:rsidRDefault="000862D2">
              <w:pPr>
                <w:divId w:val="1317495878"/>
                <w:rPr>
                  <w:noProof/>
                </w:rPr>
              </w:pPr>
            </w:p>
            <w:p w14:paraId="25037C91" w14:textId="0E6928B4" w:rsidR="000862D2" w:rsidRDefault="000862D2">
              <w:r>
                <w:rPr>
                  <w:b/>
                  <w:bCs/>
                  <w:noProof/>
                </w:rPr>
                <w:fldChar w:fldCharType="end"/>
              </w:r>
            </w:p>
          </w:sdtContent>
        </w:sdt>
      </w:sdtContent>
    </w:sdt>
    <w:p w14:paraId="63247189" w14:textId="77777777" w:rsidR="000862D2" w:rsidRPr="000862D2" w:rsidRDefault="000862D2" w:rsidP="000862D2">
      <w:pPr>
        <w:pStyle w:val="BodyText"/>
      </w:pPr>
    </w:p>
    <w:sectPr w:rsidR="000862D2" w:rsidRPr="000862D2" w:rsidSect="007D70C0">
      <w:footerReference w:type="default" r:id="rId29"/>
      <w:endnotePr>
        <w:numFmt w:val="decimal"/>
      </w:endnotePr>
      <w:pgSz w:w="11909" w:h="16834" w:code="9"/>
      <w:pgMar w:top="1952" w:right="1418" w:bottom="709" w:left="1418" w:header="706" w:footer="706"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21626" w14:textId="77777777" w:rsidR="00067470" w:rsidRDefault="00067470" w:rsidP="007D7FDC"/>
  </w:endnote>
  <w:endnote w:type="continuationSeparator" w:id="0">
    <w:p w14:paraId="74925A1C" w14:textId="77777777" w:rsidR="00067470" w:rsidRDefault="00067470"/>
  </w:endnote>
  <w:endnote w:type="continuationNotice" w:id="1">
    <w:p w14:paraId="3635533A" w14:textId="77777777" w:rsidR="00067470" w:rsidRDefault="00067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604020202020204"/>
    <w:charset w:val="00"/>
    <w:family w:val="roman"/>
    <w:notTrueType/>
    <w:pitch w:val="default"/>
    <w:sig w:usb0="0074D2DC"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F72A" w14:textId="77777777" w:rsidR="000B4EAC" w:rsidRDefault="000B4E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DD08EF" w14:textId="77777777" w:rsidR="000B4EAC" w:rsidRDefault="000B4E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63EB" w14:textId="77777777" w:rsidR="000B4EAC" w:rsidRPr="006E4D29" w:rsidRDefault="000B4EAC" w:rsidP="006E4D29">
    <w:pPr>
      <w:pStyle w:val="Footer"/>
      <w:pBdr>
        <w:top w:val="none" w:sz="0" w:space="0" w:color="auto"/>
      </w:pBdr>
      <w:spacing w:before="120"/>
      <w:jc w:val="center"/>
      <w:rPr>
        <w:sz w:val="20"/>
      </w:rPr>
    </w:pPr>
    <w:r>
      <w:rPr>
        <w:noProof/>
        <w:lang w:eastAsia="en-GB"/>
      </w:rPr>
      <mc:AlternateContent>
        <mc:Choice Requires="wps">
          <w:drawing>
            <wp:anchor distT="0" distB="0" distL="114300" distR="114300" simplePos="0" relativeHeight="251658752" behindDoc="0" locked="0" layoutInCell="1" allowOverlap="1" wp14:anchorId="208000F8" wp14:editId="1335C738">
              <wp:simplePos x="0" y="0"/>
              <wp:positionH relativeFrom="column">
                <wp:posOffset>-466725</wp:posOffset>
              </wp:positionH>
              <wp:positionV relativeFrom="paragraph">
                <wp:posOffset>224790</wp:posOffset>
              </wp:positionV>
              <wp:extent cx="7568565" cy="61341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55CC86" w14:textId="77777777" w:rsidR="000B4EAC" w:rsidRDefault="000B4EAC"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8000F8" id="_x0000_t202" coordsize="21600,21600" o:spt="202" path="m,l,21600r21600,l21600,xe">
              <v:stroke joinstyle="miter"/>
              <v:path gradientshapeok="t" o:connecttype="rect"/>
            </v:shapetype>
            <v:shape id="Text Box 5" o:spid="_x0000_s1027" type="#_x0000_t202" style="position:absolute;left:0;text-align:left;margin-left:-36.75pt;margin-top:17.7pt;width:595.95pt;height:48.3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" fillcolor="#bebfc1 [1942]" stroked="f">
              <v:textbox>
                <w:txbxContent>
                  <w:p w14:paraId="2555CC86" w14:textId="77777777" w:rsidR="000B4EAC" w:rsidRDefault="000B4EAC" w:rsidP="006E4D29"/>
                </w:txbxContent>
              </v:textbox>
              <w10:wrap type="square"/>
            </v:shape>
          </w:pict>
        </mc:Fallback>
      </mc:AlternateContent>
    </w:r>
    <w:r w:rsidRPr="00D93473">
      <w:rPr>
        <w:sz w:val="20"/>
      </w:rPr>
      <w:t>Technical Briefing Notes (TBNs) are for internal use for UKOPA members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13F7" w14:textId="1CAD5C58" w:rsidR="000B4EAC" w:rsidRPr="00D42808" w:rsidRDefault="000B4EAC">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12441991"/>
        <w:dataBinding w:prefixMappings="xmlns:ns0='http://purl.org/dc/elements/1.1/' xmlns:ns1='http://schemas.openxmlformats.org/package/2006/metadata/core-properties' " w:xpath="/ns1:coreProperties[1]/ns0:description[1]" w:storeItemID="{6C3C8BC8-F283-45AE-878A-BAB7291924A1}"/>
        <w:text w:multiLine="1"/>
      </w:sdtPr>
      <w:sdtEndPr/>
      <w:sdtContent>
        <w:r w:rsidR="0053077D">
          <w:rPr>
            <w:color w:val="00243A"/>
          </w:rPr>
          <w:t>UKOPA/TBN/009 Edition 1</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C649" w14:textId="261B2C1E" w:rsidR="000B4EAC" w:rsidRPr="008F1518" w:rsidRDefault="000B4EAC" w:rsidP="008F1518">
    <w:pPr>
      <w:pStyle w:val="Footer"/>
    </w:pPr>
    <w:r>
      <w:tab/>
    </w:r>
    <w:r>
      <w:tab/>
    </w:r>
    <w:sdt>
      <w:sdtPr>
        <w:alias w:val="Comments"/>
        <w:tag w:val=""/>
        <w:id w:val="203762306"/>
        <w:placeholder>
          <w:docPart w:val="D6D2084B15F7460BB64C70DF0A7E3B0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53077D">
          <w:t>UKOPA/TBN/009 Edition 1</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A52B5" w14:textId="7196AAB2" w:rsidR="000B4EAC" w:rsidRPr="00D42808" w:rsidRDefault="000B4EAC">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378482489"/>
        <w:dataBinding w:prefixMappings="xmlns:ns0='http://purl.org/dc/elements/1.1/' xmlns:ns1='http://schemas.openxmlformats.org/package/2006/metadata/core-properties' " w:xpath="/ns1:coreProperties[1]/ns0:description[1]" w:storeItemID="{6C3C8BC8-F283-45AE-878A-BAB7291924A1}"/>
        <w:text w:multiLine="1"/>
      </w:sdtPr>
      <w:sdtEndPr/>
      <w:sdtContent>
        <w:r w:rsidR="0053077D">
          <w:rPr>
            <w:color w:val="00243A"/>
          </w:rPr>
          <w:t>UKOPA/TBN/009 Edition 1</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3ED91" w14:textId="185B20F5" w:rsidR="000B4EAC" w:rsidRPr="00F44755" w:rsidRDefault="000B4EAC"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942058588"/>
        <w:dataBinding w:prefixMappings="xmlns:ns0='http://purl.org/dc/elements/1.1/' xmlns:ns1='http://schemas.openxmlformats.org/package/2006/metadata/core-properties' " w:xpath="/ns1:coreProperties[1]/ns0:description[1]" w:storeItemID="{6C3C8BC8-F283-45AE-878A-BAB7291924A1}"/>
        <w:text w:multiLine="1"/>
      </w:sdtPr>
      <w:sdtEndPr/>
      <w:sdtContent>
        <w:r w:rsidR="0053077D">
          <w:rPr>
            <w:color w:val="00243A"/>
          </w:rPr>
          <w:t>UKOPA/TBN/009 Edition 1</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FF8F" w14:textId="2B77243C" w:rsidR="000B4EAC" w:rsidRDefault="0053077D" w:rsidP="00FC7554">
    <w:pPr>
      <w:pStyle w:val="Footer"/>
      <w:tabs>
        <w:tab w:val="clear" w:pos="4536"/>
        <w:tab w:val="center" w:pos="4962"/>
      </w:tabs>
    </w:pPr>
    <w:fldSimple w:instr=" STYLEREF &quot;Heading 1&quot; \* MERGEFORMAT ">
      <w:r w:rsidR="004E7519">
        <w:rPr>
          <w:noProof/>
        </w:rPr>
        <w:t>References</w:t>
      </w:r>
    </w:fldSimple>
    <w:bookmarkStart w:id="17" w:name="Contents"/>
    <w:r w:rsidR="000B4EAC">
      <w:tab/>
    </w:r>
    <w:r w:rsidR="000B4EAC">
      <w:rPr>
        <w:rStyle w:val="PageNumber"/>
        <w:snapToGrid w:val="0"/>
      </w:rPr>
      <w:t xml:space="preserve">Page </w:t>
    </w:r>
    <w:r w:rsidR="000B4EAC">
      <w:rPr>
        <w:rStyle w:val="PageNumber"/>
      </w:rPr>
      <w:fldChar w:fldCharType="begin"/>
    </w:r>
    <w:r w:rsidR="000B4EAC">
      <w:rPr>
        <w:rStyle w:val="PageNumber"/>
      </w:rPr>
      <w:instrText xml:space="preserve"> PAGE </w:instrText>
    </w:r>
    <w:r w:rsidR="000B4EAC">
      <w:rPr>
        <w:rStyle w:val="PageNumber"/>
      </w:rPr>
      <w:fldChar w:fldCharType="separate"/>
    </w:r>
    <w:r w:rsidR="000B4EAC">
      <w:rPr>
        <w:rStyle w:val="PageNumber"/>
        <w:noProof/>
      </w:rPr>
      <w:t>7</w:t>
    </w:r>
    <w:r w:rsidR="000B4EAC">
      <w:rPr>
        <w:rStyle w:val="PageNumber"/>
      </w:rPr>
      <w:fldChar w:fldCharType="end"/>
    </w:r>
    <w:r w:rsidR="000B4EAC">
      <w:rPr>
        <w:rStyle w:val="PageNumber"/>
        <w:snapToGrid w:val="0"/>
      </w:rPr>
      <w:t xml:space="preserve"> of </w:t>
    </w:r>
    <w:fldSimple w:instr=" SECTIONPAGES   \* MERGEFORMAT ">
      <w:r w:rsidR="004E7519" w:rsidRPr="004E7519">
        <w:rPr>
          <w:rStyle w:val="PageNumber"/>
          <w:noProof/>
          <w:snapToGrid w:val="0"/>
        </w:rPr>
        <w:t>9</w:t>
      </w:r>
    </w:fldSimple>
    <w:r w:rsidR="000B4EAC">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t>UKOPA/TBN/009 Edition 1</w:t>
        </w:r>
      </w:sdtContent>
    </w:sdt>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AFEC5" w14:textId="77777777" w:rsidR="00067470" w:rsidRDefault="00067470" w:rsidP="005855C5">
      <w:pPr>
        <w:ind w:left="851"/>
      </w:pPr>
      <w:r>
        <w:separator/>
      </w:r>
    </w:p>
  </w:footnote>
  <w:footnote w:type="continuationSeparator" w:id="0">
    <w:p w14:paraId="0B004195" w14:textId="77777777" w:rsidR="00067470" w:rsidRDefault="0006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19A8F" w14:textId="77777777" w:rsidR="000B4EAC" w:rsidRDefault="000B4EAC" w:rsidP="008D636A">
    <w:pPr>
      <w:pStyle w:val="Header"/>
      <w:pBdr>
        <w:top w:val="none" w:sz="0" w:space="0" w:color="auto"/>
        <w:bottom w:val="none" w:sz="0" w:space="0" w:color="auto"/>
      </w:pBdr>
      <w:spacing w:after="0"/>
      <w:jc w:val="left"/>
    </w:pPr>
    <w:r>
      <w:rPr>
        <w:noProof/>
        <w:lang w:eastAsia="en-GB"/>
      </w:rPr>
      <mc:AlternateContent>
        <mc:Choice Requires="wps">
          <w:drawing>
            <wp:anchor distT="0" distB="0" distL="114300" distR="114300" simplePos="0" relativeHeight="251656704" behindDoc="0" locked="0" layoutInCell="1" allowOverlap="1" wp14:anchorId="1437C659" wp14:editId="52D936F6">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3D7E32" w14:textId="77777777" w:rsidR="000B4EAC" w:rsidRDefault="000B4EAC"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37C659" id="_x0000_t202" coordsize="21600,21600" o:spt="202" path="m,l,21600r21600,l21600,xe">
              <v:stroke joinstyle="miter"/>
              <v:path gradientshapeok="t" o:connecttype="rect"/>
            </v:shapetype>
            <v:shape id="Text Box 3" o:spid="_x0000_s1026" type="#_x0000_t202" style="position:absolute;margin-left:-36pt;margin-top:61.45pt;width:595.95pt;height:98.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" fillcolor="#bebfc1 [1942]" stroked="f">
              <v:textbox>
                <w:txbxContent>
                  <w:p w14:paraId="6D3D7E32" w14:textId="77777777" w:rsidR="000B4EAC" w:rsidRDefault="000B4EAC" w:rsidP="006E4D29"/>
                </w:txbxContent>
              </v:textbox>
              <w10:wrap type="square"/>
            </v:shape>
          </w:pict>
        </mc:Fallback>
      </mc:AlternateContent>
    </w:r>
    <w:r>
      <w:rPr>
        <w:noProof/>
        <w:lang w:eastAsia="en-GB"/>
      </w:rPr>
      <w:drawing>
        <wp:inline distT="0" distB="0" distL="0" distR="0" wp14:anchorId="1A0ED96E" wp14:editId="721E65D6">
          <wp:extent cx="6647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2F434448" w14:textId="77777777" w:rsidR="000B4EAC" w:rsidRDefault="000B4EAC"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191F4" w14:textId="77777777" w:rsidR="000B4EAC" w:rsidRPr="00003254" w:rsidRDefault="000B4EAC" w:rsidP="00003254">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4CA9" w14:textId="77777777" w:rsidR="000B4EAC" w:rsidRPr="00F44755" w:rsidRDefault="000B4EAC" w:rsidP="008B210F">
    <w:pPr>
      <w:pStyle w:val="Header"/>
      <w:tabs>
        <w:tab w:val="right" w:pos="9072"/>
      </w:tabs>
      <w:spacing w:after="120"/>
      <w:jc w:val="left"/>
      <w:rPr>
        <w:color w:val="00243A"/>
      </w:rPr>
    </w:pPr>
    <w:r>
      <w:rPr>
        <w:noProof/>
        <w:lang w:eastAsia="en-GB"/>
      </w:rPr>
      <w:drawing>
        <wp:anchor distT="0" distB="0" distL="114300" distR="114300" simplePos="0" relativeHeight="251657728" behindDoc="0" locked="0" layoutInCell="1" allowOverlap="1" wp14:anchorId="07BCA4B6" wp14:editId="11286838">
          <wp:simplePos x="0" y="0"/>
          <wp:positionH relativeFrom="column">
            <wp:posOffset>4445</wp:posOffset>
          </wp:positionH>
          <wp:positionV relativeFrom="paragraph">
            <wp:posOffset>83185</wp:posOffset>
          </wp:positionV>
          <wp:extent cx="1416894" cy="324000"/>
          <wp:effectExtent l="0" t="0" r="0" b="0"/>
          <wp:wrapNone/>
          <wp:docPr id="4" name="Picture 4"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anchor>
      </w:drawing>
    </w:r>
    <w:r w:rsidRPr="00BF7AD5">
      <w:rPr>
        <w:color w:val="003656" w:themeColor="accent4" w:themeTint="E6"/>
      </w:rPr>
      <w:tab/>
    </w:r>
    <w:sdt>
      <w:sdtPr>
        <w:rPr>
          <w:color w:val="00243A"/>
        </w:rPr>
        <w:alias w:val="Title"/>
        <w:tag w:val=""/>
        <w:id w:val="-949540776"/>
        <w:placeholder>
          <w:docPart w:val="6906DD4B91EC42878217BC0C277524B0"/>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188890633"/>
      <w:placeholder>
        <w:docPart w:val="EF84E57474EF48ABB03FBB2E69A4F8D2"/>
      </w:placeholder>
      <w:dataBinding w:prefixMappings="xmlns:ns0='http://purl.org/dc/elements/1.1/' xmlns:ns1='http://schemas.openxmlformats.org/package/2006/metadata/core-properties' " w:xpath="/ns1:coreProperties[1]/ns0:subject[1]" w:storeItemID="{6C3C8BC8-F283-45AE-878A-BAB7291924A1}"/>
      <w:text/>
    </w:sdtPr>
    <w:sdtEndPr/>
    <w:sdtContent>
      <w:p w14:paraId="0218AD4A" w14:textId="286E1E03" w:rsidR="000B4EAC" w:rsidRPr="00F63740" w:rsidRDefault="000B4EAC" w:rsidP="008B210F">
        <w:pPr>
          <w:pStyle w:val="Header"/>
          <w:tabs>
            <w:tab w:val="right" w:pos="9072"/>
          </w:tabs>
          <w:spacing w:before="120" w:after="60"/>
          <w:rPr>
            <w:color w:val="00243A"/>
          </w:rPr>
        </w:pPr>
        <w:r>
          <w:rPr>
            <w:color w:val="00243A"/>
          </w:rPr>
          <w:t>Effect of Pipeline Surveillance on Risk of 3rd Party Interference</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3933" w14:textId="315681B4" w:rsidR="000B4EAC" w:rsidRPr="00F44755" w:rsidRDefault="000B4EAC" w:rsidP="00D42808">
    <w:pPr>
      <w:pStyle w:val="Header"/>
      <w:tabs>
        <w:tab w:val="right" w:pos="9072"/>
      </w:tabs>
      <w:spacing w:after="60"/>
      <w:jc w:val="left"/>
      <w:rPr>
        <w:color w:val="00243A"/>
      </w:rPr>
    </w:pPr>
    <w:r>
      <w:rPr>
        <w:noProof/>
        <w:lang w:eastAsia="en-GB"/>
      </w:rPr>
      <w:drawing>
        <wp:inline distT="0" distB="0" distL="0" distR="0" wp14:anchorId="5EBAB420" wp14:editId="3B9D1262">
          <wp:extent cx="1416894" cy="324000"/>
          <wp:effectExtent l="0" t="0" r="0" b="0"/>
          <wp:docPr id="11" name="Picture 11"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r w:rsidRPr="00BF7AD5">
      <w:rPr>
        <w:color w:val="003656" w:themeColor="accent4" w:themeTint="E6"/>
      </w:rPr>
      <w:tab/>
    </w:r>
    <w:sdt>
      <w:sdtPr>
        <w:rPr>
          <w:color w:val="00243A"/>
        </w:rPr>
        <w:alias w:val="Title"/>
        <w:tag w:val=""/>
        <w:id w:val="-1110960896"/>
        <w:placeholder>
          <w:docPart w:val="E07A0486A41F4FEBB5D45CDE1C571505"/>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388029573"/>
      <w:placeholder>
        <w:docPart w:val="4E8C00661154484BA372A931016E373D"/>
      </w:placeholder>
      <w:dataBinding w:prefixMappings="xmlns:ns0='http://purl.org/dc/elements/1.1/' xmlns:ns1='http://schemas.openxmlformats.org/package/2006/metadata/core-properties' " w:xpath="/ns1:coreProperties[1]/ns0:subject[1]" w:storeItemID="{6C3C8BC8-F283-45AE-878A-BAB7291924A1}"/>
      <w:text/>
    </w:sdtPr>
    <w:sdtEndPr/>
    <w:sdtContent>
      <w:p w14:paraId="4EF35409" w14:textId="516D8E39" w:rsidR="000B4EAC" w:rsidRPr="00F63740" w:rsidRDefault="000B4EAC" w:rsidP="00D42808">
        <w:pPr>
          <w:pStyle w:val="Header"/>
          <w:tabs>
            <w:tab w:val="right" w:pos="9072"/>
          </w:tabs>
          <w:spacing w:after="60"/>
          <w:rPr>
            <w:color w:val="00243A"/>
          </w:rPr>
        </w:pPr>
        <w:r>
          <w:rPr>
            <w:color w:val="00243A"/>
          </w:rPr>
          <w:t>Effect of Pipeline Surveillance on Risk of 3rd Party Interference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9BCA43E4"/>
    <w:lvl w:ilvl="0">
      <w:numFmt w:val="decimal"/>
      <w:pStyle w:val="List-"/>
      <w:lvlText w:val="*"/>
      <w:lvlJc w:val="left"/>
    </w:lvl>
  </w:abstractNum>
  <w:abstractNum w:abstractNumId="10" w15:restartNumberingAfterBreak="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1" w15:restartNumberingAfterBreak="0">
    <w:nsid w:val="015E2B50"/>
    <w:multiLevelType w:val="hybridMultilevel"/>
    <w:tmpl w:val="C67029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3" w15:restartNumberingAfterBreak="0">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15" w15:restartNumberingAfterBreak="0">
    <w:nsid w:val="3D9E27BA"/>
    <w:multiLevelType w:val="hybridMultilevel"/>
    <w:tmpl w:val="7654DF7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18" w15:restartNumberingAfterBreak="0">
    <w:nsid w:val="499F0A57"/>
    <w:multiLevelType w:val="hybridMultilevel"/>
    <w:tmpl w:val="A50894A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20" w15:restartNumberingAfterBreak="0">
    <w:nsid w:val="656358EE"/>
    <w:multiLevelType w:val="hybridMultilevel"/>
    <w:tmpl w:val="C3DE8FA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657A4F8E"/>
    <w:multiLevelType w:val="multilevel"/>
    <w:tmpl w:val="29AC3682"/>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num w:numId="1">
    <w:abstractNumId w:val="14"/>
  </w:num>
  <w:num w:numId="2">
    <w:abstractNumId w:val="6"/>
  </w:num>
  <w:num w:numId="3">
    <w:abstractNumId w:val="5"/>
  </w:num>
  <w:num w:numId="4">
    <w:abstractNumId w:val="4"/>
  </w:num>
  <w:num w:numId="5">
    <w:abstractNumId w:val="8"/>
  </w:num>
  <w:num w:numId="6">
    <w:abstractNumId w:val="17"/>
  </w:num>
  <w:num w:numId="7">
    <w:abstractNumId w:val="19"/>
  </w:num>
  <w:num w:numId="8">
    <w:abstractNumId w:val="12"/>
  </w:num>
  <w:num w:numId="9">
    <w:abstractNumId w:val="13"/>
  </w:num>
  <w:num w:numId="10">
    <w:abstractNumId w:val="10"/>
  </w:num>
  <w:num w:numId="11">
    <w:abstractNumId w:val="9"/>
  </w:num>
  <w:num w:numId="12">
    <w:abstractNumId w:val="16"/>
  </w:num>
  <w:num w:numId="13">
    <w:abstractNumId w:val="7"/>
  </w:num>
  <w:num w:numId="14">
    <w:abstractNumId w:val="3"/>
  </w:num>
  <w:num w:numId="15">
    <w:abstractNumId w:val="2"/>
  </w:num>
  <w:num w:numId="16">
    <w:abstractNumId w:val="1"/>
  </w:num>
  <w:num w:numId="17">
    <w:abstractNumId w:val="0"/>
  </w:num>
  <w:num w:numId="18">
    <w:abstractNumId w:val="21"/>
  </w:num>
  <w:num w:numId="19">
    <w:abstractNumId w:val="18"/>
  </w:num>
  <w:num w:numId="20">
    <w:abstractNumId w:val="15"/>
  </w:num>
  <w:num w:numId="21">
    <w:abstractNumId w:val="20"/>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5"/>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B5"/>
    <w:rsid w:val="00003254"/>
    <w:rsid w:val="00005A28"/>
    <w:rsid w:val="00012F42"/>
    <w:rsid w:val="00013BC1"/>
    <w:rsid w:val="00042D13"/>
    <w:rsid w:val="00045052"/>
    <w:rsid w:val="00056389"/>
    <w:rsid w:val="000623F9"/>
    <w:rsid w:val="0006544B"/>
    <w:rsid w:val="00067470"/>
    <w:rsid w:val="000706FA"/>
    <w:rsid w:val="0007338D"/>
    <w:rsid w:val="00080B92"/>
    <w:rsid w:val="00083A92"/>
    <w:rsid w:val="0008619B"/>
    <w:rsid w:val="000862D2"/>
    <w:rsid w:val="000901B6"/>
    <w:rsid w:val="00090732"/>
    <w:rsid w:val="000939C5"/>
    <w:rsid w:val="00095172"/>
    <w:rsid w:val="000A2272"/>
    <w:rsid w:val="000A786D"/>
    <w:rsid w:val="000B4EAC"/>
    <w:rsid w:val="000C789E"/>
    <w:rsid w:val="000D5A97"/>
    <w:rsid w:val="000D7706"/>
    <w:rsid w:val="000D7982"/>
    <w:rsid w:val="000E7207"/>
    <w:rsid w:val="000F177D"/>
    <w:rsid w:val="000F6DB6"/>
    <w:rsid w:val="00100320"/>
    <w:rsid w:val="00101463"/>
    <w:rsid w:val="00110100"/>
    <w:rsid w:val="0011093D"/>
    <w:rsid w:val="0011195D"/>
    <w:rsid w:val="001135E9"/>
    <w:rsid w:val="001154CA"/>
    <w:rsid w:val="00115EB4"/>
    <w:rsid w:val="001167E6"/>
    <w:rsid w:val="00125213"/>
    <w:rsid w:val="00134F1E"/>
    <w:rsid w:val="00135352"/>
    <w:rsid w:val="0016010F"/>
    <w:rsid w:val="0016400F"/>
    <w:rsid w:val="00165B44"/>
    <w:rsid w:val="00171716"/>
    <w:rsid w:val="00171B5C"/>
    <w:rsid w:val="00175244"/>
    <w:rsid w:val="00184727"/>
    <w:rsid w:val="001931EC"/>
    <w:rsid w:val="001965BC"/>
    <w:rsid w:val="0019743F"/>
    <w:rsid w:val="001A1EE3"/>
    <w:rsid w:val="001A79B1"/>
    <w:rsid w:val="001B2C54"/>
    <w:rsid w:val="001B516A"/>
    <w:rsid w:val="001C5BE5"/>
    <w:rsid w:val="001C7D64"/>
    <w:rsid w:val="001C7D94"/>
    <w:rsid w:val="001D2D21"/>
    <w:rsid w:val="001E4D56"/>
    <w:rsid w:val="001F2169"/>
    <w:rsid w:val="001F5367"/>
    <w:rsid w:val="00200B84"/>
    <w:rsid w:val="00201C7E"/>
    <w:rsid w:val="00211BF8"/>
    <w:rsid w:val="002226B7"/>
    <w:rsid w:val="0022538E"/>
    <w:rsid w:val="00236F3B"/>
    <w:rsid w:val="0024038F"/>
    <w:rsid w:val="002507ED"/>
    <w:rsid w:val="00251D27"/>
    <w:rsid w:val="0025302B"/>
    <w:rsid w:val="00254767"/>
    <w:rsid w:val="00254B4E"/>
    <w:rsid w:val="00257378"/>
    <w:rsid w:val="00260144"/>
    <w:rsid w:val="002714DD"/>
    <w:rsid w:val="00273442"/>
    <w:rsid w:val="002823CB"/>
    <w:rsid w:val="00286156"/>
    <w:rsid w:val="00287085"/>
    <w:rsid w:val="00287657"/>
    <w:rsid w:val="0029456F"/>
    <w:rsid w:val="00295EE5"/>
    <w:rsid w:val="002A7991"/>
    <w:rsid w:val="002B6494"/>
    <w:rsid w:val="002C2A2E"/>
    <w:rsid w:val="002C5005"/>
    <w:rsid w:val="002D4DA1"/>
    <w:rsid w:val="002D5C87"/>
    <w:rsid w:val="002D6045"/>
    <w:rsid w:val="002E499F"/>
    <w:rsid w:val="002F1438"/>
    <w:rsid w:val="002F63B5"/>
    <w:rsid w:val="00301585"/>
    <w:rsid w:val="003249BC"/>
    <w:rsid w:val="00327726"/>
    <w:rsid w:val="00344DA1"/>
    <w:rsid w:val="00351101"/>
    <w:rsid w:val="00351B14"/>
    <w:rsid w:val="0036378D"/>
    <w:rsid w:val="00372381"/>
    <w:rsid w:val="0037487B"/>
    <w:rsid w:val="00380AE7"/>
    <w:rsid w:val="00380F45"/>
    <w:rsid w:val="0038301B"/>
    <w:rsid w:val="00383209"/>
    <w:rsid w:val="00393F74"/>
    <w:rsid w:val="00395B86"/>
    <w:rsid w:val="00395C81"/>
    <w:rsid w:val="003B1B03"/>
    <w:rsid w:val="003B5F97"/>
    <w:rsid w:val="003C1027"/>
    <w:rsid w:val="003C23AB"/>
    <w:rsid w:val="003C404F"/>
    <w:rsid w:val="003E4465"/>
    <w:rsid w:val="003E66DC"/>
    <w:rsid w:val="003E683C"/>
    <w:rsid w:val="003E779B"/>
    <w:rsid w:val="003F7240"/>
    <w:rsid w:val="00406430"/>
    <w:rsid w:val="00407073"/>
    <w:rsid w:val="00407ABA"/>
    <w:rsid w:val="00415524"/>
    <w:rsid w:val="004211FF"/>
    <w:rsid w:val="0042459A"/>
    <w:rsid w:val="004371DA"/>
    <w:rsid w:val="00444038"/>
    <w:rsid w:val="004519E1"/>
    <w:rsid w:val="004533EF"/>
    <w:rsid w:val="00453E30"/>
    <w:rsid w:val="00456033"/>
    <w:rsid w:val="00457131"/>
    <w:rsid w:val="004732C7"/>
    <w:rsid w:val="004931C5"/>
    <w:rsid w:val="004A60A9"/>
    <w:rsid w:val="004A64A9"/>
    <w:rsid w:val="004A6EB8"/>
    <w:rsid w:val="004B605E"/>
    <w:rsid w:val="004B6385"/>
    <w:rsid w:val="004E7519"/>
    <w:rsid w:val="004E7ABA"/>
    <w:rsid w:val="004F082B"/>
    <w:rsid w:val="004F2E2B"/>
    <w:rsid w:val="004F3227"/>
    <w:rsid w:val="004F72A9"/>
    <w:rsid w:val="004F7772"/>
    <w:rsid w:val="0051098F"/>
    <w:rsid w:val="00524F3D"/>
    <w:rsid w:val="00527EC5"/>
    <w:rsid w:val="0053077D"/>
    <w:rsid w:val="00530B8F"/>
    <w:rsid w:val="0053133D"/>
    <w:rsid w:val="0053157C"/>
    <w:rsid w:val="00533EE5"/>
    <w:rsid w:val="0053513B"/>
    <w:rsid w:val="0054020A"/>
    <w:rsid w:val="005501E8"/>
    <w:rsid w:val="00551E8A"/>
    <w:rsid w:val="005554E4"/>
    <w:rsid w:val="00557ADC"/>
    <w:rsid w:val="005715C4"/>
    <w:rsid w:val="00572AA3"/>
    <w:rsid w:val="0057501B"/>
    <w:rsid w:val="005802B2"/>
    <w:rsid w:val="00580EBB"/>
    <w:rsid w:val="005855C5"/>
    <w:rsid w:val="00585919"/>
    <w:rsid w:val="00587B5E"/>
    <w:rsid w:val="00595741"/>
    <w:rsid w:val="005968BD"/>
    <w:rsid w:val="005A0526"/>
    <w:rsid w:val="005A3A4A"/>
    <w:rsid w:val="005A4BFB"/>
    <w:rsid w:val="005B20A5"/>
    <w:rsid w:val="005B237B"/>
    <w:rsid w:val="005C33B3"/>
    <w:rsid w:val="005C6581"/>
    <w:rsid w:val="005D0567"/>
    <w:rsid w:val="00614830"/>
    <w:rsid w:val="00617003"/>
    <w:rsid w:val="006278C2"/>
    <w:rsid w:val="00631044"/>
    <w:rsid w:val="0063378F"/>
    <w:rsid w:val="00644A55"/>
    <w:rsid w:val="00656B98"/>
    <w:rsid w:val="006631F8"/>
    <w:rsid w:val="00670337"/>
    <w:rsid w:val="00670E91"/>
    <w:rsid w:val="00675D04"/>
    <w:rsid w:val="006801E7"/>
    <w:rsid w:val="006932DD"/>
    <w:rsid w:val="00695C0F"/>
    <w:rsid w:val="006960C6"/>
    <w:rsid w:val="00697CDD"/>
    <w:rsid w:val="006A7ACC"/>
    <w:rsid w:val="006B14CE"/>
    <w:rsid w:val="006B39B0"/>
    <w:rsid w:val="006B6893"/>
    <w:rsid w:val="006C1A12"/>
    <w:rsid w:val="006D16A3"/>
    <w:rsid w:val="006D600D"/>
    <w:rsid w:val="006E3F6D"/>
    <w:rsid w:val="006E4D29"/>
    <w:rsid w:val="006E7843"/>
    <w:rsid w:val="006F4670"/>
    <w:rsid w:val="006F4A68"/>
    <w:rsid w:val="006F57F2"/>
    <w:rsid w:val="006F5ECE"/>
    <w:rsid w:val="006F646D"/>
    <w:rsid w:val="00710F52"/>
    <w:rsid w:val="007127E5"/>
    <w:rsid w:val="0072154B"/>
    <w:rsid w:val="007225E9"/>
    <w:rsid w:val="00726B86"/>
    <w:rsid w:val="00735FAB"/>
    <w:rsid w:val="00747B71"/>
    <w:rsid w:val="0075077E"/>
    <w:rsid w:val="00762530"/>
    <w:rsid w:val="00766BB2"/>
    <w:rsid w:val="00775BF5"/>
    <w:rsid w:val="007811FD"/>
    <w:rsid w:val="00786503"/>
    <w:rsid w:val="0079644B"/>
    <w:rsid w:val="00796ADA"/>
    <w:rsid w:val="00796F8D"/>
    <w:rsid w:val="007A09E5"/>
    <w:rsid w:val="007A7484"/>
    <w:rsid w:val="007A77AB"/>
    <w:rsid w:val="007D3B82"/>
    <w:rsid w:val="007D70C0"/>
    <w:rsid w:val="007D7FDC"/>
    <w:rsid w:val="007E2919"/>
    <w:rsid w:val="007E48BB"/>
    <w:rsid w:val="007E7A2A"/>
    <w:rsid w:val="007F5B71"/>
    <w:rsid w:val="007F7805"/>
    <w:rsid w:val="00801256"/>
    <w:rsid w:val="00805A9C"/>
    <w:rsid w:val="00841482"/>
    <w:rsid w:val="0085346E"/>
    <w:rsid w:val="008608B8"/>
    <w:rsid w:val="0086794B"/>
    <w:rsid w:val="00871D24"/>
    <w:rsid w:val="0087630F"/>
    <w:rsid w:val="00877F14"/>
    <w:rsid w:val="008827F4"/>
    <w:rsid w:val="008905FE"/>
    <w:rsid w:val="00890CE1"/>
    <w:rsid w:val="0089475B"/>
    <w:rsid w:val="008968A2"/>
    <w:rsid w:val="00896F41"/>
    <w:rsid w:val="008B210F"/>
    <w:rsid w:val="008B5C01"/>
    <w:rsid w:val="008C3664"/>
    <w:rsid w:val="008C754A"/>
    <w:rsid w:val="008D3677"/>
    <w:rsid w:val="008D3939"/>
    <w:rsid w:val="008D5976"/>
    <w:rsid w:val="008D636A"/>
    <w:rsid w:val="008E0A48"/>
    <w:rsid w:val="008E1E57"/>
    <w:rsid w:val="008E35A0"/>
    <w:rsid w:val="008E74B5"/>
    <w:rsid w:val="008F1518"/>
    <w:rsid w:val="008F15D4"/>
    <w:rsid w:val="008F1C04"/>
    <w:rsid w:val="008F5EC0"/>
    <w:rsid w:val="00906037"/>
    <w:rsid w:val="00912757"/>
    <w:rsid w:val="00916BD5"/>
    <w:rsid w:val="00920FCB"/>
    <w:rsid w:val="009243BE"/>
    <w:rsid w:val="00936F3F"/>
    <w:rsid w:val="00940677"/>
    <w:rsid w:val="0095301A"/>
    <w:rsid w:val="00955064"/>
    <w:rsid w:val="009579D2"/>
    <w:rsid w:val="00962B01"/>
    <w:rsid w:val="00986E97"/>
    <w:rsid w:val="0099409D"/>
    <w:rsid w:val="00997863"/>
    <w:rsid w:val="009A1362"/>
    <w:rsid w:val="009C20C9"/>
    <w:rsid w:val="009D1228"/>
    <w:rsid w:val="009E2B6A"/>
    <w:rsid w:val="009E4B4A"/>
    <w:rsid w:val="009F03C5"/>
    <w:rsid w:val="009F334C"/>
    <w:rsid w:val="009F5595"/>
    <w:rsid w:val="009F57F6"/>
    <w:rsid w:val="00A124E7"/>
    <w:rsid w:val="00A12FB9"/>
    <w:rsid w:val="00A141AC"/>
    <w:rsid w:val="00A5444A"/>
    <w:rsid w:val="00A60F68"/>
    <w:rsid w:val="00A62914"/>
    <w:rsid w:val="00A77603"/>
    <w:rsid w:val="00A80B8A"/>
    <w:rsid w:val="00A8178F"/>
    <w:rsid w:val="00A86549"/>
    <w:rsid w:val="00A9085C"/>
    <w:rsid w:val="00A965D5"/>
    <w:rsid w:val="00A966EC"/>
    <w:rsid w:val="00AB5309"/>
    <w:rsid w:val="00AB76FB"/>
    <w:rsid w:val="00AC5F64"/>
    <w:rsid w:val="00AD7D64"/>
    <w:rsid w:val="00AE0271"/>
    <w:rsid w:val="00AE4647"/>
    <w:rsid w:val="00AE52B7"/>
    <w:rsid w:val="00B02BD5"/>
    <w:rsid w:val="00B050A3"/>
    <w:rsid w:val="00B07AE6"/>
    <w:rsid w:val="00B1368B"/>
    <w:rsid w:val="00B1594B"/>
    <w:rsid w:val="00B16B51"/>
    <w:rsid w:val="00B206DB"/>
    <w:rsid w:val="00B24153"/>
    <w:rsid w:val="00B33074"/>
    <w:rsid w:val="00B449B1"/>
    <w:rsid w:val="00B5138B"/>
    <w:rsid w:val="00B5681D"/>
    <w:rsid w:val="00B6155A"/>
    <w:rsid w:val="00B659AD"/>
    <w:rsid w:val="00B77AA5"/>
    <w:rsid w:val="00B85F91"/>
    <w:rsid w:val="00B8671B"/>
    <w:rsid w:val="00B86AD8"/>
    <w:rsid w:val="00BB4AD1"/>
    <w:rsid w:val="00BB789E"/>
    <w:rsid w:val="00BC56F0"/>
    <w:rsid w:val="00BC68C3"/>
    <w:rsid w:val="00BC7C2C"/>
    <w:rsid w:val="00BD48FB"/>
    <w:rsid w:val="00BE404E"/>
    <w:rsid w:val="00BF0263"/>
    <w:rsid w:val="00BF3CB5"/>
    <w:rsid w:val="00BF7AD5"/>
    <w:rsid w:val="00C002ED"/>
    <w:rsid w:val="00C074C2"/>
    <w:rsid w:val="00C134CE"/>
    <w:rsid w:val="00C2200A"/>
    <w:rsid w:val="00C2482E"/>
    <w:rsid w:val="00C27876"/>
    <w:rsid w:val="00C346D5"/>
    <w:rsid w:val="00C37EB2"/>
    <w:rsid w:val="00C437C3"/>
    <w:rsid w:val="00C47D26"/>
    <w:rsid w:val="00C47E1E"/>
    <w:rsid w:val="00C50627"/>
    <w:rsid w:val="00C554C1"/>
    <w:rsid w:val="00C67A85"/>
    <w:rsid w:val="00C80B32"/>
    <w:rsid w:val="00C86B3B"/>
    <w:rsid w:val="00C86CEE"/>
    <w:rsid w:val="00C871D9"/>
    <w:rsid w:val="00C92D8A"/>
    <w:rsid w:val="00C95193"/>
    <w:rsid w:val="00CA1463"/>
    <w:rsid w:val="00CA3CA8"/>
    <w:rsid w:val="00CB21BA"/>
    <w:rsid w:val="00CB45F2"/>
    <w:rsid w:val="00CB65CA"/>
    <w:rsid w:val="00CE02A1"/>
    <w:rsid w:val="00CE1BFF"/>
    <w:rsid w:val="00CE6520"/>
    <w:rsid w:val="00CF1BF8"/>
    <w:rsid w:val="00CF6648"/>
    <w:rsid w:val="00D02DCD"/>
    <w:rsid w:val="00D10A7A"/>
    <w:rsid w:val="00D153CB"/>
    <w:rsid w:val="00D20C9A"/>
    <w:rsid w:val="00D24585"/>
    <w:rsid w:val="00D25AD6"/>
    <w:rsid w:val="00D2680D"/>
    <w:rsid w:val="00D27824"/>
    <w:rsid w:val="00D32D8A"/>
    <w:rsid w:val="00D3348B"/>
    <w:rsid w:val="00D34425"/>
    <w:rsid w:val="00D350B2"/>
    <w:rsid w:val="00D412B0"/>
    <w:rsid w:val="00D42808"/>
    <w:rsid w:val="00D535C0"/>
    <w:rsid w:val="00D62119"/>
    <w:rsid w:val="00D746BC"/>
    <w:rsid w:val="00D83662"/>
    <w:rsid w:val="00D90F87"/>
    <w:rsid w:val="00D93473"/>
    <w:rsid w:val="00DA2E16"/>
    <w:rsid w:val="00DA63B2"/>
    <w:rsid w:val="00DB3747"/>
    <w:rsid w:val="00DB3C2C"/>
    <w:rsid w:val="00DB6DE6"/>
    <w:rsid w:val="00DC3950"/>
    <w:rsid w:val="00DC3B1D"/>
    <w:rsid w:val="00DC794F"/>
    <w:rsid w:val="00DD0527"/>
    <w:rsid w:val="00DE3C15"/>
    <w:rsid w:val="00DF0E46"/>
    <w:rsid w:val="00DF1713"/>
    <w:rsid w:val="00DF25EE"/>
    <w:rsid w:val="00DF386C"/>
    <w:rsid w:val="00DF609C"/>
    <w:rsid w:val="00E02900"/>
    <w:rsid w:val="00E02C71"/>
    <w:rsid w:val="00E16F06"/>
    <w:rsid w:val="00E21F63"/>
    <w:rsid w:val="00E236BE"/>
    <w:rsid w:val="00E26FCD"/>
    <w:rsid w:val="00E42823"/>
    <w:rsid w:val="00E4585D"/>
    <w:rsid w:val="00E5002F"/>
    <w:rsid w:val="00E51B70"/>
    <w:rsid w:val="00E524DA"/>
    <w:rsid w:val="00E53FE9"/>
    <w:rsid w:val="00E62AFA"/>
    <w:rsid w:val="00E63201"/>
    <w:rsid w:val="00E64ADC"/>
    <w:rsid w:val="00E655BD"/>
    <w:rsid w:val="00E71A75"/>
    <w:rsid w:val="00E82827"/>
    <w:rsid w:val="00E90598"/>
    <w:rsid w:val="00E91334"/>
    <w:rsid w:val="00EA6867"/>
    <w:rsid w:val="00EA6C06"/>
    <w:rsid w:val="00EA7E5B"/>
    <w:rsid w:val="00EB20E6"/>
    <w:rsid w:val="00EB4097"/>
    <w:rsid w:val="00EB5572"/>
    <w:rsid w:val="00ED63E2"/>
    <w:rsid w:val="00EE642D"/>
    <w:rsid w:val="00EF6E37"/>
    <w:rsid w:val="00F02D0F"/>
    <w:rsid w:val="00F12BCC"/>
    <w:rsid w:val="00F138A1"/>
    <w:rsid w:val="00F156BD"/>
    <w:rsid w:val="00F21DB1"/>
    <w:rsid w:val="00F237D1"/>
    <w:rsid w:val="00F239AD"/>
    <w:rsid w:val="00F3285C"/>
    <w:rsid w:val="00F34CFE"/>
    <w:rsid w:val="00F368C2"/>
    <w:rsid w:val="00F37EA0"/>
    <w:rsid w:val="00F44755"/>
    <w:rsid w:val="00F4530F"/>
    <w:rsid w:val="00F50F72"/>
    <w:rsid w:val="00F539FF"/>
    <w:rsid w:val="00F54261"/>
    <w:rsid w:val="00F626BD"/>
    <w:rsid w:val="00F70727"/>
    <w:rsid w:val="00F744CE"/>
    <w:rsid w:val="00F77222"/>
    <w:rsid w:val="00F90A73"/>
    <w:rsid w:val="00F94B78"/>
    <w:rsid w:val="00F95985"/>
    <w:rsid w:val="00F97F6F"/>
    <w:rsid w:val="00FA28B2"/>
    <w:rsid w:val="00FA683B"/>
    <w:rsid w:val="00FB07F1"/>
    <w:rsid w:val="00FB324D"/>
    <w:rsid w:val="00FB698F"/>
    <w:rsid w:val="00FC7554"/>
    <w:rsid w:val="00FD30A4"/>
    <w:rsid w:val="00FE23B6"/>
    <w:rsid w:val="00FE23D2"/>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A228648"/>
  <w15:docId w15:val="{8CAF26CC-D0B2-471F-BD21-AF55099B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uiPriority="1" w:qFormat="1"/>
    <w:lsdException w:name="heading 1" w:uiPriority="9"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iPriority w:val="1"/>
    <w:qFormat/>
    <w:rsid w:val="003249BC"/>
    <w:pPr>
      <w:suppressAutoHyphens/>
    </w:pPr>
    <w:rPr>
      <w:rFonts w:asciiTheme="minorHAnsi" w:hAnsiTheme="minorHAnsi"/>
      <w:lang w:eastAsia="en-US"/>
    </w:rPr>
  </w:style>
  <w:style w:type="paragraph" w:styleId="Heading1">
    <w:name w:val="heading 1"/>
    <w:basedOn w:val="Normal"/>
    <w:next w:val="BodyText"/>
    <w:link w:val="Heading1Char"/>
    <w:uiPriority w:val="9"/>
    <w:qFormat/>
    <w:rsid w:val="00796F8D"/>
    <w:pPr>
      <w:keepNext/>
      <w:keepLines/>
      <w:pageBreakBefore/>
      <w:numPr>
        <w:numId w:val="18"/>
      </w:numPr>
      <w:tabs>
        <w:tab w:val="left" w:pos="851"/>
      </w:tabs>
      <w:spacing w:before="60" w:after="240"/>
      <w:ind w:left="851" w:hanging="851"/>
      <w:jc w:val="both"/>
      <w:outlineLvl w:val="0"/>
    </w:pPr>
    <w:rPr>
      <w:rFonts w:asciiTheme="majorHAnsi" w:hAnsiTheme="majorHAnsi"/>
      <w:b/>
      <w:caps/>
      <w:noProof/>
      <w:color w:val="00243A"/>
      <w:kern w:val="28"/>
      <w:sz w:val="24"/>
    </w:rPr>
  </w:style>
  <w:style w:type="paragraph" w:styleId="Heading2">
    <w:name w:val="heading 2"/>
    <w:basedOn w:val="Normal"/>
    <w:next w:val="BodyText"/>
    <w:link w:val="Heading2Char"/>
    <w:qFormat/>
    <w:rsid w:val="007127E5"/>
    <w:pPr>
      <w:keepNext/>
      <w:keepLines/>
      <w:numPr>
        <w:ilvl w:val="1"/>
        <w:numId w:val="18"/>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18"/>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18"/>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18"/>
      </w:numPr>
      <w:tabs>
        <w:tab w:val="left" w:pos="2268"/>
      </w:tabs>
      <w:spacing w:before="240"/>
      <w:outlineLvl w:val="4"/>
    </w:pPr>
  </w:style>
  <w:style w:type="paragraph" w:styleId="Heading6">
    <w:name w:val="heading 6"/>
    <w:basedOn w:val="Normal"/>
    <w:next w:val="Normal"/>
    <w:uiPriority w:val="2"/>
    <w:rsid w:val="009F5595"/>
    <w:pPr>
      <w:numPr>
        <w:ilvl w:val="5"/>
        <w:numId w:val="18"/>
      </w:numPr>
      <w:spacing w:before="240" w:after="60"/>
      <w:outlineLvl w:val="5"/>
    </w:pPr>
    <w:rPr>
      <w:i/>
      <w:sz w:val="22"/>
    </w:rPr>
  </w:style>
  <w:style w:type="paragraph" w:styleId="Heading7">
    <w:name w:val="heading 7"/>
    <w:basedOn w:val="Normal"/>
    <w:next w:val="Normal"/>
    <w:uiPriority w:val="2"/>
    <w:rsid w:val="009F5595"/>
    <w:pPr>
      <w:numPr>
        <w:ilvl w:val="6"/>
        <w:numId w:val="18"/>
      </w:numPr>
      <w:spacing w:before="240" w:after="60"/>
      <w:outlineLvl w:val="6"/>
    </w:pPr>
  </w:style>
  <w:style w:type="paragraph" w:styleId="Heading8">
    <w:name w:val="heading 8"/>
    <w:aliases w:val="E. 1 Heading 8"/>
    <w:basedOn w:val="Normal"/>
    <w:next w:val="Normal"/>
    <w:uiPriority w:val="2"/>
    <w:rsid w:val="009F5595"/>
    <w:pPr>
      <w:numPr>
        <w:ilvl w:val="7"/>
        <w:numId w:val="18"/>
      </w:numPr>
      <w:spacing w:before="240" w:after="60"/>
      <w:outlineLvl w:val="7"/>
    </w:pPr>
    <w:rPr>
      <w:i/>
    </w:rPr>
  </w:style>
  <w:style w:type="paragraph" w:styleId="Heading9">
    <w:name w:val="heading 9"/>
    <w:basedOn w:val="Normal"/>
    <w:next w:val="Normal"/>
    <w:uiPriority w:val="2"/>
    <w:rsid w:val="009F5595"/>
    <w:pPr>
      <w:numPr>
        <w:ilvl w:val="8"/>
        <w:numId w:val="18"/>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1F5367"/>
    <w:pPr>
      <w:suppressAutoHyphens w:val="0"/>
      <w:spacing w:before="240" w:after="240" w:line="264" w:lineRule="auto"/>
      <w:ind w:left="851"/>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link w:val="HeaderChar"/>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2"/>
      </w:numPr>
      <w:spacing w:before="120" w:line="264" w:lineRule="auto"/>
    </w:pPr>
    <w:rPr>
      <w:spacing w:val="-2"/>
    </w:rPr>
  </w:style>
  <w:style w:type="paragraph" w:customStyle="1" w:styleId="List-">
    <w:name w:val="List -"/>
    <w:basedOn w:val="ListBullet"/>
    <w:uiPriority w:val="2"/>
    <w:rsid w:val="00B6155A"/>
    <w:pPr>
      <w:numPr>
        <w:numId w:val="11"/>
      </w:numPr>
      <w:tabs>
        <w:tab w:val="left" w:pos="1701"/>
      </w:tabs>
      <w:spacing w:before="240"/>
      <w:ind w:left="0" w:firstLine="0"/>
    </w:pPr>
    <w:rPr>
      <w:snapToGrid w:val="0"/>
    </w:rPr>
  </w:style>
  <w:style w:type="paragraph" w:customStyle="1" w:styleId="List1">
    <w:name w:val="List 1."/>
    <w:basedOn w:val="List"/>
    <w:uiPriority w:val="2"/>
    <w:rsid w:val="00B6155A"/>
    <w:pPr>
      <w:numPr>
        <w:numId w:val="10"/>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0862D2"/>
    <w:pPr>
      <w:keepLines/>
      <w:spacing w:before="120" w:after="36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9"/>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3"/>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4"/>
      </w:numPr>
    </w:pPr>
  </w:style>
  <w:style w:type="paragraph" w:styleId="ListNumber3">
    <w:name w:val="List Number 3"/>
    <w:basedOn w:val="Normal"/>
    <w:uiPriority w:val="2"/>
    <w:rsid w:val="00B6155A"/>
    <w:pPr>
      <w:numPr>
        <w:numId w:val="15"/>
      </w:numPr>
    </w:pPr>
  </w:style>
  <w:style w:type="paragraph" w:styleId="ListNumber4">
    <w:name w:val="List Number 4"/>
    <w:basedOn w:val="Normal"/>
    <w:uiPriority w:val="2"/>
    <w:rsid w:val="00B6155A"/>
    <w:pPr>
      <w:numPr>
        <w:numId w:val="16"/>
      </w:numPr>
    </w:pPr>
  </w:style>
  <w:style w:type="paragraph" w:styleId="ListNumber5">
    <w:name w:val="List Number 5"/>
    <w:basedOn w:val="Normal"/>
    <w:uiPriority w:val="2"/>
    <w:rsid w:val="00B6155A"/>
    <w:pPr>
      <w:numPr>
        <w:numId w:val="17"/>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uiPriority w:val="39"/>
    <w:rsid w:val="001A79B1"/>
    <w:pPr>
      <w:keepNext/>
      <w:keepLines/>
      <w:jc w:val="center"/>
    </w:pPr>
    <w:rPr>
      <w:sz w:val="18"/>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Borders>
        <w:insideV w:val="single" w:sz="4" w:space="0" w:color="auto"/>
      </w:tblBorders>
      <w:tblCellMar>
        <w:left w:w="284"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2"/>
    <w:semiHidden/>
    <w:unhideWhenUsed/>
    <w:rsid w:val="00D83662"/>
    <w:rPr>
      <w:sz w:val="18"/>
      <w:szCs w:val="18"/>
    </w:rPr>
  </w:style>
  <w:style w:type="paragraph" w:styleId="CommentSubject">
    <w:name w:val="annotation subject"/>
    <w:basedOn w:val="CommentText"/>
    <w:next w:val="CommentText"/>
    <w:link w:val="CommentSubjectChar"/>
    <w:uiPriority w:val="2"/>
    <w:semiHidden/>
    <w:unhideWhenUsed/>
    <w:rsid w:val="00D83662"/>
    <w:rPr>
      <w:b/>
      <w:bCs/>
    </w:rPr>
  </w:style>
  <w:style w:type="character" w:customStyle="1" w:styleId="CommentSubjectChar">
    <w:name w:val="Comment Subject Char"/>
    <w:basedOn w:val="CommentTextChar"/>
    <w:link w:val="CommentSubject"/>
    <w:uiPriority w:val="2"/>
    <w:semiHidden/>
    <w:rsid w:val="00D83662"/>
    <w:rPr>
      <w:rFonts w:asciiTheme="minorHAnsi" w:hAnsiTheme="minorHAnsi"/>
      <w:b/>
      <w:bCs/>
      <w:lang w:eastAsia="en-US"/>
    </w:rPr>
  </w:style>
  <w:style w:type="character" w:customStyle="1" w:styleId="HeaderChar">
    <w:name w:val="Header Char"/>
    <w:basedOn w:val="DefaultParagraphFont"/>
    <w:link w:val="Header"/>
    <w:uiPriority w:val="2"/>
    <w:rsid w:val="00D42808"/>
    <w:rPr>
      <w:rFonts w:asciiTheme="minorHAnsi" w:hAnsiTheme="minorHAnsi"/>
      <w:color w:val="004553" w:themeColor="text2"/>
      <w:lang w:eastAsia="en-US"/>
    </w:rPr>
  </w:style>
  <w:style w:type="paragraph" w:styleId="Bibliography">
    <w:name w:val="Bibliography"/>
    <w:basedOn w:val="Normal"/>
    <w:next w:val="Normal"/>
    <w:uiPriority w:val="37"/>
    <w:unhideWhenUsed/>
    <w:rsid w:val="006F4A68"/>
    <w:pPr>
      <w:jc w:val="both"/>
    </w:pPr>
  </w:style>
  <w:style w:type="character" w:customStyle="1" w:styleId="Heading1Char">
    <w:name w:val="Heading 1 Char"/>
    <w:basedOn w:val="DefaultParagraphFont"/>
    <w:link w:val="Heading1"/>
    <w:uiPriority w:val="9"/>
    <w:rsid w:val="00796F8D"/>
    <w:rPr>
      <w:rFonts w:asciiTheme="majorHAnsi" w:hAnsiTheme="majorHAnsi"/>
      <w:b/>
      <w:caps/>
      <w:noProof/>
      <w:color w:val="00243A"/>
      <w:kern w:val="28"/>
      <w:sz w:val="24"/>
      <w:lang w:eastAsia="en-US"/>
    </w:rPr>
  </w:style>
  <w:style w:type="character" w:customStyle="1" w:styleId="Heading2Char">
    <w:name w:val="Heading 2 Char"/>
    <w:basedOn w:val="DefaultParagraphFont"/>
    <w:link w:val="Heading2"/>
    <w:rsid w:val="007127E5"/>
    <w:rPr>
      <w:rFonts w:asciiTheme="majorHAnsi" w:hAnsiTheme="majorHAnsi"/>
      <w:b/>
      <w:color w:val="00243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8971">
      <w:bodyDiv w:val="1"/>
      <w:marLeft w:val="0"/>
      <w:marRight w:val="0"/>
      <w:marTop w:val="0"/>
      <w:marBottom w:val="0"/>
      <w:divBdr>
        <w:top w:val="none" w:sz="0" w:space="0" w:color="auto"/>
        <w:left w:val="none" w:sz="0" w:space="0" w:color="auto"/>
        <w:bottom w:val="none" w:sz="0" w:space="0" w:color="auto"/>
        <w:right w:val="none" w:sz="0" w:space="0" w:color="auto"/>
      </w:divBdr>
    </w:div>
    <w:div w:id="148904035">
      <w:bodyDiv w:val="1"/>
      <w:marLeft w:val="0"/>
      <w:marRight w:val="0"/>
      <w:marTop w:val="0"/>
      <w:marBottom w:val="0"/>
      <w:divBdr>
        <w:top w:val="none" w:sz="0" w:space="0" w:color="auto"/>
        <w:left w:val="none" w:sz="0" w:space="0" w:color="auto"/>
        <w:bottom w:val="none" w:sz="0" w:space="0" w:color="auto"/>
        <w:right w:val="none" w:sz="0" w:space="0" w:color="auto"/>
      </w:divBdr>
    </w:div>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33433">
      <w:bodyDiv w:val="1"/>
      <w:marLeft w:val="0"/>
      <w:marRight w:val="0"/>
      <w:marTop w:val="0"/>
      <w:marBottom w:val="0"/>
      <w:divBdr>
        <w:top w:val="none" w:sz="0" w:space="0" w:color="auto"/>
        <w:left w:val="none" w:sz="0" w:space="0" w:color="auto"/>
        <w:bottom w:val="none" w:sz="0" w:space="0" w:color="auto"/>
        <w:right w:val="none" w:sz="0" w:space="0" w:color="auto"/>
      </w:divBdr>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 w:id="870066797">
      <w:bodyDiv w:val="1"/>
      <w:marLeft w:val="0"/>
      <w:marRight w:val="0"/>
      <w:marTop w:val="0"/>
      <w:marBottom w:val="0"/>
      <w:divBdr>
        <w:top w:val="none" w:sz="0" w:space="0" w:color="auto"/>
        <w:left w:val="none" w:sz="0" w:space="0" w:color="auto"/>
        <w:bottom w:val="none" w:sz="0" w:space="0" w:color="auto"/>
        <w:right w:val="none" w:sz="0" w:space="0" w:color="auto"/>
      </w:divBdr>
    </w:div>
    <w:div w:id="1027634426">
      <w:bodyDiv w:val="1"/>
      <w:marLeft w:val="0"/>
      <w:marRight w:val="0"/>
      <w:marTop w:val="0"/>
      <w:marBottom w:val="0"/>
      <w:divBdr>
        <w:top w:val="none" w:sz="0" w:space="0" w:color="auto"/>
        <w:left w:val="none" w:sz="0" w:space="0" w:color="auto"/>
        <w:bottom w:val="none" w:sz="0" w:space="0" w:color="auto"/>
        <w:right w:val="none" w:sz="0" w:space="0" w:color="auto"/>
      </w:divBdr>
    </w:div>
    <w:div w:id="1100300922">
      <w:bodyDiv w:val="1"/>
      <w:marLeft w:val="0"/>
      <w:marRight w:val="0"/>
      <w:marTop w:val="0"/>
      <w:marBottom w:val="0"/>
      <w:divBdr>
        <w:top w:val="none" w:sz="0" w:space="0" w:color="auto"/>
        <w:left w:val="none" w:sz="0" w:space="0" w:color="auto"/>
        <w:bottom w:val="none" w:sz="0" w:space="0" w:color="auto"/>
        <w:right w:val="none" w:sz="0" w:space="0" w:color="auto"/>
      </w:divBdr>
    </w:div>
    <w:div w:id="1317495878">
      <w:bodyDiv w:val="1"/>
      <w:marLeft w:val="0"/>
      <w:marRight w:val="0"/>
      <w:marTop w:val="0"/>
      <w:marBottom w:val="0"/>
      <w:divBdr>
        <w:top w:val="none" w:sz="0" w:space="0" w:color="auto"/>
        <w:left w:val="none" w:sz="0" w:space="0" w:color="auto"/>
        <w:bottom w:val="none" w:sz="0" w:space="0" w:color="auto"/>
        <w:right w:val="none" w:sz="0" w:space="0" w:color="auto"/>
      </w:divBdr>
    </w:div>
    <w:div w:id="1711765605">
      <w:bodyDiv w:val="1"/>
      <w:marLeft w:val="0"/>
      <w:marRight w:val="0"/>
      <w:marTop w:val="0"/>
      <w:marBottom w:val="0"/>
      <w:divBdr>
        <w:top w:val="none" w:sz="0" w:space="0" w:color="auto"/>
        <w:left w:val="none" w:sz="0" w:space="0" w:color="auto"/>
        <w:bottom w:val="none" w:sz="0" w:space="0" w:color="auto"/>
        <w:right w:val="none" w:sz="0" w:space="0" w:color="auto"/>
      </w:divBdr>
    </w:div>
    <w:div w:id="1921014404">
      <w:bodyDiv w:val="1"/>
      <w:marLeft w:val="0"/>
      <w:marRight w:val="0"/>
      <w:marTop w:val="0"/>
      <w:marBottom w:val="0"/>
      <w:divBdr>
        <w:top w:val="none" w:sz="0" w:space="0" w:color="auto"/>
        <w:left w:val="none" w:sz="0" w:space="0" w:color="auto"/>
        <w:bottom w:val="none" w:sz="0" w:space="0" w:color="auto"/>
        <w:right w:val="none" w:sz="0" w:space="0" w:color="auto"/>
      </w:divBdr>
    </w:div>
    <w:div w:id="20138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KOPA.co.uk"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enquiries@ukopa.co.uk" TargetMode="Externa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image" Target="media/image7.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Documents\@Work\UKOPA\FARWG\GPG%20Development\TBN%20Template%20Oct%2017%20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3E7BF96F6E43C4A14B98A92DB61FA4"/>
        <w:category>
          <w:name w:val="General"/>
          <w:gallery w:val="placeholder"/>
        </w:category>
        <w:types>
          <w:type w:val="bbPlcHdr"/>
        </w:types>
        <w:behaviors>
          <w:behavior w:val="content"/>
        </w:behaviors>
        <w:guid w:val="{921E0894-0C97-4C09-B67A-E3F099D19A99}"/>
      </w:docPartPr>
      <w:docPartBody>
        <w:p w:rsidR="007E3CE2" w:rsidRDefault="00A05C45">
          <w:pPr>
            <w:pStyle w:val="F03E7BF96F6E43C4A14B98A92DB61FA4"/>
          </w:pPr>
          <w:r w:rsidRPr="00B83874">
            <w:rPr>
              <w:rStyle w:val="PlaceholderText"/>
            </w:rPr>
            <w:t>[Title]</w:t>
          </w:r>
        </w:p>
      </w:docPartBody>
    </w:docPart>
    <w:docPart>
      <w:docPartPr>
        <w:name w:val="5868F24D9C57422A8B53446533C5CAC4"/>
        <w:category>
          <w:name w:val="General"/>
          <w:gallery w:val="placeholder"/>
        </w:category>
        <w:types>
          <w:type w:val="bbPlcHdr"/>
        </w:types>
        <w:behaviors>
          <w:behavior w:val="content"/>
        </w:behaviors>
        <w:guid w:val="{AF1E115D-30EC-4801-8C5E-BC3374F12260}"/>
      </w:docPartPr>
      <w:docPartBody>
        <w:p w:rsidR="007E3CE2" w:rsidRDefault="00A05C45">
          <w:pPr>
            <w:pStyle w:val="5868F24D9C57422A8B53446533C5CAC4"/>
          </w:pPr>
          <w:r w:rsidRPr="00B83874">
            <w:rPr>
              <w:rStyle w:val="PlaceholderText"/>
            </w:rPr>
            <w:t>[Subject]</w:t>
          </w:r>
        </w:p>
      </w:docPartBody>
    </w:docPart>
    <w:docPart>
      <w:docPartPr>
        <w:name w:val="A5A7134072C24DFE8C2D50C99A601997"/>
        <w:category>
          <w:name w:val="General"/>
          <w:gallery w:val="placeholder"/>
        </w:category>
        <w:types>
          <w:type w:val="bbPlcHdr"/>
        </w:types>
        <w:behaviors>
          <w:behavior w:val="content"/>
        </w:behaviors>
        <w:guid w:val="{CDB9FACE-7283-46FB-885E-F8437D4A5882}"/>
      </w:docPartPr>
      <w:docPartBody>
        <w:p w:rsidR="007E3CE2" w:rsidRDefault="00A05C45">
          <w:pPr>
            <w:pStyle w:val="A5A7134072C24DFE8C2D50C99A601997"/>
          </w:pPr>
          <w:r w:rsidRPr="00917A5B">
            <w:rPr>
              <w:rStyle w:val="PlaceholderText"/>
            </w:rPr>
            <w:t>[Comments]</w:t>
          </w:r>
        </w:p>
      </w:docPartBody>
    </w:docPart>
    <w:docPart>
      <w:docPartPr>
        <w:name w:val="29645EA8DF704ED2A0BC6B2B8651F806"/>
        <w:category>
          <w:name w:val="General"/>
          <w:gallery w:val="placeholder"/>
        </w:category>
        <w:types>
          <w:type w:val="bbPlcHdr"/>
        </w:types>
        <w:behaviors>
          <w:behavior w:val="content"/>
        </w:behaviors>
        <w:guid w:val="{930DB8D1-C4CC-4C6E-804C-22D2018E6307}"/>
      </w:docPartPr>
      <w:docPartBody>
        <w:p w:rsidR="007E3CE2" w:rsidRDefault="00A05C45">
          <w:pPr>
            <w:pStyle w:val="29645EA8DF704ED2A0BC6B2B8651F806"/>
          </w:pPr>
          <w:r w:rsidRPr="00917A5B">
            <w:rPr>
              <w:rStyle w:val="PlaceholderText"/>
            </w:rPr>
            <w:t>Click here to enter a date.</w:t>
          </w:r>
        </w:p>
      </w:docPartBody>
    </w:docPart>
    <w:docPart>
      <w:docPartPr>
        <w:name w:val="E07A0486A41F4FEBB5D45CDE1C571505"/>
        <w:category>
          <w:name w:val="General"/>
          <w:gallery w:val="placeholder"/>
        </w:category>
        <w:types>
          <w:type w:val="bbPlcHdr"/>
        </w:types>
        <w:behaviors>
          <w:behavior w:val="content"/>
        </w:behaviors>
        <w:guid w:val="{792FDD68-BDB9-410B-AE9D-1E31FCC17CB6}"/>
      </w:docPartPr>
      <w:docPartBody>
        <w:p w:rsidR="007E3CE2" w:rsidRDefault="00E518DB" w:rsidP="00E518DB">
          <w:pPr>
            <w:pStyle w:val="E07A0486A41F4FEBB5D45CDE1C571505"/>
          </w:pPr>
          <w:r w:rsidRPr="00917A5B">
            <w:rPr>
              <w:rStyle w:val="PlaceholderText"/>
            </w:rPr>
            <w:t>[Title]</w:t>
          </w:r>
        </w:p>
      </w:docPartBody>
    </w:docPart>
    <w:docPart>
      <w:docPartPr>
        <w:name w:val="4E8C00661154484BA372A931016E373D"/>
        <w:category>
          <w:name w:val="General"/>
          <w:gallery w:val="placeholder"/>
        </w:category>
        <w:types>
          <w:type w:val="bbPlcHdr"/>
        </w:types>
        <w:behaviors>
          <w:behavior w:val="content"/>
        </w:behaviors>
        <w:guid w:val="{BD0F6038-0DD0-4E46-9FB0-68CBCCF22238}"/>
      </w:docPartPr>
      <w:docPartBody>
        <w:p w:rsidR="007E3CE2" w:rsidRDefault="00E518DB" w:rsidP="00E518DB">
          <w:pPr>
            <w:pStyle w:val="4E8C00661154484BA372A931016E373D"/>
          </w:pPr>
          <w:r w:rsidRPr="00917A5B">
            <w:rPr>
              <w:rStyle w:val="PlaceholderText"/>
            </w:rPr>
            <w:t>[Subject]</w:t>
          </w:r>
        </w:p>
      </w:docPartBody>
    </w:docPart>
    <w:docPart>
      <w:docPartPr>
        <w:name w:val="6906DD4B91EC42878217BC0C277524B0"/>
        <w:category>
          <w:name w:val="General"/>
          <w:gallery w:val="placeholder"/>
        </w:category>
        <w:types>
          <w:type w:val="bbPlcHdr"/>
        </w:types>
        <w:behaviors>
          <w:behavior w:val="content"/>
        </w:behaviors>
        <w:guid w:val="{71EA2FA6-1BC0-43D1-A664-E1FEC5A982A2}"/>
      </w:docPartPr>
      <w:docPartBody>
        <w:p w:rsidR="007E3CE2" w:rsidRDefault="00E518DB" w:rsidP="00E518DB">
          <w:pPr>
            <w:pStyle w:val="6906DD4B91EC42878217BC0C277524B0"/>
          </w:pPr>
          <w:r w:rsidRPr="00917A5B">
            <w:rPr>
              <w:rStyle w:val="PlaceholderText"/>
            </w:rPr>
            <w:t>[Title]</w:t>
          </w:r>
        </w:p>
      </w:docPartBody>
    </w:docPart>
    <w:docPart>
      <w:docPartPr>
        <w:name w:val="EF84E57474EF48ABB03FBB2E69A4F8D2"/>
        <w:category>
          <w:name w:val="General"/>
          <w:gallery w:val="placeholder"/>
        </w:category>
        <w:types>
          <w:type w:val="bbPlcHdr"/>
        </w:types>
        <w:behaviors>
          <w:behavior w:val="content"/>
        </w:behaviors>
        <w:guid w:val="{464E74CE-A142-41DD-90A0-75FE7BCCA1E9}"/>
      </w:docPartPr>
      <w:docPartBody>
        <w:p w:rsidR="007E3CE2" w:rsidRDefault="00E518DB" w:rsidP="00E518DB">
          <w:pPr>
            <w:pStyle w:val="EF84E57474EF48ABB03FBB2E69A4F8D2"/>
          </w:pPr>
          <w:r w:rsidRPr="00917A5B">
            <w:rPr>
              <w:rStyle w:val="PlaceholderText"/>
            </w:rPr>
            <w:t>[Subject]</w:t>
          </w:r>
        </w:p>
      </w:docPartBody>
    </w:docPart>
    <w:docPart>
      <w:docPartPr>
        <w:name w:val="D6D2084B15F7460BB64C70DF0A7E3B00"/>
        <w:category>
          <w:name w:val="General"/>
          <w:gallery w:val="placeholder"/>
        </w:category>
        <w:types>
          <w:type w:val="bbPlcHdr"/>
        </w:types>
        <w:behaviors>
          <w:behavior w:val="content"/>
        </w:behaviors>
        <w:guid w:val="{3740A2F5-451C-4593-A47B-7453B0DEAC59}"/>
      </w:docPartPr>
      <w:docPartBody>
        <w:p w:rsidR="00C40B53" w:rsidRDefault="004E2227">
          <w:r w:rsidRPr="00C90658">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604020202020204"/>
    <w:charset w:val="00"/>
    <w:family w:val="roman"/>
    <w:notTrueType/>
    <w:pitch w:val="default"/>
    <w:sig w:usb0="0074D2DC"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DB"/>
    <w:rsid w:val="004E2227"/>
    <w:rsid w:val="007E3CE2"/>
    <w:rsid w:val="008315FF"/>
    <w:rsid w:val="00A05C45"/>
    <w:rsid w:val="00C17C49"/>
    <w:rsid w:val="00C40B53"/>
    <w:rsid w:val="00E51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227"/>
    <w:rPr>
      <w:color w:val="808080"/>
    </w:rPr>
  </w:style>
  <w:style w:type="paragraph" w:customStyle="1" w:styleId="F03E7BF96F6E43C4A14B98A92DB61FA4">
    <w:name w:val="F03E7BF96F6E43C4A14B98A92DB61FA4"/>
  </w:style>
  <w:style w:type="paragraph" w:customStyle="1" w:styleId="5868F24D9C57422A8B53446533C5CAC4">
    <w:name w:val="5868F24D9C57422A8B53446533C5CAC4"/>
  </w:style>
  <w:style w:type="paragraph" w:customStyle="1" w:styleId="A5A7134072C24DFE8C2D50C99A601997">
    <w:name w:val="A5A7134072C24DFE8C2D50C99A601997"/>
  </w:style>
  <w:style w:type="paragraph" w:customStyle="1" w:styleId="29645EA8DF704ED2A0BC6B2B8651F806">
    <w:name w:val="29645EA8DF704ED2A0BC6B2B8651F806"/>
  </w:style>
  <w:style w:type="paragraph" w:customStyle="1" w:styleId="8ADAA31CA86342C8A1C5E37272AEC6B4">
    <w:name w:val="8ADAA31CA86342C8A1C5E37272AEC6B4"/>
  </w:style>
  <w:style w:type="paragraph" w:customStyle="1" w:styleId="D9DFB554E2BA42DD97BF0EC7F22FDDB2">
    <w:name w:val="D9DFB554E2BA42DD97BF0EC7F22FDDB2"/>
  </w:style>
  <w:style w:type="paragraph" w:customStyle="1" w:styleId="203F6BBEDC3440F7A04F31EB3DFF5284">
    <w:name w:val="203F6BBEDC3440F7A04F31EB3DFF5284"/>
    <w:rsid w:val="00E518DB"/>
  </w:style>
  <w:style w:type="paragraph" w:customStyle="1" w:styleId="5ED6B3BA07094DC482BCCD0EE963767A">
    <w:name w:val="5ED6B3BA07094DC482BCCD0EE963767A"/>
    <w:rsid w:val="00E518DB"/>
  </w:style>
  <w:style w:type="paragraph" w:customStyle="1" w:styleId="E07A0486A41F4FEBB5D45CDE1C571505">
    <w:name w:val="E07A0486A41F4FEBB5D45CDE1C571505"/>
    <w:rsid w:val="00E518DB"/>
  </w:style>
  <w:style w:type="paragraph" w:customStyle="1" w:styleId="4E8C00661154484BA372A931016E373D">
    <w:name w:val="4E8C00661154484BA372A931016E373D"/>
    <w:rsid w:val="00E518DB"/>
  </w:style>
  <w:style w:type="paragraph" w:customStyle="1" w:styleId="6906DD4B91EC42878217BC0C277524B0">
    <w:name w:val="6906DD4B91EC42878217BC0C277524B0"/>
    <w:rsid w:val="00E518DB"/>
  </w:style>
  <w:style w:type="paragraph" w:customStyle="1" w:styleId="EF84E57474EF48ABB03FBB2E69A4F8D2">
    <w:name w:val="EF84E57474EF48ABB03FBB2E69A4F8D2"/>
    <w:rsid w:val="00E51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B5FF975E86E419408F0FD934CB0B4" ma:contentTypeVersion="0" ma:contentTypeDescription="Create a new document." ma:contentTypeScope="" ma:versionID="6ccd698cde8dfae018179327ca545a13">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TD1_Ed5</b:Tag>
    <b:SourceType>Misc</b:SourceType>
    <b:Guid>{299C6704-E89D-441B-A3F9-6B0EFF84B43B}</b:Guid>
    <b:Author>
      <b:Author>
        <b:Corporate>IGEM/TD/1 Edition 5 with amendments</b:Corporate>
      </b:Author>
    </b:Author>
    <b:Title>Steel pipelines and associated installations for high pressure gas transmission</b:Title>
    <b:Publisher>Communication 1789, Institution of Gas Engineers &amp; Managers</b:Publisher>
    <b:Year>July 2016</b:Year>
    <b:RefOrder>2</b:RefOrder>
  </b:Source>
  <b:Source>
    <b:Tag>TD2_Ed2</b:Tag>
    <b:SourceType>Misc</b:SourceType>
    <b:Guid>{F93715C9-B6EB-417D-A45D-045B18282640}</b:Guid>
    <b:Author>
      <b:Author>
        <b:Corporate>IGEM/TD/2 Edition 2</b:Corporate>
      </b:Author>
    </b:Author>
    <b:Title>Assessing the risks from high pressure natural gas pipelines</b:Title>
    <b:Year>2013</b:Year>
    <b:Publisher>Institution of Gas Engineers &amp; Managers</b:Publisher>
    <b:RefOrder>4</b:RefOrder>
  </b:Source>
  <b:Source>
    <b:Tag>PD8010_1_2015</b:Tag>
    <b:SourceType>Misc</b:SourceType>
    <b:Guid>{29AAB2D4-B979-4934-BEF0-85FB30192276}</b:Guid>
    <b:Title>Pipeline systems - Part 1: Steel Pipelines on land - Code of practice</b:Title>
    <b:Year>March 2015</b:Year>
    <b:Publisher>British Standards Institution</b:Publisher>
    <b:Author>
      <b:Author>
        <b:Corporate>PD 8010-1:2015</b:Corporate>
      </b:Author>
    </b:Author>
    <b:RefOrder>1</b:RefOrder>
  </b:Source>
  <b:Source>
    <b:Tag>PD8010_3_2012</b:Tag>
    <b:SourceType>Misc</b:SourceType>
    <b:Guid>{36BFFA25-D286-46E9-8F51-E64C32C0EA80}</b:Guid>
    <b:Title>Pipeline systems. Part 3: Steel pipelines on land and subsea pipelines - Guide to the application of pipeline risk assessement to proposed developments in the vicinity of major accident hazard pipelines containing flammables - Supplement to PD 8010-1:2004</b:Title>
    <b:Year>July 2013</b:Year>
    <b:Publisher>British Standards Institution</b:Publisher>
    <b:Author>
      <b:Author>
        <b:Corporate>PD 8010-3:2009+A1:2013</b:Corporate>
      </b:Author>
    </b:Author>
    <b:RefOrder>5</b:RefOrder>
  </b:Source>
  <b:Source>
    <b:Tag>RMcC_Surveillance_Oct2005</b:Tag>
    <b:SourceType>Report</b:SourceType>
    <b:Guid>{5F337BF8-E5D2-4D66-AD09-304EB37132CE}</b:Guid>
    <b:Author>
      <b:Author>
        <b:NameList>
          <b:Person>
            <b:Last>McConnell</b:Last>
            <b:First>R</b:First>
            <b:Middle>A</b:Middle>
          </b:Person>
        </b:NameList>
      </b:Author>
    </b:Author>
    <b:Title>Effect of Surveillance Frequency on 3rd Party Excavation Rate</b:Title>
    <b:Year>October 2005</b:Year>
    <b:Publisher>Briefing Paper to UKOPA RAWG</b:Publisher>
    <b:RefOrder>3</b:RefOrder>
  </b:Source>
</b:Sources>
</file>

<file path=customXml/itemProps1.xml><?xml version="1.0" encoding="utf-8"?>
<ds:datastoreItem xmlns:ds="http://schemas.openxmlformats.org/officeDocument/2006/customXml" ds:itemID="{ABE647AA-1A6F-4370-91D0-97266F3565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876449-7220-42C3-9053-78A0C4FCF0BA}">
  <ds:schemaRefs>
    <ds:schemaRef ds:uri="http://schemas.microsoft.com/sharepoint/v3/contenttype/forms"/>
  </ds:schemaRefs>
</ds:datastoreItem>
</file>

<file path=customXml/itemProps3.xml><?xml version="1.0" encoding="utf-8"?>
<ds:datastoreItem xmlns:ds="http://schemas.openxmlformats.org/officeDocument/2006/customXml" ds:itemID="{E48F28DD-5F00-4F22-AEDA-32C0AB6B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CB8B91-0089-804B-BF83-003F7932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C:\Users\graha\Documents\@Work\UKOPA\FARWG\GPG Development\TBN Template Oct 17 V1.1.dotx</Template>
  <TotalTime>0</TotalTime>
  <Pages>12</Pages>
  <Words>1965</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14173</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Effect of Pipeline Surveillance on Risk of 3rd Party Interference</dc:subject>
  <dc:creator>Graham Goodfellow</dc:creator>
  <dc:description>UKOPA/TBN/009 Edition 1</dc:description>
  <cp:lastModifiedBy>Nikki Barker</cp:lastModifiedBy>
  <cp:revision>2</cp:revision>
  <cp:lastPrinted>2015-07-28T16:53:00Z</cp:lastPrinted>
  <dcterms:created xsi:type="dcterms:W3CDTF">2020-04-17T15:45:00Z</dcterms:created>
  <dcterms:modified xsi:type="dcterms:W3CDTF">2020-04-17T15:45:00Z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y fmtid="{D5CDD505-2E9C-101B-9397-08002B2CF9AE}" pid="3" name="ContentTypeId">
    <vt:lpwstr>0x0101008A8B5FF975E86E419408F0FD934CB0B4</vt:lpwstr>
  </property>
</Properties>
</file>