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E659C" w:rsidRDefault="009A3E64">
      <w:pPr>
        <w:rPr>
          <w:rFonts w:ascii="Arial" w:hAnsi="Arial" w:cs="Arial"/>
          <w:sz w:val="22"/>
          <w:szCs w:val="22"/>
          <w:lang w:val="en-GB"/>
        </w:rPr>
      </w:pPr>
      <w:r>
        <w:rPr>
          <w:rFonts w:ascii="Arial" w:hAnsi="Arial" w:cs="Arial"/>
          <w:sz w:val="22"/>
          <w:szCs w:val="22"/>
          <w:lang w:val="en-GB"/>
        </w:rPr>
        <w:t>Discussions around:</w:t>
      </w:r>
    </w:p>
    <w:p w:rsidR="009A3E64" w:rsidRDefault="009A3E64">
      <w:pPr>
        <w:rPr>
          <w:rFonts w:ascii="Arial" w:hAnsi="Arial" w:cs="Arial"/>
          <w:sz w:val="22"/>
          <w:szCs w:val="22"/>
          <w:lang w:val="en-GB"/>
        </w:rPr>
      </w:pPr>
    </w:p>
    <w:p w:rsidR="009A3E64" w:rsidRDefault="009A3E64">
      <w:pPr>
        <w:rPr>
          <w:rFonts w:ascii="Arial" w:hAnsi="Arial" w:cs="Arial"/>
          <w:sz w:val="22"/>
          <w:szCs w:val="22"/>
          <w:lang w:val="en-GB"/>
        </w:rPr>
      </w:pPr>
      <w:r>
        <w:rPr>
          <w:rFonts w:ascii="Arial" w:hAnsi="Arial" w:cs="Arial"/>
          <w:sz w:val="22"/>
          <w:szCs w:val="22"/>
          <w:lang w:val="en-GB"/>
        </w:rPr>
        <w:t>Non-piggable pipelines</w:t>
      </w:r>
    </w:p>
    <w:p w:rsidR="009A3E64" w:rsidRDefault="009A3E64">
      <w:pPr>
        <w:rPr>
          <w:rFonts w:ascii="Arial" w:hAnsi="Arial" w:cs="Arial"/>
          <w:sz w:val="22"/>
          <w:szCs w:val="22"/>
          <w:lang w:val="en-GB"/>
        </w:rPr>
      </w:pPr>
      <w:r>
        <w:rPr>
          <w:rFonts w:ascii="Arial" w:hAnsi="Arial" w:cs="Arial"/>
          <w:sz w:val="22"/>
          <w:szCs w:val="22"/>
          <w:lang w:val="en-GB"/>
        </w:rPr>
        <w:t>End of life of pipelines</w:t>
      </w:r>
    </w:p>
    <w:p w:rsidR="009A3E64" w:rsidRDefault="009A3E64">
      <w:pPr>
        <w:rPr>
          <w:rFonts w:ascii="Arial" w:hAnsi="Arial" w:cs="Arial"/>
          <w:sz w:val="22"/>
          <w:szCs w:val="22"/>
          <w:lang w:val="en-GB"/>
        </w:rPr>
      </w:pPr>
      <w:r>
        <w:rPr>
          <w:rFonts w:ascii="Arial" w:hAnsi="Arial" w:cs="Arial"/>
          <w:sz w:val="22"/>
          <w:szCs w:val="22"/>
          <w:lang w:val="en-GB"/>
        </w:rPr>
        <w:t>ILI – State of the art</w:t>
      </w:r>
    </w:p>
    <w:p w:rsidR="009A3E64" w:rsidRDefault="009A3E64">
      <w:pPr>
        <w:rPr>
          <w:rFonts w:ascii="Arial" w:hAnsi="Arial" w:cs="Arial"/>
          <w:sz w:val="22"/>
          <w:szCs w:val="22"/>
          <w:lang w:val="en-GB"/>
        </w:rPr>
      </w:pPr>
      <w:r>
        <w:rPr>
          <w:rFonts w:ascii="Arial" w:hAnsi="Arial" w:cs="Arial"/>
          <w:sz w:val="22"/>
          <w:szCs w:val="22"/>
          <w:lang w:val="en-GB"/>
        </w:rPr>
        <w:t>Repairs</w:t>
      </w:r>
    </w:p>
    <w:p w:rsidR="009A3E64" w:rsidRDefault="009A3E64">
      <w:pPr>
        <w:rPr>
          <w:rFonts w:ascii="Arial" w:hAnsi="Arial" w:cs="Arial"/>
          <w:sz w:val="22"/>
          <w:szCs w:val="22"/>
          <w:lang w:val="en-GB"/>
        </w:rPr>
      </w:pPr>
    </w:p>
    <w:p w:rsidR="009A3E64" w:rsidRDefault="009A3E64">
      <w:pPr>
        <w:rPr>
          <w:rFonts w:ascii="Arial" w:hAnsi="Arial" w:cs="Arial"/>
          <w:sz w:val="22"/>
          <w:szCs w:val="22"/>
          <w:lang w:val="en-GB"/>
        </w:rPr>
      </w:pPr>
      <w:r>
        <w:rPr>
          <w:rFonts w:ascii="Arial" w:hAnsi="Arial" w:cs="Arial"/>
          <w:sz w:val="22"/>
          <w:szCs w:val="22"/>
          <w:lang w:val="en-GB"/>
        </w:rPr>
        <w:t>Look at:</w:t>
      </w:r>
    </w:p>
    <w:p w:rsidR="009A3E64" w:rsidRDefault="009A3E64">
      <w:pPr>
        <w:rPr>
          <w:rFonts w:ascii="Arial" w:hAnsi="Arial" w:cs="Arial"/>
          <w:sz w:val="22"/>
          <w:szCs w:val="22"/>
          <w:lang w:val="en-GB"/>
        </w:rPr>
      </w:pPr>
      <w:r>
        <w:rPr>
          <w:rFonts w:ascii="Arial" w:hAnsi="Arial" w:cs="Arial"/>
          <w:sz w:val="22"/>
          <w:szCs w:val="22"/>
          <w:lang w:val="en-GB"/>
        </w:rPr>
        <w:t>Deliverable actions</w:t>
      </w:r>
    </w:p>
    <w:p w:rsidR="009A3E64" w:rsidRDefault="009A3E64">
      <w:pPr>
        <w:rPr>
          <w:rFonts w:ascii="Arial" w:hAnsi="Arial" w:cs="Arial"/>
          <w:sz w:val="22"/>
          <w:szCs w:val="22"/>
          <w:lang w:val="en-GB"/>
        </w:rPr>
      </w:pPr>
      <w:r>
        <w:rPr>
          <w:rFonts w:ascii="Arial" w:hAnsi="Arial" w:cs="Arial"/>
          <w:sz w:val="22"/>
          <w:szCs w:val="22"/>
          <w:lang w:val="en-GB"/>
        </w:rPr>
        <w:t>Timescales</w:t>
      </w:r>
    </w:p>
    <w:p w:rsidR="009A3E64" w:rsidRDefault="009A3E64">
      <w:pPr>
        <w:rPr>
          <w:rFonts w:ascii="Arial" w:hAnsi="Arial" w:cs="Arial"/>
          <w:sz w:val="22"/>
          <w:szCs w:val="22"/>
          <w:lang w:val="en-GB"/>
        </w:rPr>
      </w:pPr>
      <w:r>
        <w:rPr>
          <w:rFonts w:ascii="Arial" w:hAnsi="Arial" w:cs="Arial"/>
          <w:sz w:val="22"/>
          <w:szCs w:val="22"/>
          <w:lang w:val="en-GB"/>
        </w:rPr>
        <w:t>Member input required</w:t>
      </w:r>
    </w:p>
    <w:p w:rsidR="009A3E64" w:rsidRDefault="009A3E64">
      <w:pPr>
        <w:rPr>
          <w:rFonts w:ascii="Arial" w:hAnsi="Arial" w:cs="Arial"/>
          <w:sz w:val="22"/>
          <w:szCs w:val="22"/>
          <w:lang w:val="en-GB"/>
        </w:rPr>
      </w:pPr>
      <w:r>
        <w:rPr>
          <w:rFonts w:ascii="Arial" w:hAnsi="Arial" w:cs="Arial"/>
          <w:sz w:val="22"/>
          <w:szCs w:val="22"/>
          <w:lang w:val="en-GB"/>
        </w:rPr>
        <w:t>External resources</w:t>
      </w:r>
    </w:p>
    <w:p w:rsidR="009A3E64" w:rsidRDefault="009A3E64">
      <w:pPr>
        <w:rPr>
          <w:rFonts w:ascii="Arial" w:hAnsi="Arial" w:cs="Arial"/>
          <w:sz w:val="22"/>
          <w:szCs w:val="22"/>
          <w:lang w:val="en-GB"/>
        </w:rPr>
      </w:pPr>
      <w:r>
        <w:rPr>
          <w:rFonts w:ascii="Arial" w:hAnsi="Arial" w:cs="Arial"/>
          <w:sz w:val="22"/>
          <w:szCs w:val="22"/>
          <w:lang w:val="en-GB"/>
        </w:rPr>
        <w:t>Risks / issues</w:t>
      </w:r>
    </w:p>
    <w:p w:rsidR="009A3E64" w:rsidRDefault="009A3E64">
      <w:pPr>
        <w:rPr>
          <w:rFonts w:ascii="Arial" w:hAnsi="Arial" w:cs="Arial"/>
          <w:sz w:val="22"/>
          <w:szCs w:val="22"/>
          <w:lang w:val="en-GB"/>
        </w:rPr>
      </w:pPr>
    </w:p>
    <w:p w:rsidR="009A3E64" w:rsidRDefault="009A3E64">
      <w:pPr>
        <w:rPr>
          <w:rFonts w:ascii="Arial" w:hAnsi="Arial" w:cs="Arial"/>
          <w:sz w:val="22"/>
          <w:szCs w:val="22"/>
          <w:lang w:val="en-GB"/>
        </w:rPr>
      </w:pPr>
    </w:p>
    <w:p w:rsidR="009A3E64" w:rsidRPr="00C56821" w:rsidRDefault="009A3E64">
      <w:pPr>
        <w:rPr>
          <w:rFonts w:ascii="Arial" w:hAnsi="Arial" w:cs="Arial"/>
          <w:sz w:val="22"/>
          <w:szCs w:val="22"/>
          <w:u w:val="single"/>
          <w:lang w:val="en-GB"/>
        </w:rPr>
      </w:pPr>
      <w:r w:rsidRPr="00C56821">
        <w:rPr>
          <w:rFonts w:ascii="Arial" w:hAnsi="Arial" w:cs="Arial"/>
          <w:sz w:val="22"/>
          <w:szCs w:val="22"/>
          <w:u w:val="single"/>
          <w:lang w:val="en-GB"/>
        </w:rPr>
        <w:t>Non-piggable pipelines</w:t>
      </w:r>
    </w:p>
    <w:p w:rsidR="009A3E64" w:rsidRDefault="009A3E64">
      <w:pPr>
        <w:rPr>
          <w:rFonts w:ascii="Arial" w:hAnsi="Arial" w:cs="Arial"/>
          <w:sz w:val="22"/>
          <w:szCs w:val="22"/>
          <w:lang w:val="en-GB"/>
        </w:rPr>
      </w:pPr>
    </w:p>
    <w:p w:rsidR="009A3E64" w:rsidRDefault="009A3E64">
      <w:pPr>
        <w:rPr>
          <w:rFonts w:ascii="Arial" w:hAnsi="Arial" w:cs="Arial"/>
          <w:sz w:val="22"/>
          <w:szCs w:val="22"/>
          <w:lang w:val="en-GB"/>
        </w:rPr>
      </w:pPr>
      <w:r>
        <w:rPr>
          <w:rFonts w:ascii="Arial" w:hAnsi="Arial" w:cs="Arial"/>
          <w:sz w:val="22"/>
          <w:szCs w:val="22"/>
          <w:lang w:val="en-GB"/>
        </w:rPr>
        <w:t>There was some discussion around what good practice for inspection of non-piggable lines would encompass. A flow chart leading you through the options based on characteristics of the line could included.</w:t>
      </w:r>
      <w:r w:rsidR="009C6B1C">
        <w:rPr>
          <w:rFonts w:ascii="Arial" w:hAnsi="Arial" w:cs="Arial"/>
          <w:sz w:val="22"/>
          <w:szCs w:val="22"/>
          <w:lang w:val="en-GB"/>
        </w:rPr>
        <w:t xml:space="preserve"> A flowchart to identify whether or not a line can be pigged may also work. </w:t>
      </w:r>
    </w:p>
    <w:p w:rsidR="009C6B1C" w:rsidRDefault="009C6B1C">
      <w:pPr>
        <w:rPr>
          <w:rFonts w:ascii="Arial" w:hAnsi="Arial" w:cs="Arial"/>
          <w:sz w:val="22"/>
          <w:szCs w:val="22"/>
          <w:lang w:val="en-GB"/>
        </w:rPr>
      </w:pPr>
    </w:p>
    <w:p w:rsidR="009C6B1C" w:rsidRDefault="009C6B1C">
      <w:pPr>
        <w:rPr>
          <w:rFonts w:ascii="Arial" w:hAnsi="Arial" w:cs="Arial"/>
          <w:sz w:val="22"/>
          <w:szCs w:val="22"/>
          <w:lang w:val="en-GB"/>
        </w:rPr>
      </w:pPr>
      <w:r>
        <w:rPr>
          <w:rFonts w:ascii="Arial" w:hAnsi="Arial" w:cs="Arial"/>
          <w:sz w:val="22"/>
          <w:szCs w:val="22"/>
          <w:lang w:val="en-GB"/>
        </w:rPr>
        <w:t>At a high level it would be necessary to identify and register non-piggable lines and generate a Written Scheme of Examination in line with an Asset Management Strategy.</w:t>
      </w:r>
    </w:p>
    <w:p w:rsidR="009C6B1C" w:rsidRDefault="009C6B1C">
      <w:pPr>
        <w:rPr>
          <w:rFonts w:ascii="Arial" w:hAnsi="Arial" w:cs="Arial"/>
          <w:sz w:val="22"/>
          <w:szCs w:val="22"/>
          <w:lang w:val="en-GB"/>
        </w:rPr>
      </w:pPr>
    </w:p>
    <w:p w:rsidR="009C6B1C" w:rsidRDefault="009C6B1C">
      <w:pPr>
        <w:rPr>
          <w:rFonts w:ascii="Arial" w:hAnsi="Arial" w:cs="Arial"/>
          <w:sz w:val="22"/>
          <w:szCs w:val="22"/>
          <w:lang w:val="en-GB"/>
        </w:rPr>
      </w:pPr>
      <w:r>
        <w:rPr>
          <w:rFonts w:ascii="Arial" w:hAnsi="Arial" w:cs="Arial"/>
          <w:sz w:val="22"/>
          <w:szCs w:val="22"/>
          <w:lang w:val="en-GB"/>
        </w:rPr>
        <w:t>A ‘state-of-the-art’ for non-piggable lines could use a questionnaire from members with answers collated. A shared-learning session could also work for this.</w:t>
      </w:r>
    </w:p>
    <w:p w:rsidR="009C6B1C" w:rsidRDefault="009C6B1C">
      <w:pPr>
        <w:rPr>
          <w:rFonts w:ascii="Arial" w:hAnsi="Arial" w:cs="Arial"/>
          <w:sz w:val="22"/>
          <w:szCs w:val="22"/>
          <w:lang w:val="en-GB"/>
        </w:rPr>
      </w:pPr>
    </w:p>
    <w:p w:rsidR="009C6B1C" w:rsidRDefault="009C6B1C">
      <w:pPr>
        <w:rPr>
          <w:rFonts w:ascii="Arial" w:hAnsi="Arial" w:cs="Arial"/>
          <w:sz w:val="22"/>
          <w:szCs w:val="22"/>
          <w:lang w:val="en-GB"/>
        </w:rPr>
      </w:pPr>
      <w:r>
        <w:rPr>
          <w:rFonts w:ascii="Arial" w:hAnsi="Arial" w:cs="Arial"/>
          <w:sz w:val="22"/>
          <w:szCs w:val="22"/>
          <w:lang w:val="en-GB"/>
        </w:rPr>
        <w:t>A method for qualitative risk screening if there are a lot of non-piggable sessions could also be included in any guidance.</w:t>
      </w:r>
    </w:p>
    <w:p w:rsidR="009C6B1C" w:rsidRDefault="009C6B1C">
      <w:pPr>
        <w:rPr>
          <w:rFonts w:ascii="Arial" w:hAnsi="Arial" w:cs="Arial"/>
          <w:sz w:val="22"/>
          <w:szCs w:val="22"/>
          <w:lang w:val="en-GB"/>
        </w:rPr>
      </w:pPr>
    </w:p>
    <w:tbl>
      <w:tblPr>
        <w:tblStyle w:val="TableGrid"/>
        <w:tblW w:w="0" w:type="auto"/>
        <w:tblLook w:val="04A0"/>
      </w:tblPr>
      <w:tblGrid>
        <w:gridCol w:w="2689"/>
        <w:gridCol w:w="6707"/>
      </w:tblGrid>
      <w:tr w:rsidR="009C6B1C">
        <w:tc>
          <w:tcPr>
            <w:tcW w:w="2689" w:type="dxa"/>
          </w:tcPr>
          <w:p w:rsidR="009C6B1C" w:rsidRDefault="009C6B1C">
            <w:pPr>
              <w:rPr>
                <w:rFonts w:ascii="Arial" w:hAnsi="Arial" w:cs="Arial"/>
                <w:sz w:val="22"/>
                <w:szCs w:val="22"/>
                <w:lang w:val="en-GB"/>
              </w:rPr>
            </w:pPr>
            <w:r>
              <w:rPr>
                <w:rFonts w:ascii="Arial" w:hAnsi="Arial" w:cs="Arial"/>
                <w:sz w:val="22"/>
                <w:szCs w:val="22"/>
                <w:lang w:val="en-GB"/>
              </w:rPr>
              <w:t>Deliverables / Actions</w:t>
            </w:r>
          </w:p>
        </w:tc>
        <w:tc>
          <w:tcPr>
            <w:tcW w:w="6707" w:type="dxa"/>
          </w:tcPr>
          <w:p w:rsidR="009C6B1C" w:rsidRDefault="00C56821">
            <w:pPr>
              <w:rPr>
                <w:rFonts w:ascii="Arial" w:hAnsi="Arial" w:cs="Arial"/>
                <w:sz w:val="22"/>
                <w:szCs w:val="22"/>
                <w:lang w:val="en-GB"/>
              </w:rPr>
            </w:pPr>
            <w:r>
              <w:rPr>
                <w:rFonts w:ascii="Arial" w:hAnsi="Arial" w:cs="Arial"/>
                <w:sz w:val="22"/>
                <w:szCs w:val="22"/>
                <w:lang w:val="en-GB"/>
              </w:rPr>
              <w:t>One or several good practice guides</w:t>
            </w:r>
          </w:p>
          <w:p w:rsidR="00C56821" w:rsidRDefault="00C56821">
            <w:pPr>
              <w:rPr>
                <w:rFonts w:ascii="Arial" w:hAnsi="Arial" w:cs="Arial"/>
                <w:sz w:val="22"/>
                <w:szCs w:val="22"/>
                <w:lang w:val="en-GB"/>
              </w:rPr>
            </w:pPr>
            <w:r>
              <w:rPr>
                <w:rFonts w:ascii="Arial" w:hAnsi="Arial" w:cs="Arial"/>
                <w:sz w:val="22"/>
                <w:szCs w:val="22"/>
                <w:lang w:val="en-GB"/>
              </w:rPr>
              <w:t>Questionnaire with collated results</w:t>
            </w:r>
          </w:p>
          <w:p w:rsidR="00C56821" w:rsidRDefault="00C56821">
            <w:pPr>
              <w:rPr>
                <w:rFonts w:ascii="Arial" w:hAnsi="Arial" w:cs="Arial"/>
                <w:sz w:val="22"/>
                <w:szCs w:val="22"/>
                <w:lang w:val="en-GB"/>
              </w:rPr>
            </w:pPr>
            <w:r>
              <w:rPr>
                <w:rFonts w:ascii="Arial" w:hAnsi="Arial" w:cs="Arial"/>
                <w:sz w:val="22"/>
                <w:szCs w:val="22"/>
                <w:lang w:val="en-GB"/>
              </w:rPr>
              <w:t>One-off state-of-the-art review</w:t>
            </w:r>
          </w:p>
          <w:p w:rsidR="00C56821" w:rsidRDefault="00C56821">
            <w:pPr>
              <w:rPr>
                <w:rFonts w:ascii="Arial" w:hAnsi="Arial" w:cs="Arial"/>
                <w:sz w:val="22"/>
                <w:szCs w:val="22"/>
                <w:lang w:val="en-GB"/>
              </w:rPr>
            </w:pPr>
            <w:r>
              <w:rPr>
                <w:rFonts w:ascii="Arial" w:hAnsi="Arial" w:cs="Arial"/>
                <w:sz w:val="22"/>
                <w:szCs w:val="22"/>
                <w:lang w:val="en-GB"/>
              </w:rPr>
              <w:t>Shared learning session</w:t>
            </w:r>
          </w:p>
        </w:tc>
      </w:tr>
      <w:tr w:rsidR="009C6B1C">
        <w:tc>
          <w:tcPr>
            <w:tcW w:w="2689" w:type="dxa"/>
          </w:tcPr>
          <w:p w:rsidR="009C6B1C" w:rsidRDefault="009C6B1C">
            <w:pPr>
              <w:rPr>
                <w:rFonts w:ascii="Arial" w:hAnsi="Arial" w:cs="Arial"/>
                <w:sz w:val="22"/>
                <w:szCs w:val="22"/>
                <w:lang w:val="en-GB"/>
              </w:rPr>
            </w:pPr>
            <w:r>
              <w:rPr>
                <w:rFonts w:ascii="Arial" w:hAnsi="Arial" w:cs="Arial"/>
                <w:sz w:val="22"/>
                <w:szCs w:val="22"/>
                <w:lang w:val="en-GB"/>
              </w:rPr>
              <w:t>Timescales</w:t>
            </w:r>
          </w:p>
        </w:tc>
        <w:tc>
          <w:tcPr>
            <w:tcW w:w="6707" w:type="dxa"/>
          </w:tcPr>
          <w:p w:rsidR="009C6B1C" w:rsidRDefault="00C56821">
            <w:pPr>
              <w:rPr>
                <w:rFonts w:ascii="Arial" w:hAnsi="Arial" w:cs="Arial"/>
                <w:sz w:val="22"/>
                <w:szCs w:val="22"/>
                <w:lang w:val="en-GB"/>
              </w:rPr>
            </w:pPr>
            <w:r>
              <w:rPr>
                <w:rFonts w:ascii="Arial" w:hAnsi="Arial" w:cs="Arial"/>
                <w:sz w:val="22"/>
                <w:szCs w:val="22"/>
                <w:lang w:val="en-GB"/>
              </w:rPr>
              <w:t>Questionnaire and shared learning – short</w:t>
            </w:r>
          </w:p>
          <w:p w:rsidR="00C56821" w:rsidRDefault="00C56821">
            <w:pPr>
              <w:rPr>
                <w:rFonts w:ascii="Arial" w:hAnsi="Arial" w:cs="Arial"/>
                <w:sz w:val="22"/>
                <w:szCs w:val="22"/>
                <w:lang w:val="en-GB"/>
              </w:rPr>
            </w:pPr>
            <w:r>
              <w:rPr>
                <w:rFonts w:ascii="Arial" w:hAnsi="Arial" w:cs="Arial"/>
                <w:sz w:val="22"/>
                <w:szCs w:val="22"/>
                <w:lang w:val="en-GB"/>
              </w:rPr>
              <w:t>State of the art review – medium</w:t>
            </w:r>
          </w:p>
          <w:p w:rsidR="00C56821" w:rsidRDefault="00C56821">
            <w:pPr>
              <w:rPr>
                <w:rFonts w:ascii="Arial" w:hAnsi="Arial" w:cs="Arial"/>
                <w:sz w:val="22"/>
                <w:szCs w:val="22"/>
                <w:lang w:val="en-GB"/>
              </w:rPr>
            </w:pPr>
            <w:r>
              <w:rPr>
                <w:rFonts w:ascii="Arial" w:hAnsi="Arial" w:cs="Arial"/>
                <w:sz w:val="22"/>
                <w:szCs w:val="22"/>
                <w:lang w:val="en-GB"/>
              </w:rPr>
              <w:t>Good practice guides – medium / long</w:t>
            </w:r>
          </w:p>
        </w:tc>
      </w:tr>
      <w:tr w:rsidR="009C6B1C">
        <w:tc>
          <w:tcPr>
            <w:tcW w:w="2689" w:type="dxa"/>
          </w:tcPr>
          <w:p w:rsidR="009C6B1C" w:rsidRDefault="009C6B1C">
            <w:pPr>
              <w:rPr>
                <w:rFonts w:ascii="Arial" w:hAnsi="Arial" w:cs="Arial"/>
                <w:sz w:val="22"/>
                <w:szCs w:val="22"/>
                <w:lang w:val="en-GB"/>
              </w:rPr>
            </w:pPr>
            <w:r>
              <w:rPr>
                <w:rFonts w:ascii="Arial" w:hAnsi="Arial" w:cs="Arial"/>
                <w:sz w:val="22"/>
                <w:szCs w:val="22"/>
                <w:lang w:val="en-GB"/>
              </w:rPr>
              <w:t>Member Input Required</w:t>
            </w:r>
          </w:p>
        </w:tc>
        <w:tc>
          <w:tcPr>
            <w:tcW w:w="6707" w:type="dxa"/>
          </w:tcPr>
          <w:p w:rsidR="009C6B1C" w:rsidRDefault="00C56821">
            <w:pPr>
              <w:rPr>
                <w:rFonts w:ascii="Arial" w:hAnsi="Arial" w:cs="Arial"/>
                <w:sz w:val="22"/>
                <w:szCs w:val="22"/>
                <w:lang w:val="en-GB"/>
              </w:rPr>
            </w:pPr>
            <w:r>
              <w:rPr>
                <w:rFonts w:ascii="Arial" w:hAnsi="Arial" w:cs="Arial"/>
                <w:sz w:val="22"/>
                <w:szCs w:val="22"/>
                <w:lang w:val="en-GB"/>
              </w:rPr>
              <w:t>Yes, for questionnaire</w:t>
            </w:r>
          </w:p>
          <w:p w:rsidR="00C56821" w:rsidRDefault="00C56821">
            <w:pPr>
              <w:rPr>
                <w:rFonts w:ascii="Arial" w:hAnsi="Arial" w:cs="Arial"/>
                <w:sz w:val="22"/>
                <w:szCs w:val="22"/>
                <w:lang w:val="en-GB"/>
              </w:rPr>
            </w:pPr>
            <w:r>
              <w:rPr>
                <w:rFonts w:ascii="Arial" w:hAnsi="Arial" w:cs="Arial"/>
                <w:sz w:val="22"/>
                <w:szCs w:val="22"/>
                <w:lang w:val="en-GB"/>
              </w:rPr>
              <w:t>Yes, for shared learning</w:t>
            </w:r>
          </w:p>
          <w:p w:rsidR="00C56821" w:rsidRDefault="00C56821">
            <w:pPr>
              <w:rPr>
                <w:rFonts w:ascii="Arial" w:hAnsi="Arial" w:cs="Arial"/>
                <w:sz w:val="22"/>
                <w:szCs w:val="22"/>
                <w:lang w:val="en-GB"/>
              </w:rPr>
            </w:pPr>
            <w:r>
              <w:rPr>
                <w:rFonts w:ascii="Arial" w:hAnsi="Arial" w:cs="Arial"/>
                <w:sz w:val="22"/>
                <w:szCs w:val="22"/>
                <w:lang w:val="en-GB"/>
              </w:rPr>
              <w:t>Yes, to steer the GPG development</w:t>
            </w:r>
          </w:p>
        </w:tc>
      </w:tr>
      <w:tr w:rsidR="009C6B1C">
        <w:tc>
          <w:tcPr>
            <w:tcW w:w="2689" w:type="dxa"/>
          </w:tcPr>
          <w:p w:rsidR="009C6B1C" w:rsidRDefault="009C6B1C">
            <w:pPr>
              <w:rPr>
                <w:rFonts w:ascii="Arial" w:hAnsi="Arial" w:cs="Arial"/>
                <w:sz w:val="22"/>
                <w:szCs w:val="22"/>
                <w:lang w:val="en-GB"/>
              </w:rPr>
            </w:pPr>
            <w:r>
              <w:rPr>
                <w:rFonts w:ascii="Arial" w:hAnsi="Arial" w:cs="Arial"/>
                <w:sz w:val="22"/>
                <w:szCs w:val="22"/>
                <w:lang w:val="en-GB"/>
              </w:rPr>
              <w:t>External resources</w:t>
            </w:r>
          </w:p>
        </w:tc>
        <w:tc>
          <w:tcPr>
            <w:tcW w:w="6707" w:type="dxa"/>
          </w:tcPr>
          <w:p w:rsidR="009C6B1C" w:rsidRDefault="009C6B1C">
            <w:pPr>
              <w:rPr>
                <w:rFonts w:ascii="Arial" w:hAnsi="Arial" w:cs="Arial"/>
                <w:sz w:val="22"/>
                <w:szCs w:val="22"/>
                <w:lang w:val="en-GB"/>
              </w:rPr>
            </w:pPr>
            <w:r>
              <w:rPr>
                <w:rFonts w:ascii="Arial" w:hAnsi="Arial" w:cs="Arial"/>
                <w:sz w:val="22"/>
                <w:szCs w:val="22"/>
                <w:lang w:val="en-GB"/>
              </w:rPr>
              <w:t xml:space="preserve">Yes – an </w:t>
            </w:r>
            <w:r w:rsidR="00C56821">
              <w:rPr>
                <w:rFonts w:ascii="Arial" w:hAnsi="Arial" w:cs="Arial"/>
                <w:sz w:val="22"/>
                <w:szCs w:val="22"/>
                <w:lang w:val="en-GB"/>
              </w:rPr>
              <w:t>asset management expert(?) to do the leg work for the GPG.</w:t>
            </w:r>
          </w:p>
        </w:tc>
      </w:tr>
      <w:tr w:rsidR="009C6B1C">
        <w:tc>
          <w:tcPr>
            <w:tcW w:w="2689" w:type="dxa"/>
          </w:tcPr>
          <w:p w:rsidR="009C6B1C" w:rsidRDefault="009C6B1C">
            <w:pPr>
              <w:rPr>
                <w:rFonts w:ascii="Arial" w:hAnsi="Arial" w:cs="Arial"/>
                <w:sz w:val="22"/>
                <w:szCs w:val="22"/>
                <w:lang w:val="en-GB"/>
              </w:rPr>
            </w:pPr>
            <w:r>
              <w:rPr>
                <w:rFonts w:ascii="Arial" w:hAnsi="Arial" w:cs="Arial"/>
                <w:sz w:val="22"/>
                <w:szCs w:val="22"/>
                <w:lang w:val="en-GB"/>
              </w:rPr>
              <w:t>Risks / Issues</w:t>
            </w:r>
          </w:p>
        </w:tc>
        <w:tc>
          <w:tcPr>
            <w:tcW w:w="6707" w:type="dxa"/>
          </w:tcPr>
          <w:p w:rsidR="009C6B1C" w:rsidRDefault="009C6B1C">
            <w:pPr>
              <w:rPr>
                <w:rFonts w:ascii="Arial" w:hAnsi="Arial" w:cs="Arial"/>
                <w:sz w:val="22"/>
                <w:szCs w:val="22"/>
                <w:lang w:val="en-GB"/>
              </w:rPr>
            </w:pPr>
            <w:r>
              <w:rPr>
                <w:rFonts w:ascii="Arial" w:hAnsi="Arial" w:cs="Arial"/>
                <w:sz w:val="22"/>
                <w:szCs w:val="22"/>
                <w:lang w:val="en-GB"/>
              </w:rPr>
              <w:t>If not tightly bounded this could get way out of control.</w:t>
            </w:r>
          </w:p>
          <w:p w:rsidR="009C6B1C" w:rsidRDefault="009C6B1C">
            <w:pPr>
              <w:rPr>
                <w:rFonts w:ascii="Arial" w:hAnsi="Arial" w:cs="Arial"/>
                <w:sz w:val="22"/>
                <w:szCs w:val="22"/>
                <w:lang w:val="en-GB"/>
              </w:rPr>
            </w:pPr>
            <w:r>
              <w:rPr>
                <w:rFonts w:ascii="Arial" w:hAnsi="Arial" w:cs="Arial"/>
                <w:sz w:val="22"/>
                <w:szCs w:val="22"/>
                <w:lang w:val="en-GB"/>
              </w:rPr>
              <w:t>This would need to be broken down into manageable chunks and managed with a project outlook.</w:t>
            </w:r>
          </w:p>
        </w:tc>
      </w:tr>
    </w:tbl>
    <w:p w:rsidR="009C6B1C" w:rsidRDefault="009C6B1C">
      <w:pPr>
        <w:rPr>
          <w:rFonts w:ascii="Arial" w:hAnsi="Arial" w:cs="Arial"/>
          <w:sz w:val="22"/>
          <w:szCs w:val="22"/>
          <w:lang w:val="en-GB"/>
        </w:rPr>
      </w:pPr>
    </w:p>
    <w:p w:rsidR="00C56821" w:rsidRDefault="00C56821">
      <w:pPr>
        <w:rPr>
          <w:rFonts w:ascii="Arial" w:hAnsi="Arial" w:cs="Arial"/>
          <w:sz w:val="22"/>
          <w:szCs w:val="22"/>
          <w:lang w:val="en-GB"/>
        </w:rPr>
      </w:pPr>
    </w:p>
    <w:p w:rsidR="00C56821" w:rsidRPr="00440189" w:rsidRDefault="00C56821">
      <w:pPr>
        <w:rPr>
          <w:rFonts w:ascii="Arial" w:hAnsi="Arial" w:cs="Arial"/>
          <w:sz w:val="22"/>
          <w:szCs w:val="22"/>
          <w:u w:val="single"/>
          <w:lang w:val="en-GB"/>
        </w:rPr>
      </w:pPr>
      <w:r w:rsidRPr="00440189">
        <w:rPr>
          <w:rFonts w:ascii="Arial" w:hAnsi="Arial" w:cs="Arial"/>
          <w:sz w:val="22"/>
          <w:szCs w:val="22"/>
          <w:u w:val="single"/>
          <w:lang w:val="en-GB"/>
        </w:rPr>
        <w:t>End of Life</w:t>
      </w:r>
    </w:p>
    <w:p w:rsidR="00C56821" w:rsidRDefault="00C56821">
      <w:pPr>
        <w:rPr>
          <w:rFonts w:ascii="Arial" w:hAnsi="Arial" w:cs="Arial"/>
          <w:sz w:val="22"/>
          <w:szCs w:val="22"/>
          <w:lang w:val="en-GB"/>
        </w:rPr>
      </w:pPr>
    </w:p>
    <w:p w:rsidR="00C56821" w:rsidRDefault="00C56821">
      <w:pPr>
        <w:rPr>
          <w:rFonts w:ascii="Arial" w:hAnsi="Arial" w:cs="Arial"/>
          <w:sz w:val="22"/>
          <w:szCs w:val="22"/>
          <w:lang w:val="en-GB"/>
        </w:rPr>
      </w:pPr>
      <w:r>
        <w:rPr>
          <w:rFonts w:ascii="Arial" w:hAnsi="Arial" w:cs="Arial"/>
          <w:sz w:val="22"/>
          <w:szCs w:val="22"/>
          <w:lang w:val="en-GB"/>
        </w:rPr>
        <w:t>Discussion about ‘what is the end of life?’ and ‘what validation can be done to extend life?</w:t>
      </w:r>
      <w:r w:rsidR="00440189">
        <w:rPr>
          <w:rFonts w:ascii="Arial" w:hAnsi="Arial" w:cs="Arial"/>
          <w:sz w:val="22"/>
          <w:szCs w:val="22"/>
          <w:lang w:val="en-GB"/>
        </w:rPr>
        <w:t xml:space="preserve"> The HSE have an ‘aging plant’ note (KP4?) – we could try and relate this to pipelines.</w:t>
      </w:r>
    </w:p>
    <w:p w:rsidR="00C56821" w:rsidRDefault="00C56821">
      <w:pPr>
        <w:rPr>
          <w:rFonts w:ascii="Arial" w:hAnsi="Arial" w:cs="Arial"/>
          <w:sz w:val="22"/>
          <w:szCs w:val="22"/>
          <w:lang w:val="en-GB"/>
        </w:rPr>
      </w:pPr>
      <w:r>
        <w:rPr>
          <w:rFonts w:ascii="Arial" w:hAnsi="Arial" w:cs="Arial"/>
          <w:sz w:val="22"/>
          <w:szCs w:val="22"/>
          <w:lang w:val="en-GB"/>
        </w:rPr>
        <w:t>It was noted that National Grid and PIE have done some work aligned with the 4-yearly reaffirmation in TD1.</w:t>
      </w:r>
    </w:p>
    <w:p w:rsidR="00440189" w:rsidRDefault="00440189">
      <w:pPr>
        <w:rPr>
          <w:rFonts w:ascii="Arial" w:hAnsi="Arial" w:cs="Arial"/>
          <w:sz w:val="22"/>
          <w:szCs w:val="22"/>
          <w:lang w:val="en-GB"/>
        </w:rPr>
      </w:pPr>
      <w:r>
        <w:rPr>
          <w:rFonts w:ascii="Arial" w:hAnsi="Arial" w:cs="Arial"/>
          <w:sz w:val="22"/>
          <w:szCs w:val="22"/>
          <w:lang w:val="en-GB"/>
        </w:rPr>
        <w:t>We could collate what time-based degradation mechanisms should be considered. How can these be determined on the time curve. How can the remaining life be plotted.</w:t>
      </w:r>
    </w:p>
    <w:p w:rsidR="00440189" w:rsidRDefault="00440189">
      <w:pPr>
        <w:rPr>
          <w:rFonts w:ascii="Arial" w:hAnsi="Arial" w:cs="Arial"/>
          <w:sz w:val="22"/>
          <w:szCs w:val="22"/>
          <w:lang w:val="en-GB"/>
        </w:rPr>
      </w:pPr>
      <w:r>
        <w:rPr>
          <w:rFonts w:ascii="Arial" w:hAnsi="Arial" w:cs="Arial"/>
          <w:sz w:val="22"/>
          <w:szCs w:val="22"/>
          <w:lang w:val="en-GB"/>
        </w:rPr>
        <w:t>Could result in a Guidance document, but how would this be documented and presented?</w:t>
      </w:r>
    </w:p>
    <w:p w:rsidR="00440189" w:rsidRDefault="00440189">
      <w:pPr>
        <w:rPr>
          <w:rFonts w:ascii="Arial" w:hAnsi="Arial" w:cs="Arial"/>
          <w:sz w:val="22"/>
          <w:szCs w:val="22"/>
          <w:lang w:val="en-GB"/>
        </w:rPr>
      </w:pPr>
      <w:r>
        <w:rPr>
          <w:rFonts w:ascii="Arial" w:hAnsi="Arial" w:cs="Arial"/>
          <w:sz w:val="22"/>
          <w:szCs w:val="22"/>
          <w:lang w:val="en-GB"/>
        </w:rPr>
        <w:t>Also, what can be done to extend the life?</w:t>
      </w:r>
    </w:p>
    <w:p w:rsidR="00440189" w:rsidRDefault="00440189">
      <w:pPr>
        <w:rPr>
          <w:rFonts w:ascii="Arial" w:hAnsi="Arial" w:cs="Arial"/>
          <w:sz w:val="22"/>
          <w:szCs w:val="22"/>
          <w:lang w:val="en-GB"/>
        </w:rPr>
      </w:pPr>
    </w:p>
    <w:tbl>
      <w:tblPr>
        <w:tblStyle w:val="TableGrid"/>
        <w:tblW w:w="0" w:type="auto"/>
        <w:tblLook w:val="04A0"/>
      </w:tblPr>
      <w:tblGrid>
        <w:gridCol w:w="2689"/>
        <w:gridCol w:w="6707"/>
      </w:tblGrid>
      <w:tr w:rsidR="00440189">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Deliverables / Actions</w:t>
            </w:r>
          </w:p>
        </w:tc>
        <w:tc>
          <w:tcPr>
            <w:tcW w:w="6707" w:type="dxa"/>
          </w:tcPr>
          <w:p w:rsidR="00440189" w:rsidRDefault="00440189" w:rsidP="00440189">
            <w:pPr>
              <w:rPr>
                <w:rFonts w:ascii="Arial" w:hAnsi="Arial" w:cs="Arial"/>
                <w:sz w:val="22"/>
                <w:szCs w:val="22"/>
                <w:lang w:val="en-GB"/>
              </w:rPr>
            </w:pPr>
            <w:r>
              <w:rPr>
                <w:rFonts w:ascii="Arial" w:hAnsi="Arial" w:cs="Arial"/>
                <w:sz w:val="22"/>
                <w:szCs w:val="22"/>
                <w:lang w:val="en-GB"/>
              </w:rPr>
              <w:t>Good practice guide</w:t>
            </w:r>
          </w:p>
        </w:tc>
      </w:tr>
      <w:tr w:rsidR="00440189">
        <w:trPr>
          <w:trHeight w:val="71"/>
        </w:trPr>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Timescales</w:t>
            </w:r>
          </w:p>
        </w:tc>
        <w:tc>
          <w:tcPr>
            <w:tcW w:w="6707" w:type="dxa"/>
          </w:tcPr>
          <w:p w:rsidR="00440189" w:rsidRDefault="00440189" w:rsidP="00440189">
            <w:pPr>
              <w:rPr>
                <w:rFonts w:ascii="Arial" w:hAnsi="Arial" w:cs="Arial"/>
                <w:sz w:val="22"/>
                <w:szCs w:val="22"/>
                <w:lang w:val="en-GB"/>
              </w:rPr>
            </w:pPr>
            <w:r>
              <w:rPr>
                <w:rFonts w:ascii="Arial" w:hAnsi="Arial" w:cs="Arial"/>
                <w:sz w:val="22"/>
                <w:szCs w:val="22"/>
                <w:lang w:val="en-GB"/>
              </w:rPr>
              <w:t>Good practice guide - long</w:t>
            </w:r>
          </w:p>
        </w:tc>
      </w:tr>
      <w:tr w:rsidR="00440189">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Member Input Required</w:t>
            </w:r>
          </w:p>
        </w:tc>
        <w:tc>
          <w:tcPr>
            <w:tcW w:w="6707" w:type="dxa"/>
          </w:tcPr>
          <w:p w:rsidR="00440189" w:rsidRDefault="00440189" w:rsidP="00304A38">
            <w:pPr>
              <w:rPr>
                <w:rFonts w:ascii="Arial" w:hAnsi="Arial" w:cs="Arial"/>
                <w:sz w:val="22"/>
                <w:szCs w:val="22"/>
                <w:lang w:val="en-GB"/>
              </w:rPr>
            </w:pPr>
            <w:r>
              <w:rPr>
                <w:rFonts w:ascii="Arial" w:hAnsi="Arial" w:cs="Arial"/>
                <w:sz w:val="22"/>
                <w:szCs w:val="22"/>
                <w:lang w:val="en-GB"/>
              </w:rPr>
              <w:t>Yes, to steer the GPG development</w:t>
            </w:r>
          </w:p>
        </w:tc>
      </w:tr>
      <w:tr w:rsidR="00440189">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External resources</w:t>
            </w:r>
          </w:p>
        </w:tc>
        <w:tc>
          <w:tcPr>
            <w:tcW w:w="6707" w:type="dxa"/>
          </w:tcPr>
          <w:p w:rsidR="00440189" w:rsidRDefault="00440189" w:rsidP="00440189">
            <w:pPr>
              <w:rPr>
                <w:rFonts w:ascii="Arial" w:hAnsi="Arial" w:cs="Arial"/>
                <w:sz w:val="22"/>
                <w:szCs w:val="22"/>
                <w:lang w:val="en-GB"/>
              </w:rPr>
            </w:pPr>
            <w:r>
              <w:rPr>
                <w:rFonts w:ascii="Arial" w:hAnsi="Arial" w:cs="Arial"/>
                <w:sz w:val="22"/>
                <w:szCs w:val="22"/>
                <w:lang w:val="en-GB"/>
              </w:rPr>
              <w:t>Yes – mechanical engineer to do the leg work for the GPG.</w:t>
            </w:r>
          </w:p>
        </w:tc>
      </w:tr>
      <w:tr w:rsidR="00440189">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Risks / Issues</w:t>
            </w:r>
          </w:p>
        </w:tc>
        <w:tc>
          <w:tcPr>
            <w:tcW w:w="6707" w:type="dxa"/>
          </w:tcPr>
          <w:p w:rsidR="00440189" w:rsidRDefault="00440189" w:rsidP="00304A38">
            <w:pPr>
              <w:rPr>
                <w:rFonts w:ascii="Arial" w:hAnsi="Arial" w:cs="Arial"/>
                <w:sz w:val="22"/>
                <w:szCs w:val="22"/>
                <w:lang w:val="en-GB"/>
              </w:rPr>
            </w:pPr>
            <w:r>
              <w:rPr>
                <w:rFonts w:ascii="Arial" w:hAnsi="Arial" w:cs="Arial"/>
                <w:sz w:val="22"/>
                <w:szCs w:val="22"/>
                <w:lang w:val="en-GB"/>
              </w:rPr>
              <w:t>Need to control scope. Need to ensure all fluids are covered in any guidance.</w:t>
            </w:r>
          </w:p>
        </w:tc>
      </w:tr>
    </w:tbl>
    <w:p w:rsidR="00440189" w:rsidRDefault="00440189">
      <w:pPr>
        <w:rPr>
          <w:rFonts w:ascii="Arial" w:hAnsi="Arial" w:cs="Arial"/>
          <w:sz w:val="22"/>
          <w:szCs w:val="22"/>
          <w:lang w:val="en-GB"/>
        </w:rPr>
      </w:pPr>
    </w:p>
    <w:p w:rsidR="00440189" w:rsidRDefault="00440189">
      <w:pPr>
        <w:rPr>
          <w:rFonts w:ascii="Arial" w:hAnsi="Arial" w:cs="Arial"/>
          <w:sz w:val="22"/>
          <w:szCs w:val="22"/>
          <w:lang w:val="en-GB"/>
        </w:rPr>
      </w:pPr>
    </w:p>
    <w:p w:rsidR="00440189" w:rsidRPr="00440189" w:rsidRDefault="00440189">
      <w:pPr>
        <w:rPr>
          <w:rFonts w:ascii="Arial" w:hAnsi="Arial" w:cs="Arial"/>
          <w:sz w:val="22"/>
          <w:szCs w:val="22"/>
          <w:u w:val="single"/>
          <w:lang w:val="en-GB"/>
        </w:rPr>
      </w:pPr>
      <w:r w:rsidRPr="00440189">
        <w:rPr>
          <w:rFonts w:ascii="Arial" w:hAnsi="Arial" w:cs="Arial"/>
          <w:sz w:val="22"/>
          <w:szCs w:val="22"/>
          <w:u w:val="single"/>
          <w:lang w:val="en-GB"/>
        </w:rPr>
        <w:t>Repairs</w:t>
      </w:r>
    </w:p>
    <w:p w:rsidR="00440189" w:rsidRDefault="00440189">
      <w:pPr>
        <w:rPr>
          <w:rFonts w:ascii="Arial" w:hAnsi="Arial" w:cs="Arial"/>
          <w:sz w:val="22"/>
          <w:szCs w:val="22"/>
          <w:lang w:val="en-GB"/>
        </w:rPr>
      </w:pPr>
    </w:p>
    <w:p w:rsidR="00440189" w:rsidRDefault="00440189">
      <w:pPr>
        <w:rPr>
          <w:rFonts w:ascii="Arial" w:hAnsi="Arial" w:cs="Arial"/>
          <w:sz w:val="22"/>
          <w:szCs w:val="22"/>
          <w:lang w:val="en-GB"/>
        </w:rPr>
      </w:pPr>
      <w:r>
        <w:rPr>
          <w:rFonts w:ascii="Arial" w:hAnsi="Arial" w:cs="Arial"/>
          <w:sz w:val="22"/>
          <w:szCs w:val="22"/>
          <w:lang w:val="en-GB"/>
        </w:rPr>
        <w:t>Assessment of new repair techniques – how do different companies do it? Update and expand what is already in PDAM?</w:t>
      </w:r>
    </w:p>
    <w:p w:rsidR="00440189" w:rsidRDefault="00440189">
      <w:pPr>
        <w:rPr>
          <w:rFonts w:ascii="Arial" w:hAnsi="Arial" w:cs="Arial"/>
          <w:sz w:val="22"/>
          <w:szCs w:val="22"/>
          <w:lang w:val="en-GB"/>
        </w:rPr>
      </w:pPr>
      <w:r>
        <w:rPr>
          <w:rFonts w:ascii="Arial" w:hAnsi="Arial" w:cs="Arial"/>
          <w:sz w:val="22"/>
          <w:szCs w:val="22"/>
          <w:lang w:val="en-GB"/>
        </w:rPr>
        <w:t>State-of-the-art review with operator experience and a list of pros and cons e.g. where can it be well applied, where will it struggle?</w:t>
      </w:r>
    </w:p>
    <w:p w:rsidR="00440189" w:rsidRDefault="00440189">
      <w:pPr>
        <w:rPr>
          <w:rFonts w:ascii="Arial" w:hAnsi="Arial" w:cs="Arial"/>
          <w:sz w:val="22"/>
          <w:szCs w:val="22"/>
          <w:lang w:val="en-GB"/>
        </w:rPr>
      </w:pPr>
      <w:r>
        <w:rPr>
          <w:rFonts w:ascii="Arial" w:hAnsi="Arial" w:cs="Arial"/>
          <w:sz w:val="22"/>
          <w:szCs w:val="22"/>
          <w:lang w:val="en-GB"/>
        </w:rPr>
        <w:t>HSL may have some useful experience.</w:t>
      </w:r>
    </w:p>
    <w:p w:rsidR="00440189" w:rsidRDefault="00440189">
      <w:pPr>
        <w:rPr>
          <w:rFonts w:ascii="Arial" w:hAnsi="Arial" w:cs="Arial"/>
          <w:sz w:val="22"/>
          <w:szCs w:val="22"/>
          <w:lang w:val="en-GB"/>
        </w:rPr>
      </w:pPr>
    </w:p>
    <w:tbl>
      <w:tblPr>
        <w:tblStyle w:val="TableGrid"/>
        <w:tblW w:w="0" w:type="auto"/>
        <w:tblLook w:val="04A0"/>
      </w:tblPr>
      <w:tblGrid>
        <w:gridCol w:w="2689"/>
        <w:gridCol w:w="6707"/>
      </w:tblGrid>
      <w:tr w:rsidR="00440189">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Deliverables / Actions</w:t>
            </w:r>
          </w:p>
        </w:tc>
        <w:tc>
          <w:tcPr>
            <w:tcW w:w="6707" w:type="dxa"/>
          </w:tcPr>
          <w:p w:rsidR="00440189" w:rsidRDefault="00440189" w:rsidP="00304A38">
            <w:pPr>
              <w:rPr>
                <w:rFonts w:ascii="Arial" w:hAnsi="Arial" w:cs="Arial"/>
                <w:sz w:val="22"/>
                <w:szCs w:val="22"/>
                <w:lang w:val="en-GB"/>
              </w:rPr>
            </w:pPr>
            <w:r>
              <w:rPr>
                <w:rFonts w:ascii="Arial" w:hAnsi="Arial" w:cs="Arial"/>
                <w:sz w:val="22"/>
                <w:szCs w:val="22"/>
                <w:lang w:val="en-GB"/>
              </w:rPr>
              <w:t>Technical Note</w:t>
            </w:r>
          </w:p>
        </w:tc>
      </w:tr>
      <w:tr w:rsidR="00440189">
        <w:trPr>
          <w:trHeight w:val="71"/>
        </w:trPr>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Timescales</w:t>
            </w:r>
          </w:p>
        </w:tc>
        <w:tc>
          <w:tcPr>
            <w:tcW w:w="6707" w:type="dxa"/>
          </w:tcPr>
          <w:p w:rsidR="00440189" w:rsidRDefault="00440189" w:rsidP="00304A38">
            <w:pPr>
              <w:rPr>
                <w:rFonts w:ascii="Arial" w:hAnsi="Arial" w:cs="Arial"/>
                <w:sz w:val="22"/>
                <w:szCs w:val="22"/>
                <w:lang w:val="en-GB"/>
              </w:rPr>
            </w:pPr>
            <w:r>
              <w:rPr>
                <w:rFonts w:ascii="Arial" w:hAnsi="Arial" w:cs="Arial"/>
                <w:sz w:val="22"/>
                <w:szCs w:val="22"/>
                <w:lang w:val="en-GB"/>
              </w:rPr>
              <w:t>Medium</w:t>
            </w:r>
          </w:p>
        </w:tc>
      </w:tr>
      <w:tr w:rsidR="00440189">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Member Input Required</w:t>
            </w:r>
          </w:p>
        </w:tc>
        <w:tc>
          <w:tcPr>
            <w:tcW w:w="6707" w:type="dxa"/>
          </w:tcPr>
          <w:p w:rsidR="00440189" w:rsidRDefault="00440189" w:rsidP="00440189">
            <w:pPr>
              <w:rPr>
                <w:rFonts w:ascii="Arial" w:hAnsi="Arial" w:cs="Arial"/>
                <w:sz w:val="22"/>
                <w:szCs w:val="22"/>
                <w:lang w:val="en-GB"/>
              </w:rPr>
            </w:pPr>
            <w:r>
              <w:rPr>
                <w:rFonts w:ascii="Arial" w:hAnsi="Arial" w:cs="Arial"/>
                <w:sz w:val="22"/>
                <w:szCs w:val="22"/>
                <w:lang w:val="en-GB"/>
              </w:rPr>
              <w:t>Yes, for questionnaire and collation of responses</w:t>
            </w:r>
          </w:p>
        </w:tc>
      </w:tr>
      <w:tr w:rsidR="00440189">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External resources</w:t>
            </w:r>
          </w:p>
        </w:tc>
        <w:tc>
          <w:tcPr>
            <w:tcW w:w="6707" w:type="dxa"/>
          </w:tcPr>
          <w:p w:rsidR="00440189" w:rsidRDefault="00440189" w:rsidP="00440189">
            <w:pPr>
              <w:rPr>
                <w:rFonts w:ascii="Arial" w:hAnsi="Arial" w:cs="Arial"/>
                <w:sz w:val="22"/>
                <w:szCs w:val="22"/>
                <w:lang w:val="en-GB"/>
              </w:rPr>
            </w:pPr>
            <w:r>
              <w:rPr>
                <w:rFonts w:ascii="Arial" w:hAnsi="Arial" w:cs="Arial"/>
                <w:sz w:val="22"/>
                <w:szCs w:val="22"/>
                <w:lang w:val="en-GB"/>
              </w:rPr>
              <w:t>Yes – secretariat, possible link to HSL.</w:t>
            </w:r>
          </w:p>
        </w:tc>
      </w:tr>
      <w:tr w:rsidR="00440189">
        <w:tc>
          <w:tcPr>
            <w:tcW w:w="2689" w:type="dxa"/>
          </w:tcPr>
          <w:p w:rsidR="00440189" w:rsidRDefault="00440189" w:rsidP="00304A38">
            <w:pPr>
              <w:rPr>
                <w:rFonts w:ascii="Arial" w:hAnsi="Arial" w:cs="Arial"/>
                <w:sz w:val="22"/>
                <w:szCs w:val="22"/>
                <w:lang w:val="en-GB"/>
              </w:rPr>
            </w:pPr>
            <w:r>
              <w:rPr>
                <w:rFonts w:ascii="Arial" w:hAnsi="Arial" w:cs="Arial"/>
                <w:sz w:val="22"/>
                <w:szCs w:val="22"/>
                <w:lang w:val="en-GB"/>
              </w:rPr>
              <w:t>Risks / Issues</w:t>
            </w:r>
          </w:p>
        </w:tc>
        <w:tc>
          <w:tcPr>
            <w:tcW w:w="6707" w:type="dxa"/>
          </w:tcPr>
          <w:p w:rsidR="00440189" w:rsidRDefault="00440189" w:rsidP="00304A38">
            <w:pPr>
              <w:rPr>
                <w:rFonts w:ascii="Arial" w:hAnsi="Arial" w:cs="Arial"/>
                <w:sz w:val="22"/>
                <w:szCs w:val="22"/>
                <w:lang w:val="en-GB"/>
              </w:rPr>
            </w:pPr>
            <w:r>
              <w:rPr>
                <w:rFonts w:ascii="Arial" w:hAnsi="Arial" w:cs="Arial"/>
                <w:sz w:val="22"/>
                <w:szCs w:val="22"/>
                <w:lang w:val="en-GB"/>
              </w:rPr>
              <w:t>Don’t want to ‘endorse’ or get into any Commercial trouble</w:t>
            </w:r>
            <w:r w:rsidR="002B35E2">
              <w:rPr>
                <w:rFonts w:ascii="Arial" w:hAnsi="Arial" w:cs="Arial"/>
                <w:sz w:val="22"/>
                <w:szCs w:val="22"/>
                <w:lang w:val="en-GB"/>
              </w:rPr>
              <w:t>.</w:t>
            </w:r>
          </w:p>
        </w:tc>
      </w:tr>
    </w:tbl>
    <w:p w:rsidR="00440189" w:rsidRDefault="00440189">
      <w:pPr>
        <w:rPr>
          <w:rFonts w:ascii="Arial" w:hAnsi="Arial" w:cs="Arial"/>
          <w:sz w:val="22"/>
          <w:szCs w:val="22"/>
          <w:lang w:val="en-GB"/>
        </w:rPr>
      </w:pPr>
    </w:p>
    <w:p w:rsidR="00440189" w:rsidRDefault="00440189">
      <w:pPr>
        <w:rPr>
          <w:rFonts w:ascii="Arial" w:hAnsi="Arial" w:cs="Arial"/>
          <w:sz w:val="22"/>
          <w:szCs w:val="22"/>
          <w:lang w:val="en-GB"/>
        </w:rPr>
      </w:pPr>
    </w:p>
    <w:p w:rsidR="00440189" w:rsidRDefault="00440189">
      <w:pPr>
        <w:rPr>
          <w:rFonts w:ascii="Arial" w:hAnsi="Arial" w:cs="Arial"/>
          <w:sz w:val="22"/>
          <w:szCs w:val="22"/>
          <w:lang w:val="en-GB"/>
        </w:rPr>
      </w:pPr>
    </w:p>
    <w:p w:rsidR="002B35E2" w:rsidRPr="002B35E2" w:rsidRDefault="002B35E2">
      <w:pPr>
        <w:rPr>
          <w:rFonts w:ascii="Arial" w:hAnsi="Arial" w:cs="Arial"/>
          <w:sz w:val="22"/>
          <w:szCs w:val="22"/>
          <w:u w:val="single"/>
          <w:lang w:val="en-GB"/>
        </w:rPr>
      </w:pPr>
      <w:r w:rsidRPr="002B35E2">
        <w:rPr>
          <w:rFonts w:ascii="Arial" w:hAnsi="Arial" w:cs="Arial"/>
          <w:sz w:val="22"/>
          <w:szCs w:val="22"/>
          <w:u w:val="single"/>
          <w:lang w:val="en-GB"/>
        </w:rPr>
        <w:t>Post session musings from me</w:t>
      </w:r>
    </w:p>
    <w:p w:rsidR="002B35E2" w:rsidRDefault="002B35E2">
      <w:pPr>
        <w:rPr>
          <w:rFonts w:ascii="Arial" w:hAnsi="Arial" w:cs="Arial"/>
          <w:sz w:val="22"/>
          <w:szCs w:val="22"/>
          <w:lang w:val="en-GB"/>
        </w:rPr>
      </w:pPr>
    </w:p>
    <w:p w:rsidR="002B35E2" w:rsidRPr="009A3E64" w:rsidRDefault="002B35E2">
      <w:pPr>
        <w:rPr>
          <w:rFonts w:ascii="Arial" w:hAnsi="Arial" w:cs="Arial"/>
          <w:sz w:val="22"/>
          <w:szCs w:val="22"/>
          <w:lang w:val="en-GB"/>
        </w:rPr>
      </w:pPr>
      <w:r>
        <w:rPr>
          <w:rFonts w:ascii="Arial" w:hAnsi="Arial" w:cs="Arial"/>
          <w:sz w:val="22"/>
          <w:szCs w:val="22"/>
          <w:lang w:val="en-GB"/>
        </w:rPr>
        <w:t>All of these items are part of an asset management lifecycle. There are other elements in this lifecycle which we may also wish to look at. The PIWG needs to determine what we can use from existing work and which elements we would wish to target as priorities for further work. I think we need a good understanding of the lifecycle before we launch into trying to define these pieces of work as this understanding will help us to control the scope of each element. We also need to draw on any external resources such as EEMUA / PRCI etc. who also do work in this area. An initial job would be to see what standards / documents are already available in the public domain which we could use as a basis for discussion.</w:t>
      </w:r>
      <w:bookmarkStart w:id="0" w:name="_GoBack"/>
      <w:bookmarkEnd w:id="0"/>
      <w:r>
        <w:rPr>
          <w:rFonts w:ascii="Arial" w:hAnsi="Arial" w:cs="Arial"/>
          <w:sz w:val="22"/>
          <w:szCs w:val="22"/>
          <w:lang w:val="en-GB"/>
        </w:rPr>
        <w:t xml:space="preserve"> </w:t>
      </w:r>
    </w:p>
    <w:sectPr w:rsidR="002B35E2" w:rsidRPr="009A3E64" w:rsidSect="006D1C7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08"/>
  <w:hyphenationZone w:val="425"/>
  <w:characterSpacingControl w:val="doNotCompress"/>
  <w:compat/>
  <w:rsids>
    <w:rsidRoot w:val="009A3E64"/>
    <w:rsid w:val="00063470"/>
    <w:rsid w:val="00152343"/>
    <w:rsid w:val="001E659C"/>
    <w:rsid w:val="002B35E2"/>
    <w:rsid w:val="003B4FD6"/>
    <w:rsid w:val="00437472"/>
    <w:rsid w:val="00440189"/>
    <w:rsid w:val="005A0D24"/>
    <w:rsid w:val="006C6605"/>
    <w:rsid w:val="006D1C77"/>
    <w:rsid w:val="009A3E64"/>
    <w:rsid w:val="009C6B1C"/>
    <w:rsid w:val="00C56821"/>
  </w:rsids>
  <m:mathPr>
    <m:mathFont m:val="Franklin Gothic Medium"/>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C77"/>
    <w:rPr>
      <w:sz w:val="24"/>
      <w:szCs w:val="24"/>
      <w:lang w:val="nl-NL" w:eastAsia="nl-N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9C6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3150</Characters>
  <Application>Microsoft Word 12.0.0</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SABIC</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Pailor, Graeme</dc:creator>
  <cp:keywords/>
  <dc:description/>
  <cp:lastModifiedBy>Nikki Barker</cp:lastModifiedBy>
  <cp:revision>2</cp:revision>
  <dcterms:created xsi:type="dcterms:W3CDTF">2015-03-03T14:30:00Z</dcterms:created>
  <dcterms:modified xsi:type="dcterms:W3CDTF">2015-03-03T14:30:00Z</dcterms:modified>
</cp:coreProperties>
</file>