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80FB1" w14:textId="0B5C7551" w:rsidR="00380FCC" w:rsidRDefault="00504DC7">
      <w:r>
        <w:t xml:space="preserve">Good Practice Guide Governance Summary – Managing Pipeline </w:t>
      </w:r>
      <w:r w:rsidR="00B84BBA">
        <w:t>Sleeves</w:t>
      </w:r>
    </w:p>
    <w:tbl>
      <w:tblPr>
        <w:tblStyle w:val="TableGrid"/>
        <w:tblW w:w="0" w:type="auto"/>
        <w:tblLook w:val="04A0" w:firstRow="1" w:lastRow="0" w:firstColumn="1" w:lastColumn="0" w:noHBand="0" w:noVBand="1"/>
      </w:tblPr>
      <w:tblGrid>
        <w:gridCol w:w="2122"/>
        <w:gridCol w:w="11733"/>
      </w:tblGrid>
      <w:tr w:rsidR="002C5B1C" w14:paraId="653F8E9E" w14:textId="77777777" w:rsidTr="00504DC7">
        <w:tc>
          <w:tcPr>
            <w:tcW w:w="2122" w:type="dxa"/>
            <w:shd w:val="clear" w:color="auto" w:fill="D9D9D9" w:themeFill="background1" w:themeFillShade="D9"/>
          </w:tcPr>
          <w:p w14:paraId="223EAAFB" w14:textId="77777777" w:rsidR="002C5B1C" w:rsidRPr="00380FCC" w:rsidRDefault="002C5B1C" w:rsidP="00380FCC">
            <w:pPr>
              <w:jc w:val="right"/>
              <w:rPr>
                <w:b/>
              </w:rPr>
            </w:pPr>
            <w:r w:rsidRPr="00380FCC">
              <w:rPr>
                <w:b/>
              </w:rPr>
              <w:t>Name of Document:</w:t>
            </w:r>
          </w:p>
          <w:p w14:paraId="59322311" w14:textId="77777777" w:rsidR="002C5B1C" w:rsidRPr="00380FCC" w:rsidRDefault="002C5B1C" w:rsidP="00380FCC">
            <w:pPr>
              <w:jc w:val="right"/>
              <w:rPr>
                <w:b/>
              </w:rPr>
            </w:pPr>
          </w:p>
        </w:tc>
        <w:tc>
          <w:tcPr>
            <w:tcW w:w="11733" w:type="dxa"/>
          </w:tcPr>
          <w:p w14:paraId="737832BE" w14:textId="1C28A823" w:rsidR="002C5B1C" w:rsidRDefault="002C5B1C" w:rsidP="00B84BBA">
            <w:r>
              <w:t xml:space="preserve">Managing Pipeline </w:t>
            </w:r>
            <w:r w:rsidR="00B84BBA">
              <w:t>Sleeves</w:t>
            </w:r>
          </w:p>
        </w:tc>
      </w:tr>
      <w:tr w:rsidR="002C5B1C" w14:paraId="396D8C94" w14:textId="77777777" w:rsidTr="00504DC7">
        <w:tc>
          <w:tcPr>
            <w:tcW w:w="2122" w:type="dxa"/>
            <w:shd w:val="clear" w:color="auto" w:fill="D9D9D9" w:themeFill="background1" w:themeFillShade="D9"/>
          </w:tcPr>
          <w:p w14:paraId="524F3D4E" w14:textId="77777777" w:rsidR="002C5B1C" w:rsidRPr="00380FCC" w:rsidRDefault="002C5B1C" w:rsidP="00380FCC">
            <w:pPr>
              <w:jc w:val="right"/>
              <w:rPr>
                <w:b/>
              </w:rPr>
            </w:pPr>
            <w:r w:rsidRPr="00380FCC">
              <w:rPr>
                <w:b/>
              </w:rPr>
              <w:t>Document Number:</w:t>
            </w:r>
          </w:p>
          <w:p w14:paraId="44EFC77B" w14:textId="77777777" w:rsidR="002C5B1C" w:rsidRPr="00380FCC" w:rsidRDefault="002C5B1C" w:rsidP="00380FCC">
            <w:pPr>
              <w:jc w:val="right"/>
              <w:rPr>
                <w:b/>
              </w:rPr>
            </w:pPr>
          </w:p>
        </w:tc>
        <w:tc>
          <w:tcPr>
            <w:tcW w:w="11733" w:type="dxa"/>
          </w:tcPr>
          <w:p w14:paraId="3DC493F9" w14:textId="77777777" w:rsidR="002C5B1C" w:rsidRDefault="002C5B1C">
            <w:r>
              <w:t>UKOPA/GP/00</w:t>
            </w:r>
            <w:r w:rsidR="00AE5079">
              <w:t>5</w:t>
            </w:r>
          </w:p>
        </w:tc>
      </w:tr>
      <w:tr w:rsidR="002C5B1C" w14:paraId="6628817F" w14:textId="77777777" w:rsidTr="00504DC7">
        <w:tc>
          <w:tcPr>
            <w:tcW w:w="2122" w:type="dxa"/>
            <w:shd w:val="clear" w:color="auto" w:fill="D9D9D9" w:themeFill="background1" w:themeFillShade="D9"/>
          </w:tcPr>
          <w:p w14:paraId="3AB6CA6E" w14:textId="77777777" w:rsidR="002C5B1C" w:rsidRPr="00380FCC" w:rsidRDefault="002C5B1C" w:rsidP="00380FCC">
            <w:pPr>
              <w:jc w:val="right"/>
              <w:rPr>
                <w:b/>
              </w:rPr>
            </w:pPr>
            <w:r w:rsidRPr="00380FCC">
              <w:rPr>
                <w:b/>
              </w:rPr>
              <w:t>Author/s:</w:t>
            </w:r>
          </w:p>
          <w:p w14:paraId="1180AE70" w14:textId="77777777" w:rsidR="002C5B1C" w:rsidRPr="00380FCC" w:rsidRDefault="002C5B1C" w:rsidP="00380FCC">
            <w:pPr>
              <w:jc w:val="right"/>
              <w:rPr>
                <w:b/>
              </w:rPr>
            </w:pPr>
          </w:p>
        </w:tc>
        <w:tc>
          <w:tcPr>
            <w:tcW w:w="11733" w:type="dxa"/>
          </w:tcPr>
          <w:p w14:paraId="10B0B550" w14:textId="77777777" w:rsidR="002C5B1C" w:rsidRDefault="00AE5079">
            <w:r>
              <w:t xml:space="preserve">Robert Owen / Adrian Wathen / Nikki Barker / </w:t>
            </w:r>
            <w:r w:rsidR="002C5B1C">
              <w:t>Neil Jackson</w:t>
            </w:r>
          </w:p>
        </w:tc>
      </w:tr>
      <w:tr w:rsidR="002C5B1C" w14:paraId="2B96D653" w14:textId="77777777" w:rsidTr="00504DC7">
        <w:tc>
          <w:tcPr>
            <w:tcW w:w="2122" w:type="dxa"/>
            <w:shd w:val="clear" w:color="auto" w:fill="D9D9D9" w:themeFill="background1" w:themeFillShade="D9"/>
          </w:tcPr>
          <w:p w14:paraId="3AFCD142" w14:textId="77777777" w:rsidR="002C5B1C" w:rsidRPr="00380FCC" w:rsidRDefault="002C5B1C" w:rsidP="00380FCC">
            <w:pPr>
              <w:jc w:val="right"/>
              <w:rPr>
                <w:b/>
              </w:rPr>
            </w:pPr>
            <w:r>
              <w:rPr>
                <w:b/>
              </w:rPr>
              <w:t>Background to Document and Document Objectives</w:t>
            </w:r>
          </w:p>
        </w:tc>
        <w:tc>
          <w:tcPr>
            <w:tcW w:w="11733" w:type="dxa"/>
          </w:tcPr>
          <w:p w14:paraId="0FF4AEF1" w14:textId="5F9F2299" w:rsidR="00930AC0" w:rsidRDefault="00930AC0" w:rsidP="00930AC0">
            <w:r>
              <w:t>As a result of issues raised by Peter Rycroft of the HSE with</w:t>
            </w:r>
            <w:r>
              <w:rPr>
                <w:spacing w:val="22"/>
              </w:rPr>
              <w:t xml:space="preserve"> </w:t>
            </w:r>
            <w:r>
              <w:t>UKOPA in 2010, the</w:t>
            </w:r>
            <w:r>
              <w:rPr>
                <w:spacing w:val="19"/>
              </w:rPr>
              <w:t xml:space="preserve"> </w:t>
            </w:r>
            <w:r>
              <w:t>Risk</w:t>
            </w:r>
            <w:r>
              <w:rPr>
                <w:spacing w:val="19"/>
              </w:rPr>
              <w:t xml:space="preserve"> </w:t>
            </w:r>
            <w:r>
              <w:t>Assessment</w:t>
            </w:r>
            <w:r>
              <w:rPr>
                <w:spacing w:val="12"/>
              </w:rPr>
              <w:t xml:space="preserve"> </w:t>
            </w:r>
            <w:r>
              <w:t>and</w:t>
            </w:r>
            <w:r>
              <w:rPr>
                <w:spacing w:val="21"/>
              </w:rPr>
              <w:t xml:space="preserve"> </w:t>
            </w:r>
            <w:r>
              <w:t>Int</w:t>
            </w:r>
            <w:r>
              <w:rPr>
                <w:spacing w:val="1"/>
              </w:rPr>
              <w:t>e</w:t>
            </w:r>
            <w:r>
              <w:t>grity</w:t>
            </w:r>
            <w:r>
              <w:rPr>
                <w:spacing w:val="19"/>
              </w:rPr>
              <w:t xml:space="preserve"> </w:t>
            </w:r>
            <w:r>
              <w:t>Working</w:t>
            </w:r>
            <w:r>
              <w:rPr>
                <w:spacing w:val="15"/>
              </w:rPr>
              <w:t xml:space="preserve"> </w:t>
            </w:r>
            <w:r>
              <w:t>Gr</w:t>
            </w:r>
            <w:r>
              <w:rPr>
                <w:spacing w:val="1"/>
              </w:rPr>
              <w:t>o</w:t>
            </w:r>
            <w:r>
              <w:t>up</w:t>
            </w:r>
            <w:r>
              <w:rPr>
                <w:spacing w:val="17"/>
              </w:rPr>
              <w:t xml:space="preserve"> </w:t>
            </w:r>
            <w:r>
              <w:t>e</w:t>
            </w:r>
            <w:r>
              <w:rPr>
                <w:spacing w:val="2"/>
              </w:rPr>
              <w:t>s</w:t>
            </w:r>
            <w:r>
              <w:t>tablished</w:t>
            </w:r>
            <w:r>
              <w:rPr>
                <w:spacing w:val="13"/>
              </w:rPr>
              <w:t xml:space="preserve"> </w:t>
            </w:r>
            <w:r>
              <w:t>a</w:t>
            </w:r>
            <w:r>
              <w:rPr>
                <w:spacing w:val="23"/>
              </w:rPr>
              <w:t xml:space="preserve"> </w:t>
            </w:r>
            <w:r>
              <w:t>sub</w:t>
            </w:r>
            <w:r>
              <w:rPr>
                <w:spacing w:val="21"/>
              </w:rPr>
              <w:t xml:space="preserve"> </w:t>
            </w:r>
            <w:r>
              <w:t>group</w:t>
            </w:r>
            <w:r>
              <w:rPr>
                <w:spacing w:val="18"/>
              </w:rPr>
              <w:t xml:space="preserve"> </w:t>
            </w:r>
            <w:r>
              <w:t>to</w:t>
            </w:r>
            <w:r>
              <w:rPr>
                <w:spacing w:val="22"/>
              </w:rPr>
              <w:t xml:space="preserve"> </w:t>
            </w:r>
            <w:r>
              <w:t>d</w:t>
            </w:r>
            <w:r>
              <w:rPr>
                <w:spacing w:val="1"/>
              </w:rPr>
              <w:t>e</w:t>
            </w:r>
            <w:r>
              <w:t>termine</w:t>
            </w:r>
            <w:r>
              <w:rPr>
                <w:spacing w:val="16"/>
              </w:rPr>
              <w:t xml:space="preserve"> </w:t>
            </w:r>
            <w:r>
              <w:t>a ‘Sleeve</w:t>
            </w:r>
            <w:r>
              <w:rPr>
                <w:spacing w:val="6"/>
              </w:rPr>
              <w:t xml:space="preserve"> </w:t>
            </w:r>
            <w:r>
              <w:t>Man</w:t>
            </w:r>
            <w:r>
              <w:rPr>
                <w:spacing w:val="2"/>
              </w:rPr>
              <w:t>a</w:t>
            </w:r>
            <w:r>
              <w:t>geme</w:t>
            </w:r>
            <w:r>
              <w:rPr>
                <w:spacing w:val="1"/>
              </w:rPr>
              <w:t>n</w:t>
            </w:r>
            <w:r>
              <w:t>t</w:t>
            </w:r>
            <w:r>
              <w:rPr>
                <w:spacing w:val="1"/>
              </w:rPr>
              <w:t xml:space="preserve"> </w:t>
            </w:r>
            <w:r>
              <w:t>Strategy’</w:t>
            </w:r>
            <w:r>
              <w:rPr>
                <w:spacing w:val="5"/>
              </w:rPr>
              <w:t xml:space="preserve"> </w:t>
            </w:r>
            <w:r>
              <w:t>for</w:t>
            </w:r>
            <w:r>
              <w:rPr>
                <w:spacing w:val="10"/>
              </w:rPr>
              <w:t xml:space="preserve"> </w:t>
            </w:r>
            <w:r>
              <w:t>its</w:t>
            </w:r>
            <w:r>
              <w:rPr>
                <w:spacing w:val="10"/>
              </w:rPr>
              <w:t xml:space="preserve"> </w:t>
            </w:r>
            <w:r>
              <w:t>mem</w:t>
            </w:r>
            <w:r>
              <w:rPr>
                <w:spacing w:val="1"/>
              </w:rPr>
              <w:t>b</w:t>
            </w:r>
            <w:r>
              <w:t>ers.</w:t>
            </w:r>
            <w:r>
              <w:rPr>
                <w:spacing w:val="3"/>
              </w:rPr>
              <w:t xml:space="preserve"> An initial workshop took place in November 2010, to identify the scope of the work (see chronology below) but in short, w</w:t>
            </w:r>
            <w:r>
              <w:t>ork</w:t>
            </w:r>
            <w:r>
              <w:rPr>
                <w:spacing w:val="7"/>
              </w:rPr>
              <w:t xml:space="preserve"> </w:t>
            </w:r>
            <w:r>
              <w:t>to</w:t>
            </w:r>
            <w:r>
              <w:rPr>
                <w:spacing w:val="11"/>
              </w:rPr>
              <w:t xml:space="preserve"> </w:t>
            </w:r>
            <w:r>
              <w:t>date</w:t>
            </w:r>
            <w:r>
              <w:rPr>
                <w:spacing w:val="8"/>
              </w:rPr>
              <w:t xml:space="preserve"> </w:t>
            </w:r>
            <w:r>
              <w:t>has</w:t>
            </w:r>
            <w:r>
              <w:rPr>
                <w:spacing w:val="10"/>
              </w:rPr>
              <w:t xml:space="preserve"> </w:t>
            </w:r>
            <w:r>
              <w:t>includ</w:t>
            </w:r>
            <w:r>
              <w:rPr>
                <w:spacing w:val="1"/>
              </w:rPr>
              <w:t>e</w:t>
            </w:r>
            <w:r>
              <w:t>d</w:t>
            </w:r>
            <w:r>
              <w:rPr>
                <w:spacing w:val="5"/>
              </w:rPr>
              <w:t xml:space="preserve"> </w:t>
            </w:r>
            <w:r>
              <w:t>the</w:t>
            </w:r>
            <w:r>
              <w:rPr>
                <w:spacing w:val="9"/>
              </w:rPr>
              <w:t xml:space="preserve"> </w:t>
            </w:r>
            <w:r>
              <w:t xml:space="preserve">development </w:t>
            </w:r>
            <w:r>
              <w:rPr>
                <w:spacing w:val="1"/>
              </w:rPr>
              <w:t>o</w:t>
            </w:r>
            <w:r>
              <w:t>f</w:t>
            </w:r>
            <w:r>
              <w:rPr>
                <w:spacing w:val="11"/>
              </w:rPr>
              <w:t xml:space="preserve"> </w:t>
            </w:r>
            <w:r>
              <w:t>a maint</w:t>
            </w:r>
            <w:r>
              <w:rPr>
                <w:spacing w:val="1"/>
              </w:rPr>
              <w:t>e</w:t>
            </w:r>
            <w:r>
              <w:t>nance</w:t>
            </w:r>
            <w:r>
              <w:rPr>
                <w:spacing w:val="2"/>
              </w:rPr>
              <w:t xml:space="preserve"> </w:t>
            </w:r>
            <w:r>
              <w:t>algorithm,</w:t>
            </w:r>
            <w:r>
              <w:rPr>
                <w:spacing w:val="3"/>
              </w:rPr>
              <w:t xml:space="preserve"> </w:t>
            </w:r>
            <w:r>
              <w:rPr>
                <w:spacing w:val="1"/>
              </w:rPr>
              <w:t>r</w:t>
            </w:r>
            <w:r>
              <w:t>e</w:t>
            </w:r>
            <w:r>
              <w:rPr>
                <w:spacing w:val="1"/>
              </w:rPr>
              <w:t>v</w:t>
            </w:r>
            <w:r>
              <w:t>iew</w:t>
            </w:r>
            <w:r>
              <w:rPr>
                <w:spacing w:val="6"/>
              </w:rPr>
              <w:t xml:space="preserve"> </w:t>
            </w:r>
            <w:r>
              <w:rPr>
                <w:spacing w:val="1"/>
              </w:rPr>
              <w:t>o</w:t>
            </w:r>
            <w:r>
              <w:t>f</w:t>
            </w:r>
            <w:r>
              <w:rPr>
                <w:spacing w:val="10"/>
              </w:rPr>
              <w:t xml:space="preserve"> </w:t>
            </w:r>
            <w:r>
              <w:t>best</w:t>
            </w:r>
            <w:r>
              <w:rPr>
                <w:spacing w:val="8"/>
              </w:rPr>
              <w:t xml:space="preserve"> </w:t>
            </w:r>
            <w:r>
              <w:t>practice</w:t>
            </w:r>
            <w:r>
              <w:rPr>
                <w:spacing w:val="6"/>
              </w:rPr>
              <w:t xml:space="preserve"> </w:t>
            </w:r>
            <w:r>
              <w:t>for</w:t>
            </w:r>
            <w:r>
              <w:rPr>
                <w:spacing w:val="11"/>
              </w:rPr>
              <w:t xml:space="preserve"> </w:t>
            </w:r>
            <w:r>
              <w:t>sleeve</w:t>
            </w:r>
            <w:r>
              <w:rPr>
                <w:spacing w:val="6"/>
              </w:rPr>
              <w:t xml:space="preserve"> </w:t>
            </w:r>
            <w:r>
              <w:t>maintenance and</w:t>
            </w:r>
            <w:r>
              <w:rPr>
                <w:spacing w:val="10"/>
              </w:rPr>
              <w:t xml:space="preserve"> </w:t>
            </w:r>
            <w:r>
              <w:t>the</w:t>
            </w:r>
            <w:r>
              <w:rPr>
                <w:spacing w:val="9"/>
              </w:rPr>
              <w:t xml:space="preserve"> </w:t>
            </w:r>
            <w:r>
              <w:t>development</w:t>
            </w:r>
            <w:r>
              <w:rPr>
                <w:spacing w:val="2"/>
              </w:rPr>
              <w:t xml:space="preserve"> </w:t>
            </w:r>
            <w:r>
              <w:rPr>
                <w:spacing w:val="1"/>
              </w:rPr>
              <w:t>o</w:t>
            </w:r>
            <w:r>
              <w:t>f</w:t>
            </w:r>
            <w:r>
              <w:rPr>
                <w:spacing w:val="10"/>
              </w:rPr>
              <w:t xml:space="preserve"> </w:t>
            </w:r>
            <w:r>
              <w:t>a prioritisation</w:t>
            </w:r>
            <w:r>
              <w:rPr>
                <w:spacing w:val="-12"/>
              </w:rPr>
              <w:t xml:space="preserve"> </w:t>
            </w:r>
            <w:r>
              <w:t>process</w:t>
            </w:r>
            <w:r>
              <w:rPr>
                <w:spacing w:val="-7"/>
              </w:rPr>
              <w:t xml:space="preserve"> </w:t>
            </w:r>
            <w:r>
              <w:t>for</w:t>
            </w:r>
            <w:r>
              <w:rPr>
                <w:spacing w:val="-3"/>
              </w:rPr>
              <w:t xml:space="preserve"> </w:t>
            </w:r>
            <w:r>
              <w:t>sleeves</w:t>
            </w:r>
            <w:r>
              <w:rPr>
                <w:spacing w:val="-6"/>
              </w:rPr>
              <w:t xml:space="preserve"> </w:t>
            </w:r>
            <w:r>
              <w:t>based</w:t>
            </w:r>
            <w:r>
              <w:rPr>
                <w:spacing w:val="-5"/>
              </w:rPr>
              <w:t xml:space="preserve"> </w:t>
            </w:r>
            <w:r>
              <w:rPr>
                <w:spacing w:val="1"/>
              </w:rPr>
              <w:t>o</w:t>
            </w:r>
            <w:r>
              <w:t>n</w:t>
            </w:r>
            <w:r>
              <w:rPr>
                <w:spacing w:val="-3"/>
              </w:rPr>
              <w:t xml:space="preserve"> </w:t>
            </w:r>
            <w:r>
              <w:t xml:space="preserve">risk.  </w:t>
            </w:r>
            <w:r w:rsidRPr="00F662C3">
              <w:rPr>
                <w:rFonts w:ascii="Calibri" w:hAnsi="Calibri" w:cs="Arial"/>
              </w:rPr>
              <w:t>A</w:t>
            </w:r>
            <w:r w:rsidRPr="00F662C3">
              <w:rPr>
                <w:rFonts w:ascii="Calibri" w:hAnsi="Calibri" w:cs="Arial"/>
                <w:spacing w:val="15"/>
              </w:rPr>
              <w:t xml:space="preserve"> </w:t>
            </w:r>
            <w:r w:rsidR="000075E8">
              <w:rPr>
                <w:rFonts w:ascii="Calibri" w:hAnsi="Calibri" w:cs="Arial"/>
                <w:spacing w:val="15"/>
              </w:rPr>
              <w:t xml:space="preserve">preliminary study </w:t>
            </w:r>
            <w:r w:rsidRPr="00F662C3">
              <w:rPr>
                <w:rFonts w:ascii="Calibri" w:hAnsi="Calibri" w:cs="Arial"/>
                <w:spacing w:val="1"/>
              </w:rPr>
              <w:t>o</w:t>
            </w:r>
            <w:r w:rsidRPr="00F662C3">
              <w:rPr>
                <w:rFonts w:ascii="Calibri" w:hAnsi="Calibri" w:cs="Arial"/>
              </w:rPr>
              <w:t>f</w:t>
            </w:r>
            <w:r w:rsidRPr="00F662C3">
              <w:rPr>
                <w:rFonts w:ascii="Calibri" w:hAnsi="Calibri" w:cs="Arial"/>
                <w:spacing w:val="13"/>
              </w:rPr>
              <w:t xml:space="preserve"> </w:t>
            </w:r>
            <w:r w:rsidRPr="00F662C3">
              <w:rPr>
                <w:rFonts w:ascii="Calibri" w:hAnsi="Calibri" w:cs="Arial"/>
                <w:spacing w:val="-2"/>
              </w:rPr>
              <w:t>t</w:t>
            </w:r>
            <w:r w:rsidRPr="00F662C3">
              <w:rPr>
                <w:rFonts w:ascii="Calibri" w:hAnsi="Calibri" w:cs="Arial"/>
              </w:rPr>
              <w:t>he</w:t>
            </w:r>
            <w:r w:rsidRPr="00F662C3">
              <w:rPr>
                <w:rFonts w:ascii="Calibri" w:hAnsi="Calibri" w:cs="Arial"/>
                <w:spacing w:val="12"/>
              </w:rPr>
              <w:t xml:space="preserve"> </w:t>
            </w:r>
            <w:r w:rsidRPr="00F662C3">
              <w:rPr>
                <w:rFonts w:ascii="Calibri" w:hAnsi="Calibri" w:cs="Arial"/>
              </w:rPr>
              <w:t>In</w:t>
            </w:r>
            <w:r w:rsidRPr="00F662C3">
              <w:rPr>
                <w:rFonts w:ascii="Calibri" w:hAnsi="Calibri" w:cs="Cambria Math"/>
              </w:rPr>
              <w:t>‐</w:t>
            </w:r>
            <w:r w:rsidRPr="00F662C3">
              <w:rPr>
                <w:rFonts w:ascii="Calibri" w:hAnsi="Calibri" w:cs="Arial"/>
              </w:rPr>
              <w:t>Line</w:t>
            </w:r>
            <w:r w:rsidRPr="00F662C3">
              <w:rPr>
                <w:rFonts w:ascii="Calibri" w:hAnsi="Calibri" w:cs="Arial"/>
                <w:spacing w:val="9"/>
              </w:rPr>
              <w:t xml:space="preserve"> </w:t>
            </w:r>
            <w:r w:rsidRPr="00F662C3">
              <w:rPr>
                <w:rFonts w:ascii="Calibri" w:hAnsi="Calibri" w:cs="Arial"/>
                <w:spacing w:val="1"/>
              </w:rPr>
              <w:t>I</w:t>
            </w:r>
            <w:r w:rsidRPr="00F662C3">
              <w:rPr>
                <w:rFonts w:ascii="Calibri" w:hAnsi="Calibri" w:cs="Arial"/>
              </w:rPr>
              <w:t>n</w:t>
            </w:r>
            <w:r w:rsidRPr="00F662C3">
              <w:rPr>
                <w:rFonts w:ascii="Calibri" w:hAnsi="Calibri" w:cs="Arial"/>
                <w:spacing w:val="1"/>
              </w:rPr>
              <w:t>s</w:t>
            </w:r>
            <w:r w:rsidRPr="00F662C3">
              <w:rPr>
                <w:rFonts w:ascii="Calibri" w:hAnsi="Calibri" w:cs="Arial"/>
              </w:rPr>
              <w:t>pec</w:t>
            </w:r>
            <w:r w:rsidRPr="00F662C3">
              <w:rPr>
                <w:rFonts w:ascii="Calibri" w:hAnsi="Calibri" w:cs="Arial"/>
                <w:spacing w:val="1"/>
              </w:rPr>
              <w:t>tio</w:t>
            </w:r>
            <w:r w:rsidRPr="00F662C3">
              <w:rPr>
                <w:rFonts w:ascii="Calibri" w:hAnsi="Calibri" w:cs="Arial"/>
              </w:rPr>
              <w:t>n</w:t>
            </w:r>
            <w:r w:rsidRPr="00F662C3">
              <w:rPr>
                <w:rFonts w:ascii="Calibri" w:hAnsi="Calibri" w:cs="Arial"/>
                <w:spacing w:val="7"/>
              </w:rPr>
              <w:t xml:space="preserve"> </w:t>
            </w:r>
            <w:r w:rsidRPr="00F662C3">
              <w:rPr>
                <w:rFonts w:ascii="Calibri" w:hAnsi="Calibri" w:cs="Arial"/>
              </w:rPr>
              <w:t>(IL</w:t>
            </w:r>
            <w:r w:rsidRPr="00F662C3">
              <w:rPr>
                <w:rFonts w:ascii="Calibri" w:hAnsi="Calibri" w:cs="Arial"/>
                <w:spacing w:val="1"/>
              </w:rPr>
              <w:t>I</w:t>
            </w:r>
            <w:r w:rsidRPr="00F662C3">
              <w:rPr>
                <w:rFonts w:ascii="Calibri" w:hAnsi="Calibri" w:cs="Arial"/>
              </w:rPr>
              <w:t>)</w:t>
            </w:r>
            <w:r w:rsidRPr="00F662C3">
              <w:rPr>
                <w:rFonts w:ascii="Calibri" w:hAnsi="Calibri" w:cs="Arial"/>
                <w:spacing w:val="13"/>
              </w:rPr>
              <w:t xml:space="preserve"> </w:t>
            </w:r>
            <w:r w:rsidRPr="00F662C3">
              <w:rPr>
                <w:rFonts w:ascii="Calibri" w:hAnsi="Calibri" w:cs="Arial"/>
              </w:rPr>
              <w:t>results</w:t>
            </w:r>
            <w:r w:rsidRPr="00F662C3">
              <w:rPr>
                <w:rFonts w:ascii="Calibri" w:hAnsi="Calibri" w:cs="Arial"/>
                <w:spacing w:val="10"/>
              </w:rPr>
              <w:t xml:space="preserve"> </w:t>
            </w:r>
            <w:r w:rsidRPr="00F662C3">
              <w:rPr>
                <w:rFonts w:ascii="Calibri" w:hAnsi="Calibri" w:cs="Arial"/>
              </w:rPr>
              <w:t>for the</w:t>
            </w:r>
            <w:r w:rsidRPr="00F662C3">
              <w:rPr>
                <w:rFonts w:ascii="Calibri" w:hAnsi="Calibri" w:cs="Arial"/>
                <w:spacing w:val="48"/>
              </w:rPr>
              <w:t xml:space="preserve"> </w:t>
            </w:r>
            <w:r w:rsidRPr="00F662C3">
              <w:rPr>
                <w:rFonts w:ascii="Calibri" w:hAnsi="Calibri" w:cs="Arial"/>
              </w:rPr>
              <w:t>sleeves</w:t>
            </w:r>
            <w:r w:rsidRPr="00F662C3">
              <w:rPr>
                <w:rFonts w:ascii="Calibri" w:hAnsi="Calibri" w:cs="Arial"/>
                <w:spacing w:val="46"/>
              </w:rPr>
              <w:t xml:space="preserve"> </w:t>
            </w:r>
            <w:r w:rsidRPr="00F662C3">
              <w:rPr>
                <w:rFonts w:ascii="Calibri" w:hAnsi="Calibri" w:cs="Arial"/>
                <w:spacing w:val="1"/>
              </w:rPr>
              <w:t>o</w:t>
            </w:r>
            <w:r>
              <w:rPr>
                <w:rFonts w:ascii="Calibri" w:hAnsi="Calibri" w:cs="Arial"/>
              </w:rPr>
              <w:t>f p</w:t>
            </w:r>
            <w:r w:rsidRPr="00F662C3">
              <w:rPr>
                <w:rFonts w:ascii="Calibri" w:hAnsi="Calibri" w:cs="Arial"/>
              </w:rPr>
              <w:t>ipelines</w:t>
            </w:r>
            <w:r w:rsidRPr="00F662C3">
              <w:rPr>
                <w:rFonts w:ascii="Calibri" w:hAnsi="Calibri" w:cs="Arial"/>
                <w:spacing w:val="45"/>
              </w:rPr>
              <w:t xml:space="preserve"> </w:t>
            </w:r>
            <w:r w:rsidRPr="00F662C3">
              <w:rPr>
                <w:rFonts w:ascii="Calibri" w:hAnsi="Calibri" w:cs="Arial"/>
              </w:rPr>
              <w:t>operated</w:t>
            </w:r>
            <w:r w:rsidRPr="00F662C3">
              <w:rPr>
                <w:rFonts w:ascii="Calibri" w:hAnsi="Calibri" w:cs="Arial"/>
                <w:spacing w:val="42"/>
              </w:rPr>
              <w:t xml:space="preserve"> </w:t>
            </w:r>
            <w:r w:rsidRPr="00F662C3">
              <w:rPr>
                <w:rFonts w:ascii="Calibri" w:hAnsi="Calibri" w:cs="Arial"/>
              </w:rPr>
              <w:t>by UKOPA</w:t>
            </w:r>
            <w:r w:rsidRPr="00F662C3">
              <w:rPr>
                <w:rFonts w:ascii="Calibri" w:hAnsi="Calibri" w:cs="Arial"/>
                <w:spacing w:val="46"/>
              </w:rPr>
              <w:t xml:space="preserve"> </w:t>
            </w:r>
            <w:r w:rsidRPr="00F662C3">
              <w:rPr>
                <w:rFonts w:ascii="Calibri" w:hAnsi="Calibri" w:cs="Arial"/>
              </w:rPr>
              <w:t>m</w:t>
            </w:r>
            <w:r w:rsidRPr="00F662C3">
              <w:rPr>
                <w:rFonts w:ascii="Calibri" w:hAnsi="Calibri" w:cs="Arial"/>
                <w:spacing w:val="1"/>
              </w:rPr>
              <w:t>e</w:t>
            </w:r>
            <w:r w:rsidRPr="00F662C3">
              <w:rPr>
                <w:rFonts w:ascii="Calibri" w:hAnsi="Calibri" w:cs="Arial"/>
              </w:rPr>
              <w:t>mbers</w:t>
            </w:r>
            <w:r>
              <w:rPr>
                <w:rFonts w:ascii="Calibri" w:hAnsi="Calibri" w:cs="Arial"/>
              </w:rPr>
              <w:t xml:space="preserve"> has also been </w:t>
            </w:r>
            <w:r>
              <w:t xml:space="preserve">undertaken by MACAW. </w:t>
            </w:r>
          </w:p>
          <w:p w14:paraId="38E7FE7C" w14:textId="77777777" w:rsidR="00930AC0" w:rsidRDefault="00930AC0" w:rsidP="00930AC0"/>
          <w:p w14:paraId="371AB7F5" w14:textId="77777777" w:rsidR="00930AC0" w:rsidRPr="00DE3A0E" w:rsidRDefault="00930AC0" w:rsidP="00930AC0">
            <w:pPr>
              <w:spacing w:line="276" w:lineRule="auto"/>
              <w:jc w:val="both"/>
            </w:pPr>
            <w:r>
              <w:t>At the request of the UKOPA PIWG the conclusions of the above work have been detailed within a UKOPA good practice guide. The document is to provide practical advice for UKOPA members when managing pipeline sleeves.</w:t>
            </w:r>
          </w:p>
          <w:p w14:paraId="171014D6" w14:textId="77777777" w:rsidR="00930AC0" w:rsidRPr="00DE3A0E" w:rsidRDefault="00930AC0" w:rsidP="00512779">
            <w:pPr>
              <w:spacing w:line="276" w:lineRule="auto"/>
              <w:jc w:val="both"/>
            </w:pPr>
          </w:p>
          <w:p w14:paraId="5EFC1F9F" w14:textId="77777777" w:rsidR="00504DC7" w:rsidRPr="00DE3A0E" w:rsidRDefault="00504DC7" w:rsidP="00512779">
            <w:pPr>
              <w:spacing w:line="276" w:lineRule="auto"/>
              <w:jc w:val="both"/>
            </w:pPr>
            <w:r w:rsidRPr="00DE3A0E">
              <w:t>Details of the work completed are given in the document chronology below.</w:t>
            </w:r>
          </w:p>
          <w:p w14:paraId="0955F45A" w14:textId="77777777" w:rsidR="00504DC7" w:rsidRDefault="002C5B1C" w:rsidP="00512779">
            <w:pPr>
              <w:spacing w:line="276" w:lineRule="auto"/>
              <w:jc w:val="both"/>
              <w:rPr>
                <w:rFonts w:ascii="Verdana" w:hAnsi="Verdana"/>
                <w:color w:val="000000"/>
                <w:sz w:val="20"/>
                <w:szCs w:val="20"/>
              </w:rPr>
            </w:pPr>
            <w:r>
              <w:rPr>
                <w:rFonts w:ascii="Verdana" w:hAnsi="Verdana"/>
                <w:color w:val="000000"/>
                <w:sz w:val="20"/>
                <w:szCs w:val="20"/>
              </w:rPr>
              <w:t xml:space="preserve"> </w:t>
            </w:r>
          </w:p>
          <w:p w14:paraId="418BCF27" w14:textId="77777777" w:rsidR="002C5B1C" w:rsidRPr="00512779" w:rsidRDefault="002C5B1C" w:rsidP="00512779">
            <w:pPr>
              <w:spacing w:line="276" w:lineRule="auto"/>
              <w:jc w:val="both"/>
              <w:rPr>
                <w:rFonts w:ascii="Verdana" w:hAnsi="Verdana"/>
                <w:color w:val="000000"/>
                <w:sz w:val="20"/>
                <w:szCs w:val="20"/>
              </w:rPr>
            </w:pPr>
          </w:p>
        </w:tc>
      </w:tr>
    </w:tbl>
    <w:p w14:paraId="54A8E8BF" w14:textId="77777777" w:rsidR="00380FCC" w:rsidRDefault="00380FCC"/>
    <w:p w14:paraId="6EF5C2DF" w14:textId="77777777" w:rsidR="00FE7566" w:rsidRDefault="00FE7566">
      <w:r>
        <w:br w:type="page"/>
      </w:r>
    </w:p>
    <w:p w14:paraId="6541DCE5" w14:textId="77777777" w:rsidR="00FE7566" w:rsidRDefault="00FE7566"/>
    <w:tbl>
      <w:tblPr>
        <w:tblStyle w:val="TableGrid"/>
        <w:tblW w:w="13855" w:type="dxa"/>
        <w:tblLayout w:type="fixed"/>
        <w:tblLook w:val="04A0" w:firstRow="1" w:lastRow="0" w:firstColumn="1" w:lastColumn="0" w:noHBand="0" w:noVBand="1"/>
      </w:tblPr>
      <w:tblGrid>
        <w:gridCol w:w="5270"/>
        <w:gridCol w:w="1560"/>
        <w:gridCol w:w="1059"/>
        <w:gridCol w:w="5966"/>
      </w:tblGrid>
      <w:tr w:rsidR="002C5B1C" w14:paraId="2512C979" w14:textId="77777777" w:rsidTr="00504DC7">
        <w:trPr>
          <w:tblHeader/>
        </w:trPr>
        <w:tc>
          <w:tcPr>
            <w:tcW w:w="5270" w:type="dxa"/>
            <w:shd w:val="clear" w:color="auto" w:fill="D9D9D9" w:themeFill="background1" w:themeFillShade="D9"/>
          </w:tcPr>
          <w:p w14:paraId="2AC42F02" w14:textId="77777777" w:rsidR="002C5B1C" w:rsidRDefault="002C5B1C" w:rsidP="00573300">
            <w:pPr>
              <w:jc w:val="center"/>
              <w:rPr>
                <w:b/>
              </w:rPr>
            </w:pPr>
            <w:r>
              <w:rPr>
                <w:b/>
              </w:rPr>
              <w:t xml:space="preserve">Development </w:t>
            </w:r>
          </w:p>
          <w:p w14:paraId="434C3632" w14:textId="77777777" w:rsidR="002C5B1C" w:rsidRPr="00573300" w:rsidRDefault="002C5B1C" w:rsidP="00573300">
            <w:pPr>
              <w:jc w:val="center"/>
              <w:rPr>
                <w:b/>
              </w:rPr>
            </w:pPr>
            <w:r>
              <w:rPr>
                <w:b/>
              </w:rPr>
              <w:t>Chronology</w:t>
            </w:r>
          </w:p>
        </w:tc>
        <w:tc>
          <w:tcPr>
            <w:tcW w:w="1560" w:type="dxa"/>
            <w:shd w:val="clear" w:color="auto" w:fill="D9D9D9" w:themeFill="background1" w:themeFillShade="D9"/>
          </w:tcPr>
          <w:p w14:paraId="5DC7E72A" w14:textId="77777777" w:rsidR="002C5B1C" w:rsidRDefault="002C5B1C" w:rsidP="00573300">
            <w:pPr>
              <w:jc w:val="center"/>
              <w:rPr>
                <w:b/>
              </w:rPr>
            </w:pPr>
            <w:r>
              <w:rPr>
                <w:b/>
              </w:rPr>
              <w:t>Date completed</w:t>
            </w:r>
          </w:p>
        </w:tc>
        <w:tc>
          <w:tcPr>
            <w:tcW w:w="1059" w:type="dxa"/>
            <w:shd w:val="clear" w:color="auto" w:fill="D9D9D9" w:themeFill="background1" w:themeFillShade="D9"/>
          </w:tcPr>
          <w:p w14:paraId="58FC2FA4" w14:textId="77777777" w:rsidR="002C5B1C" w:rsidRDefault="002C5B1C" w:rsidP="00573300">
            <w:pPr>
              <w:jc w:val="center"/>
              <w:rPr>
                <w:b/>
              </w:rPr>
            </w:pPr>
            <w:r>
              <w:rPr>
                <w:b/>
              </w:rPr>
              <w:t>External Cost</w:t>
            </w:r>
          </w:p>
        </w:tc>
        <w:tc>
          <w:tcPr>
            <w:tcW w:w="5966" w:type="dxa"/>
            <w:shd w:val="clear" w:color="auto" w:fill="D9D9D9" w:themeFill="background1" w:themeFillShade="D9"/>
          </w:tcPr>
          <w:p w14:paraId="5DBC8A4E" w14:textId="77777777" w:rsidR="002C5B1C" w:rsidRPr="00573300" w:rsidRDefault="002C5B1C" w:rsidP="00573300">
            <w:pPr>
              <w:jc w:val="center"/>
              <w:rPr>
                <w:b/>
              </w:rPr>
            </w:pPr>
            <w:r>
              <w:rPr>
                <w:b/>
              </w:rPr>
              <w:t xml:space="preserve">Comments  Including Summary of Actions Taken </w:t>
            </w:r>
          </w:p>
        </w:tc>
      </w:tr>
      <w:tr w:rsidR="002C5B1C" w14:paraId="6DDF76F4" w14:textId="77777777" w:rsidTr="00504DC7">
        <w:trPr>
          <w:trHeight w:val="710"/>
        </w:trPr>
        <w:tc>
          <w:tcPr>
            <w:tcW w:w="5270" w:type="dxa"/>
            <w:tcBorders>
              <w:bottom w:val="single" w:sz="4" w:space="0" w:color="auto"/>
            </w:tcBorders>
          </w:tcPr>
          <w:p w14:paraId="5CC7F974" w14:textId="7992780A" w:rsidR="002C5B1C" w:rsidRPr="004F7B2A" w:rsidRDefault="00930AC0">
            <w:pPr>
              <w:rPr>
                <w:sz w:val="20"/>
              </w:rPr>
            </w:pPr>
            <w:r>
              <w:rPr>
                <w:sz w:val="20"/>
              </w:rPr>
              <w:t xml:space="preserve">Initial Sleeve workshop took place in November 2010, </w:t>
            </w:r>
            <w:r w:rsidR="000075E8">
              <w:rPr>
                <w:sz w:val="20"/>
              </w:rPr>
              <w:t xml:space="preserve">at IGEM House, </w:t>
            </w:r>
            <w:r>
              <w:rPr>
                <w:sz w:val="20"/>
              </w:rPr>
              <w:t>facilitated by GL Nobel Denton, to scope the work required in this process</w:t>
            </w:r>
          </w:p>
        </w:tc>
        <w:tc>
          <w:tcPr>
            <w:tcW w:w="1560" w:type="dxa"/>
            <w:tcBorders>
              <w:bottom w:val="single" w:sz="4" w:space="0" w:color="auto"/>
            </w:tcBorders>
          </w:tcPr>
          <w:p w14:paraId="7EB9B074" w14:textId="77777777" w:rsidR="002C5B1C" w:rsidRPr="004F7B2A" w:rsidRDefault="002C5B1C" w:rsidP="00930AC0">
            <w:pPr>
              <w:rPr>
                <w:sz w:val="20"/>
              </w:rPr>
            </w:pPr>
            <w:r>
              <w:rPr>
                <w:sz w:val="20"/>
              </w:rPr>
              <w:t xml:space="preserve"> </w:t>
            </w:r>
            <w:r w:rsidR="00930AC0">
              <w:rPr>
                <w:sz w:val="20"/>
              </w:rPr>
              <w:t>Nov 2010</w:t>
            </w:r>
            <w:r>
              <w:rPr>
                <w:sz w:val="20"/>
              </w:rPr>
              <w:t xml:space="preserve"> </w:t>
            </w:r>
          </w:p>
        </w:tc>
        <w:tc>
          <w:tcPr>
            <w:tcW w:w="1059" w:type="dxa"/>
            <w:tcBorders>
              <w:bottom w:val="single" w:sz="4" w:space="0" w:color="auto"/>
            </w:tcBorders>
          </w:tcPr>
          <w:p w14:paraId="34B33FC3" w14:textId="2C50A6DD" w:rsidR="002C5B1C" w:rsidRPr="004F7B2A" w:rsidRDefault="000075E8">
            <w:pPr>
              <w:rPr>
                <w:sz w:val="20"/>
              </w:rPr>
            </w:pPr>
            <w:r>
              <w:rPr>
                <w:sz w:val="20"/>
              </w:rPr>
              <w:t>Covered by Mike Acton’s UKOPA Support budget</w:t>
            </w:r>
          </w:p>
        </w:tc>
        <w:tc>
          <w:tcPr>
            <w:tcW w:w="5966" w:type="dxa"/>
            <w:tcBorders>
              <w:bottom w:val="single" w:sz="4" w:space="0" w:color="auto"/>
            </w:tcBorders>
          </w:tcPr>
          <w:p w14:paraId="388DD6FC" w14:textId="4E052C9F" w:rsidR="002C5B1C" w:rsidRDefault="00FD6260">
            <w:pPr>
              <w:rPr>
                <w:sz w:val="20"/>
              </w:rPr>
            </w:pPr>
            <w:r>
              <w:rPr>
                <w:sz w:val="20"/>
              </w:rPr>
              <w:t xml:space="preserve">The meeting, </w:t>
            </w:r>
            <w:r w:rsidR="000075E8">
              <w:rPr>
                <w:sz w:val="20"/>
              </w:rPr>
              <w:t>at which the thoughts of P</w:t>
            </w:r>
            <w:r>
              <w:rPr>
                <w:sz w:val="20"/>
              </w:rPr>
              <w:t>eter Rycroft</w:t>
            </w:r>
            <w:r w:rsidR="000075E8">
              <w:rPr>
                <w:sz w:val="20"/>
              </w:rPr>
              <w:t xml:space="preserve"> were presented by Robert Owen</w:t>
            </w:r>
            <w:r>
              <w:rPr>
                <w:sz w:val="20"/>
              </w:rPr>
              <w:t>, identified a number of actions and outcomes, including the following (all outcomes were identified in the UKOPA sleeve workshop – forward actions prepared by R Owen))</w:t>
            </w:r>
          </w:p>
          <w:p w14:paraId="4883B280" w14:textId="77777777" w:rsidR="00FD6260" w:rsidRDefault="00FD6260">
            <w:pPr>
              <w:rPr>
                <w:sz w:val="20"/>
              </w:rPr>
            </w:pPr>
            <w:r>
              <w:rPr>
                <w:sz w:val="20"/>
              </w:rPr>
              <w:t>Establish Sleeve population</w:t>
            </w:r>
          </w:p>
          <w:p w14:paraId="246BAB55" w14:textId="675869DB" w:rsidR="00FD6260" w:rsidRDefault="00FD6260">
            <w:pPr>
              <w:rPr>
                <w:sz w:val="20"/>
              </w:rPr>
            </w:pPr>
            <w:r>
              <w:rPr>
                <w:sz w:val="20"/>
              </w:rPr>
              <w:t>Develop Sleeve algorithm</w:t>
            </w:r>
          </w:p>
          <w:p w14:paraId="26335BD0" w14:textId="77777777" w:rsidR="00FD6260" w:rsidRDefault="00FD6260">
            <w:pPr>
              <w:rPr>
                <w:sz w:val="20"/>
              </w:rPr>
            </w:pPr>
            <w:r>
              <w:rPr>
                <w:sz w:val="20"/>
              </w:rPr>
              <w:t>Research / prove new inspection techniques</w:t>
            </w:r>
          </w:p>
          <w:p w14:paraId="6638DDED" w14:textId="77777777" w:rsidR="00FD6260" w:rsidRDefault="00FD6260">
            <w:pPr>
              <w:rPr>
                <w:sz w:val="20"/>
              </w:rPr>
            </w:pPr>
            <w:r>
              <w:rPr>
                <w:sz w:val="20"/>
              </w:rPr>
              <w:t>Develop site survey form for data collection (and sharing)</w:t>
            </w:r>
          </w:p>
          <w:p w14:paraId="378DAA20" w14:textId="77777777" w:rsidR="00FD6260" w:rsidRDefault="00FD6260">
            <w:pPr>
              <w:rPr>
                <w:sz w:val="20"/>
              </w:rPr>
            </w:pPr>
            <w:r>
              <w:rPr>
                <w:sz w:val="20"/>
              </w:rPr>
              <w:t xml:space="preserve">Develop best practice </w:t>
            </w:r>
          </w:p>
          <w:p w14:paraId="5BA1EBC9" w14:textId="50C469B6" w:rsidR="000075E8" w:rsidRPr="004F7B2A" w:rsidRDefault="000075E8">
            <w:pPr>
              <w:rPr>
                <w:sz w:val="20"/>
              </w:rPr>
            </w:pPr>
            <w:r>
              <w:rPr>
                <w:sz w:val="20"/>
              </w:rPr>
              <w:t>The output was presented in GL Nobel Denton Report 10533</w:t>
            </w:r>
          </w:p>
        </w:tc>
      </w:tr>
      <w:tr w:rsidR="002C5B1C" w14:paraId="0E40A20E" w14:textId="77777777" w:rsidTr="00504DC7">
        <w:tc>
          <w:tcPr>
            <w:tcW w:w="5270" w:type="dxa"/>
            <w:tcBorders>
              <w:bottom w:val="single" w:sz="4" w:space="0" w:color="auto"/>
            </w:tcBorders>
          </w:tcPr>
          <w:p w14:paraId="30E34EED" w14:textId="2D1E2C33" w:rsidR="002C5B1C" w:rsidRDefault="007C1282">
            <w:pPr>
              <w:rPr>
                <w:sz w:val="20"/>
              </w:rPr>
            </w:pPr>
            <w:r>
              <w:rPr>
                <w:sz w:val="20"/>
              </w:rPr>
              <w:t xml:space="preserve">Sleeve workshop 2, </w:t>
            </w:r>
            <w:r w:rsidR="000075E8">
              <w:rPr>
                <w:sz w:val="20"/>
              </w:rPr>
              <w:t xml:space="preserve">at Loughborough, </w:t>
            </w:r>
            <w:r>
              <w:rPr>
                <w:sz w:val="20"/>
              </w:rPr>
              <w:t>facilitated by GLND</w:t>
            </w:r>
            <w:r w:rsidR="008973B2">
              <w:rPr>
                <w:sz w:val="20"/>
              </w:rPr>
              <w:t>, attended by NGD, NGT</w:t>
            </w:r>
            <w:r w:rsidR="004359BA">
              <w:rPr>
                <w:sz w:val="20"/>
              </w:rPr>
              <w:t>, NGN, Ineos, WWU, SGN, BPA, BP</w:t>
            </w:r>
            <w:r w:rsidR="008973B2">
              <w:rPr>
                <w:sz w:val="20"/>
              </w:rPr>
              <w:t>UK</w:t>
            </w:r>
          </w:p>
        </w:tc>
        <w:tc>
          <w:tcPr>
            <w:tcW w:w="1560" w:type="dxa"/>
            <w:tcBorders>
              <w:bottom w:val="single" w:sz="4" w:space="0" w:color="auto"/>
            </w:tcBorders>
          </w:tcPr>
          <w:p w14:paraId="1B579D50" w14:textId="299E3992" w:rsidR="002C5B1C" w:rsidRDefault="007C1282">
            <w:pPr>
              <w:rPr>
                <w:sz w:val="20"/>
              </w:rPr>
            </w:pPr>
            <w:r>
              <w:rPr>
                <w:sz w:val="20"/>
              </w:rPr>
              <w:t>March 2011</w:t>
            </w:r>
          </w:p>
        </w:tc>
        <w:tc>
          <w:tcPr>
            <w:tcW w:w="1059" w:type="dxa"/>
            <w:tcBorders>
              <w:bottom w:val="single" w:sz="4" w:space="0" w:color="auto"/>
            </w:tcBorders>
          </w:tcPr>
          <w:p w14:paraId="0B3AB6EB" w14:textId="02E23907" w:rsidR="002C5B1C" w:rsidRDefault="000075E8">
            <w:pPr>
              <w:rPr>
                <w:sz w:val="20"/>
              </w:rPr>
            </w:pPr>
            <w:r>
              <w:rPr>
                <w:sz w:val="20"/>
              </w:rPr>
              <w:t>Covered by Mike Acton’s UKOPA Support budget</w:t>
            </w:r>
          </w:p>
        </w:tc>
        <w:tc>
          <w:tcPr>
            <w:tcW w:w="5966" w:type="dxa"/>
            <w:tcBorders>
              <w:bottom w:val="single" w:sz="4" w:space="0" w:color="auto"/>
            </w:tcBorders>
          </w:tcPr>
          <w:p w14:paraId="66881954" w14:textId="7E0E727F" w:rsidR="002C5B1C" w:rsidRDefault="008973B2">
            <w:pPr>
              <w:rPr>
                <w:sz w:val="20"/>
              </w:rPr>
            </w:pPr>
            <w:r>
              <w:rPr>
                <w:sz w:val="20"/>
              </w:rPr>
              <w:t>Output from the workshop documented in GL Noble Denton Report Number 11050 – UKOPA Workshop Summary, Development of Sleeve Management Strategy; which identifies the development of New Sleeve Maintenance Algorithms in section 4, plus provides updates on the actions from Nov 2010 meeting</w:t>
            </w:r>
          </w:p>
        </w:tc>
      </w:tr>
      <w:tr w:rsidR="002C5B1C" w14:paraId="00DE576C" w14:textId="77777777" w:rsidTr="00504DC7">
        <w:tc>
          <w:tcPr>
            <w:tcW w:w="5270" w:type="dxa"/>
            <w:tcBorders>
              <w:bottom w:val="single" w:sz="4" w:space="0" w:color="auto"/>
            </w:tcBorders>
          </w:tcPr>
          <w:p w14:paraId="6095B432" w14:textId="0C8819EA" w:rsidR="002C5B1C" w:rsidRDefault="004B6793">
            <w:pPr>
              <w:rPr>
                <w:sz w:val="20"/>
              </w:rPr>
            </w:pPr>
            <w:r>
              <w:rPr>
                <w:sz w:val="20"/>
              </w:rPr>
              <w:t>UKOPA report number UKOPA/12/001 by S Jackson and M Robinson: Development of a Sleeve Management Strategy</w:t>
            </w:r>
            <w:r w:rsidR="002C5B1C">
              <w:rPr>
                <w:sz w:val="20"/>
              </w:rPr>
              <w:t xml:space="preserve"> </w:t>
            </w:r>
          </w:p>
        </w:tc>
        <w:tc>
          <w:tcPr>
            <w:tcW w:w="1560" w:type="dxa"/>
            <w:tcBorders>
              <w:bottom w:val="single" w:sz="4" w:space="0" w:color="auto"/>
            </w:tcBorders>
          </w:tcPr>
          <w:p w14:paraId="6A2EDC72" w14:textId="09B1896E" w:rsidR="002C5B1C" w:rsidRDefault="004B6793">
            <w:pPr>
              <w:rPr>
                <w:sz w:val="20"/>
              </w:rPr>
            </w:pPr>
            <w:r>
              <w:rPr>
                <w:sz w:val="20"/>
              </w:rPr>
              <w:t>17 Jan 2012</w:t>
            </w:r>
          </w:p>
        </w:tc>
        <w:tc>
          <w:tcPr>
            <w:tcW w:w="1059" w:type="dxa"/>
            <w:tcBorders>
              <w:bottom w:val="single" w:sz="4" w:space="0" w:color="auto"/>
            </w:tcBorders>
          </w:tcPr>
          <w:p w14:paraId="22CBEC0A" w14:textId="0CBE9C48" w:rsidR="002C5B1C" w:rsidRDefault="002C5B1C">
            <w:pPr>
              <w:rPr>
                <w:sz w:val="20"/>
              </w:rPr>
            </w:pPr>
          </w:p>
        </w:tc>
        <w:tc>
          <w:tcPr>
            <w:tcW w:w="5966" w:type="dxa"/>
            <w:tcBorders>
              <w:bottom w:val="single" w:sz="4" w:space="0" w:color="auto"/>
            </w:tcBorders>
          </w:tcPr>
          <w:p w14:paraId="3BB273E5" w14:textId="77777777" w:rsidR="002C5B1C" w:rsidRDefault="004B6793">
            <w:pPr>
              <w:rPr>
                <w:sz w:val="20"/>
              </w:rPr>
            </w:pPr>
            <w:r>
              <w:rPr>
                <w:sz w:val="20"/>
              </w:rPr>
              <w:t>Report published (which was to be used as the starting point for the UKOPA Good Practice Guide for Managing Pipeline Sleeves)</w:t>
            </w:r>
            <w:r w:rsidR="000075E8">
              <w:rPr>
                <w:sz w:val="20"/>
              </w:rPr>
              <w:t>.</w:t>
            </w:r>
          </w:p>
          <w:p w14:paraId="042B0152" w14:textId="039B6993" w:rsidR="000075E8" w:rsidRDefault="000075E8">
            <w:pPr>
              <w:rPr>
                <w:sz w:val="20"/>
              </w:rPr>
            </w:pPr>
            <w:r>
              <w:rPr>
                <w:sz w:val="20"/>
              </w:rPr>
              <w:t>Peter Rycroft commented on this document via email on 28</w:t>
            </w:r>
            <w:r w:rsidRPr="000075E8">
              <w:rPr>
                <w:sz w:val="20"/>
                <w:vertAlign w:val="superscript"/>
              </w:rPr>
              <w:t>th</w:t>
            </w:r>
            <w:r>
              <w:rPr>
                <w:sz w:val="20"/>
              </w:rPr>
              <w:t xml:space="preserve"> July 2011 and this comments were addressed in the final version of the document</w:t>
            </w:r>
          </w:p>
        </w:tc>
      </w:tr>
      <w:tr w:rsidR="000075E8" w14:paraId="74230769" w14:textId="77777777" w:rsidTr="00504DC7">
        <w:tc>
          <w:tcPr>
            <w:tcW w:w="5270" w:type="dxa"/>
            <w:tcBorders>
              <w:bottom w:val="single" w:sz="4" w:space="0" w:color="auto"/>
            </w:tcBorders>
          </w:tcPr>
          <w:p w14:paraId="1DCE3E6C" w14:textId="7EE03F40" w:rsidR="000075E8" w:rsidRDefault="000075E8">
            <w:pPr>
              <w:rPr>
                <w:sz w:val="20"/>
              </w:rPr>
            </w:pPr>
            <w:r>
              <w:rPr>
                <w:sz w:val="20"/>
              </w:rPr>
              <w:t>Robert Owen presented Sleeve Initiative at Abriox Seminar</w:t>
            </w:r>
          </w:p>
        </w:tc>
        <w:tc>
          <w:tcPr>
            <w:tcW w:w="1560" w:type="dxa"/>
            <w:tcBorders>
              <w:bottom w:val="single" w:sz="4" w:space="0" w:color="auto"/>
            </w:tcBorders>
          </w:tcPr>
          <w:p w14:paraId="0C3D7A8C" w14:textId="7BE7810B" w:rsidR="000075E8" w:rsidRDefault="000075E8">
            <w:pPr>
              <w:rPr>
                <w:sz w:val="20"/>
              </w:rPr>
            </w:pPr>
            <w:r>
              <w:rPr>
                <w:sz w:val="20"/>
              </w:rPr>
              <w:t>Oct 2012</w:t>
            </w:r>
          </w:p>
        </w:tc>
        <w:tc>
          <w:tcPr>
            <w:tcW w:w="1059" w:type="dxa"/>
            <w:tcBorders>
              <w:bottom w:val="single" w:sz="4" w:space="0" w:color="auto"/>
            </w:tcBorders>
          </w:tcPr>
          <w:p w14:paraId="2D930103" w14:textId="77777777" w:rsidR="000075E8" w:rsidRDefault="000075E8">
            <w:pPr>
              <w:rPr>
                <w:sz w:val="20"/>
              </w:rPr>
            </w:pPr>
          </w:p>
        </w:tc>
        <w:tc>
          <w:tcPr>
            <w:tcW w:w="5966" w:type="dxa"/>
            <w:tcBorders>
              <w:bottom w:val="single" w:sz="4" w:space="0" w:color="auto"/>
            </w:tcBorders>
          </w:tcPr>
          <w:p w14:paraId="7B9A93BF" w14:textId="77777777" w:rsidR="000075E8" w:rsidRDefault="000075E8">
            <w:pPr>
              <w:rPr>
                <w:sz w:val="20"/>
              </w:rPr>
            </w:pPr>
          </w:p>
        </w:tc>
      </w:tr>
      <w:tr w:rsidR="002C5B1C" w14:paraId="192E8470" w14:textId="77777777" w:rsidTr="00504DC7">
        <w:tc>
          <w:tcPr>
            <w:tcW w:w="5270" w:type="dxa"/>
            <w:tcBorders>
              <w:bottom w:val="single" w:sz="4" w:space="0" w:color="auto"/>
            </w:tcBorders>
          </w:tcPr>
          <w:p w14:paraId="6CCC7949" w14:textId="4814F46E" w:rsidR="002C5B1C" w:rsidRDefault="004B6793">
            <w:pPr>
              <w:rPr>
                <w:sz w:val="20"/>
              </w:rPr>
            </w:pPr>
            <w:r>
              <w:rPr>
                <w:sz w:val="20"/>
              </w:rPr>
              <w:t>GLND engaged to produce a Sleeve Risk Ranking Model tool</w:t>
            </w:r>
          </w:p>
        </w:tc>
        <w:tc>
          <w:tcPr>
            <w:tcW w:w="1560" w:type="dxa"/>
            <w:tcBorders>
              <w:bottom w:val="single" w:sz="4" w:space="0" w:color="auto"/>
            </w:tcBorders>
          </w:tcPr>
          <w:p w14:paraId="7B55E86B" w14:textId="2D7FD4EC" w:rsidR="002C5B1C" w:rsidRDefault="009F1F80">
            <w:pPr>
              <w:rPr>
                <w:sz w:val="20"/>
              </w:rPr>
            </w:pPr>
            <w:r>
              <w:rPr>
                <w:sz w:val="20"/>
              </w:rPr>
              <w:t>Dec 2012</w:t>
            </w:r>
            <w:bookmarkStart w:id="0" w:name="_GoBack"/>
            <w:bookmarkEnd w:id="0"/>
          </w:p>
        </w:tc>
        <w:tc>
          <w:tcPr>
            <w:tcW w:w="1059" w:type="dxa"/>
            <w:tcBorders>
              <w:bottom w:val="single" w:sz="4" w:space="0" w:color="auto"/>
            </w:tcBorders>
          </w:tcPr>
          <w:p w14:paraId="29C242D7" w14:textId="58365095" w:rsidR="002C5B1C" w:rsidRDefault="000075E8">
            <w:pPr>
              <w:rPr>
                <w:sz w:val="20"/>
              </w:rPr>
            </w:pPr>
            <w:r>
              <w:rPr>
                <w:sz w:val="20"/>
              </w:rPr>
              <w:t>£15K (plus £6K to update)</w:t>
            </w:r>
          </w:p>
        </w:tc>
        <w:tc>
          <w:tcPr>
            <w:tcW w:w="5966" w:type="dxa"/>
            <w:tcBorders>
              <w:bottom w:val="single" w:sz="4" w:space="0" w:color="auto"/>
            </w:tcBorders>
          </w:tcPr>
          <w:p w14:paraId="1C8AF039" w14:textId="36BE5592" w:rsidR="002C5B1C" w:rsidRDefault="004B6793">
            <w:pPr>
              <w:rPr>
                <w:sz w:val="20"/>
              </w:rPr>
            </w:pPr>
            <w:r>
              <w:rPr>
                <w:sz w:val="20"/>
              </w:rPr>
              <w:t>David Walker presented the initial at the Sleeve Workshop held in April 2013</w:t>
            </w:r>
            <w:r w:rsidR="00FA5094">
              <w:rPr>
                <w:sz w:val="20"/>
              </w:rPr>
              <w:t xml:space="preserve">.  </w:t>
            </w:r>
            <w:r w:rsidR="000075E8">
              <w:rPr>
                <w:sz w:val="20"/>
              </w:rPr>
              <w:t>(UKOPA-PO-12-64)  extra £6K from Mike Actons support budget</w:t>
            </w:r>
          </w:p>
        </w:tc>
      </w:tr>
      <w:tr w:rsidR="002C5B1C" w14:paraId="17DAF9AD" w14:textId="77777777" w:rsidTr="00504DC7">
        <w:tc>
          <w:tcPr>
            <w:tcW w:w="5270" w:type="dxa"/>
            <w:tcBorders>
              <w:bottom w:val="single" w:sz="4" w:space="0" w:color="auto"/>
            </w:tcBorders>
          </w:tcPr>
          <w:p w14:paraId="289B8C57" w14:textId="419D88A2" w:rsidR="002C5B1C" w:rsidRDefault="004359BA" w:rsidP="004359BA">
            <w:pPr>
              <w:rPr>
                <w:sz w:val="20"/>
              </w:rPr>
            </w:pPr>
            <w:r>
              <w:rPr>
                <w:sz w:val="20"/>
              </w:rPr>
              <w:t>Sleeve workshop 3, facilitated by N Barker, and attended by NGD, NGT, NGN, WWU, SGN, Total, Fisher German BPA.  The meeting was also attended by David Walker and Mark Robinson from Gl-Group and Peter Rycroft from HSE (Essar, Sabic and Esso, did not attend but wanted to be kept on the distribution list)</w:t>
            </w:r>
          </w:p>
        </w:tc>
        <w:tc>
          <w:tcPr>
            <w:tcW w:w="1560" w:type="dxa"/>
            <w:tcBorders>
              <w:bottom w:val="single" w:sz="4" w:space="0" w:color="auto"/>
            </w:tcBorders>
          </w:tcPr>
          <w:p w14:paraId="72639C4D" w14:textId="506B5B61" w:rsidR="002C5B1C" w:rsidRDefault="004359BA">
            <w:pPr>
              <w:rPr>
                <w:sz w:val="20"/>
              </w:rPr>
            </w:pPr>
            <w:r>
              <w:rPr>
                <w:sz w:val="20"/>
              </w:rPr>
              <w:t>April 2013</w:t>
            </w:r>
          </w:p>
        </w:tc>
        <w:tc>
          <w:tcPr>
            <w:tcW w:w="1059" w:type="dxa"/>
            <w:tcBorders>
              <w:bottom w:val="single" w:sz="4" w:space="0" w:color="auto"/>
            </w:tcBorders>
          </w:tcPr>
          <w:p w14:paraId="727026BD" w14:textId="21B5B634" w:rsidR="002C5B1C" w:rsidRDefault="00840732">
            <w:pPr>
              <w:rPr>
                <w:sz w:val="20"/>
              </w:rPr>
            </w:pPr>
            <w:r>
              <w:rPr>
                <w:sz w:val="20"/>
              </w:rPr>
              <w:t>£700 (meeting costs)</w:t>
            </w:r>
          </w:p>
        </w:tc>
        <w:tc>
          <w:tcPr>
            <w:tcW w:w="5966" w:type="dxa"/>
            <w:tcBorders>
              <w:bottom w:val="single" w:sz="4" w:space="0" w:color="auto"/>
            </w:tcBorders>
          </w:tcPr>
          <w:p w14:paraId="517D1DFA" w14:textId="5E5FF137" w:rsidR="004359BA" w:rsidRDefault="004359BA">
            <w:pPr>
              <w:rPr>
                <w:sz w:val="20"/>
              </w:rPr>
            </w:pPr>
            <w:r>
              <w:rPr>
                <w:sz w:val="20"/>
              </w:rPr>
              <w:t xml:space="preserve">Adrian Wathen (NG) advised the group of the draft ISO document on sleeves – it was agreed that this work would be reviewed and relevant information added into the revised Sleeve Management Strategy Document. </w:t>
            </w:r>
            <w:r w:rsidR="00840732">
              <w:rPr>
                <w:sz w:val="20"/>
              </w:rPr>
              <w:t>This group consisted of Adrian Wathern, Barry McKay, Barry Dalus, Garr Chau and Nikki Barker</w:t>
            </w:r>
          </w:p>
          <w:p w14:paraId="09F652F7" w14:textId="77777777" w:rsidR="002C5B1C" w:rsidRDefault="004359BA">
            <w:pPr>
              <w:rPr>
                <w:sz w:val="20"/>
              </w:rPr>
            </w:pPr>
            <w:r>
              <w:rPr>
                <w:sz w:val="20"/>
              </w:rPr>
              <w:t>Richard Williams (WWU) shared information about a sleeve failure.</w:t>
            </w:r>
          </w:p>
          <w:p w14:paraId="3EE59C07" w14:textId="77777777" w:rsidR="004359BA" w:rsidRDefault="004359BA">
            <w:pPr>
              <w:rPr>
                <w:sz w:val="20"/>
              </w:rPr>
            </w:pPr>
            <w:r>
              <w:rPr>
                <w:sz w:val="20"/>
              </w:rPr>
              <w:t>GL presented the Sleeve risk ranking methodology and the group agreed to trial the process</w:t>
            </w:r>
            <w:r w:rsidR="00840732">
              <w:rPr>
                <w:sz w:val="20"/>
              </w:rPr>
              <w:t xml:space="preserve"> with 2 pipelines for each company</w:t>
            </w:r>
            <w:r>
              <w:rPr>
                <w:sz w:val="20"/>
              </w:rPr>
              <w:t>.</w:t>
            </w:r>
          </w:p>
          <w:p w14:paraId="538B08BC" w14:textId="099F9828" w:rsidR="000075E8" w:rsidRDefault="000075E8">
            <w:pPr>
              <w:rPr>
                <w:sz w:val="20"/>
              </w:rPr>
            </w:pPr>
            <w:r>
              <w:rPr>
                <w:sz w:val="20"/>
              </w:rPr>
              <w:t>Reported on by N Barker email of 4 May 2013</w:t>
            </w:r>
          </w:p>
        </w:tc>
      </w:tr>
      <w:tr w:rsidR="002C5B1C" w14:paraId="063A5F01" w14:textId="77777777" w:rsidTr="00504DC7">
        <w:tc>
          <w:tcPr>
            <w:tcW w:w="5270" w:type="dxa"/>
            <w:tcBorders>
              <w:bottom w:val="single" w:sz="4" w:space="0" w:color="auto"/>
            </w:tcBorders>
          </w:tcPr>
          <w:p w14:paraId="46A93278" w14:textId="3F88DD6F" w:rsidR="002C5B1C" w:rsidRDefault="00840732">
            <w:pPr>
              <w:rPr>
                <w:sz w:val="20"/>
              </w:rPr>
            </w:pPr>
            <w:r>
              <w:rPr>
                <w:sz w:val="20"/>
              </w:rPr>
              <w:t xml:space="preserve">Sleeve Workshop 4, facilitated by N Barker and attended by NGD, NGT, NGN, SGN, </w:t>
            </w:r>
          </w:p>
        </w:tc>
        <w:tc>
          <w:tcPr>
            <w:tcW w:w="1560" w:type="dxa"/>
            <w:tcBorders>
              <w:bottom w:val="single" w:sz="4" w:space="0" w:color="auto"/>
            </w:tcBorders>
          </w:tcPr>
          <w:p w14:paraId="64021084" w14:textId="38F6835E" w:rsidR="002C5B1C" w:rsidRDefault="00840732">
            <w:pPr>
              <w:rPr>
                <w:sz w:val="20"/>
              </w:rPr>
            </w:pPr>
            <w:r>
              <w:rPr>
                <w:sz w:val="20"/>
              </w:rPr>
              <w:t>Oct 2013</w:t>
            </w:r>
          </w:p>
        </w:tc>
        <w:tc>
          <w:tcPr>
            <w:tcW w:w="1059" w:type="dxa"/>
            <w:tcBorders>
              <w:bottom w:val="single" w:sz="4" w:space="0" w:color="auto"/>
            </w:tcBorders>
          </w:tcPr>
          <w:p w14:paraId="3E407983" w14:textId="3ED8CA10" w:rsidR="002C5B1C" w:rsidRDefault="000075E8">
            <w:pPr>
              <w:rPr>
                <w:sz w:val="20"/>
              </w:rPr>
            </w:pPr>
            <w:r>
              <w:rPr>
                <w:sz w:val="20"/>
              </w:rPr>
              <w:t>£700 (meeting costs)</w:t>
            </w:r>
          </w:p>
        </w:tc>
        <w:tc>
          <w:tcPr>
            <w:tcW w:w="5966" w:type="dxa"/>
            <w:tcBorders>
              <w:bottom w:val="single" w:sz="4" w:space="0" w:color="auto"/>
            </w:tcBorders>
          </w:tcPr>
          <w:p w14:paraId="71DD0A51" w14:textId="77777777" w:rsidR="00FA5094" w:rsidRDefault="00840732">
            <w:pPr>
              <w:rPr>
                <w:sz w:val="20"/>
              </w:rPr>
            </w:pPr>
            <w:r>
              <w:rPr>
                <w:sz w:val="20"/>
              </w:rPr>
              <w:t xml:space="preserve">GLND transposed Risk Ranking Model into a spreadsheet format.  </w:t>
            </w:r>
            <w:r w:rsidR="00FA5094">
              <w:rPr>
                <w:sz w:val="20"/>
              </w:rPr>
              <w:t>GLND report 13065 supported the model.</w:t>
            </w:r>
          </w:p>
          <w:p w14:paraId="29608FC8" w14:textId="31B7C3BD" w:rsidR="002C5B1C" w:rsidRDefault="00840732">
            <w:pPr>
              <w:rPr>
                <w:sz w:val="20"/>
              </w:rPr>
            </w:pPr>
            <w:r>
              <w:rPr>
                <w:sz w:val="20"/>
              </w:rPr>
              <w:t>Changes were requested that RO feedback</w:t>
            </w:r>
            <w:r w:rsidR="00D64156">
              <w:rPr>
                <w:sz w:val="20"/>
              </w:rPr>
              <w:t xml:space="preserve"> for updates to be made and this was done by the end of October 2015</w:t>
            </w:r>
          </w:p>
          <w:p w14:paraId="4A825D19" w14:textId="1DCC9969" w:rsidR="00840732" w:rsidRDefault="000075E8">
            <w:pPr>
              <w:rPr>
                <w:sz w:val="20"/>
              </w:rPr>
            </w:pPr>
            <w:r>
              <w:rPr>
                <w:sz w:val="20"/>
              </w:rPr>
              <w:t>Meeting output reported via N Barker email of 2 Oct 2013</w:t>
            </w:r>
          </w:p>
        </w:tc>
      </w:tr>
      <w:tr w:rsidR="00A8501F" w14:paraId="602AF63E" w14:textId="77777777" w:rsidTr="00504DC7">
        <w:tc>
          <w:tcPr>
            <w:tcW w:w="5270" w:type="dxa"/>
            <w:tcBorders>
              <w:bottom w:val="single" w:sz="4" w:space="0" w:color="auto"/>
            </w:tcBorders>
          </w:tcPr>
          <w:p w14:paraId="4137A7EF" w14:textId="47E1AB67" w:rsidR="00A8501F" w:rsidRDefault="00A8501F">
            <w:pPr>
              <w:rPr>
                <w:sz w:val="20"/>
              </w:rPr>
            </w:pPr>
            <w:r>
              <w:rPr>
                <w:sz w:val="20"/>
              </w:rPr>
              <w:t>Robert Stockley presented at the 2014 Technical Seminar regarding the Sleeve cut out on the Bacton – Roudham Heath pipeline (Presentation stored in the 2014 Technical Seminar Folder)</w:t>
            </w:r>
          </w:p>
        </w:tc>
        <w:tc>
          <w:tcPr>
            <w:tcW w:w="1560" w:type="dxa"/>
            <w:tcBorders>
              <w:bottom w:val="single" w:sz="4" w:space="0" w:color="auto"/>
            </w:tcBorders>
          </w:tcPr>
          <w:p w14:paraId="0F32434F" w14:textId="6495224D" w:rsidR="00A8501F" w:rsidRDefault="00A8501F">
            <w:pPr>
              <w:rPr>
                <w:sz w:val="20"/>
              </w:rPr>
            </w:pPr>
            <w:r>
              <w:rPr>
                <w:sz w:val="20"/>
              </w:rPr>
              <w:t>May 2014</w:t>
            </w:r>
          </w:p>
        </w:tc>
        <w:tc>
          <w:tcPr>
            <w:tcW w:w="1059" w:type="dxa"/>
            <w:tcBorders>
              <w:bottom w:val="single" w:sz="4" w:space="0" w:color="auto"/>
            </w:tcBorders>
          </w:tcPr>
          <w:p w14:paraId="164CEC1E" w14:textId="77777777" w:rsidR="00A8501F" w:rsidRDefault="00A8501F">
            <w:pPr>
              <w:rPr>
                <w:sz w:val="20"/>
              </w:rPr>
            </w:pPr>
          </w:p>
        </w:tc>
        <w:tc>
          <w:tcPr>
            <w:tcW w:w="5966" w:type="dxa"/>
            <w:tcBorders>
              <w:bottom w:val="single" w:sz="4" w:space="0" w:color="auto"/>
            </w:tcBorders>
          </w:tcPr>
          <w:p w14:paraId="200AFA24" w14:textId="4851C4B4" w:rsidR="00A8501F" w:rsidRDefault="00A8501F">
            <w:pPr>
              <w:rPr>
                <w:sz w:val="20"/>
              </w:rPr>
            </w:pPr>
            <w:r>
              <w:rPr>
                <w:sz w:val="20"/>
              </w:rPr>
              <w:t>Initial OLI showed no findings in the sleeve area in 1993.   OLI in 2007 identified 6 areas of metal loss within the 43m of sleeve outside the terminal.  Replacement of this section in 2013, allowed the pipe to be inspected.  One of the main findings were that the 6 features showed no sign of corrosion.</w:t>
            </w:r>
          </w:p>
        </w:tc>
      </w:tr>
      <w:tr w:rsidR="00A8501F" w14:paraId="7425BB23" w14:textId="77777777" w:rsidTr="00504DC7">
        <w:tc>
          <w:tcPr>
            <w:tcW w:w="5270" w:type="dxa"/>
            <w:tcBorders>
              <w:bottom w:val="single" w:sz="4" w:space="0" w:color="auto"/>
            </w:tcBorders>
          </w:tcPr>
          <w:p w14:paraId="085B5174" w14:textId="3E8F7FA4" w:rsidR="00A8501F" w:rsidRDefault="00A8501F">
            <w:pPr>
              <w:rPr>
                <w:sz w:val="20"/>
              </w:rPr>
            </w:pPr>
            <w:r>
              <w:rPr>
                <w:sz w:val="20"/>
              </w:rPr>
              <w:t>Joint Sleeve / Dent Workshop held at Ambergate on 10</w:t>
            </w:r>
            <w:r w:rsidRPr="004F311D">
              <w:rPr>
                <w:sz w:val="20"/>
                <w:vertAlign w:val="superscript"/>
              </w:rPr>
              <w:t>th</w:t>
            </w:r>
            <w:r>
              <w:rPr>
                <w:sz w:val="20"/>
              </w:rPr>
              <w:t xml:space="preserve"> June 2014 Attended by NGD, NGT, OPA, Ineos, WWU, SGN, BPA, BPUK, Sabic, Fisher German and Penspen (apologies from ESSAR and NG)</w:t>
            </w:r>
          </w:p>
        </w:tc>
        <w:tc>
          <w:tcPr>
            <w:tcW w:w="1560" w:type="dxa"/>
            <w:tcBorders>
              <w:bottom w:val="single" w:sz="4" w:space="0" w:color="auto"/>
            </w:tcBorders>
          </w:tcPr>
          <w:p w14:paraId="32508970" w14:textId="4FD932D6" w:rsidR="00A8501F" w:rsidRDefault="00A8501F">
            <w:pPr>
              <w:rPr>
                <w:sz w:val="20"/>
              </w:rPr>
            </w:pPr>
            <w:r>
              <w:rPr>
                <w:sz w:val="20"/>
              </w:rPr>
              <w:t>June 2014</w:t>
            </w:r>
          </w:p>
        </w:tc>
        <w:tc>
          <w:tcPr>
            <w:tcW w:w="1059" w:type="dxa"/>
            <w:tcBorders>
              <w:bottom w:val="single" w:sz="4" w:space="0" w:color="auto"/>
            </w:tcBorders>
          </w:tcPr>
          <w:p w14:paraId="56B54D4D" w14:textId="135E3D95" w:rsidR="00A8501F" w:rsidRDefault="00A8501F">
            <w:pPr>
              <w:rPr>
                <w:sz w:val="20"/>
              </w:rPr>
            </w:pPr>
          </w:p>
        </w:tc>
        <w:tc>
          <w:tcPr>
            <w:tcW w:w="5966" w:type="dxa"/>
            <w:tcBorders>
              <w:bottom w:val="single" w:sz="4" w:space="0" w:color="auto"/>
            </w:tcBorders>
          </w:tcPr>
          <w:p w14:paraId="1FD615E0" w14:textId="643C58AF" w:rsidR="00A8501F" w:rsidRDefault="00A8501F">
            <w:pPr>
              <w:rPr>
                <w:sz w:val="20"/>
              </w:rPr>
            </w:pPr>
            <w:r>
              <w:rPr>
                <w:sz w:val="20"/>
              </w:rPr>
              <w:t>Prior to the meeting, the draft Sleeve Management Document, was circulated.  This was discussed and suggested changes (UKOPA Sleeves Management Strategy – suggested new sections) and additions made.  NB was to update the document, have it reviewed by Adrian Wathen, Richard Williams, Simon Joyce, Barry Dalus and Penspen, and then circulate to the wider group for comment</w:t>
            </w:r>
          </w:p>
          <w:p w14:paraId="046364FC" w14:textId="7A232B7B" w:rsidR="00A8501F" w:rsidRDefault="00A8501F">
            <w:pPr>
              <w:rPr>
                <w:sz w:val="20"/>
              </w:rPr>
            </w:pPr>
            <w:r>
              <w:rPr>
                <w:sz w:val="20"/>
              </w:rPr>
              <w:t>NJ also engaged to transpose the Document into the UKOPA Good Practice Guide format (3/6/2014)</w:t>
            </w:r>
          </w:p>
        </w:tc>
      </w:tr>
      <w:tr w:rsidR="00A8501F" w14:paraId="266D771A" w14:textId="77777777" w:rsidTr="00504DC7">
        <w:tc>
          <w:tcPr>
            <w:tcW w:w="5270" w:type="dxa"/>
            <w:tcBorders>
              <w:bottom w:val="single" w:sz="4" w:space="0" w:color="auto"/>
            </w:tcBorders>
          </w:tcPr>
          <w:p w14:paraId="69DF8B1A" w14:textId="48C519C6" w:rsidR="00A8501F" w:rsidRDefault="00A8501F">
            <w:pPr>
              <w:rPr>
                <w:sz w:val="20"/>
              </w:rPr>
            </w:pPr>
            <w:r>
              <w:rPr>
                <w:sz w:val="20"/>
              </w:rPr>
              <w:t xml:space="preserve">Macaw engaged to carry out Phase 1a of the proposal number 6942 issue 2 dated 30/6/2014 </w:t>
            </w:r>
          </w:p>
        </w:tc>
        <w:tc>
          <w:tcPr>
            <w:tcW w:w="1560" w:type="dxa"/>
            <w:tcBorders>
              <w:bottom w:val="single" w:sz="4" w:space="0" w:color="auto"/>
            </w:tcBorders>
          </w:tcPr>
          <w:p w14:paraId="3FE86639" w14:textId="4C7AA389" w:rsidR="00A8501F" w:rsidRDefault="00A8501F">
            <w:pPr>
              <w:rPr>
                <w:sz w:val="20"/>
              </w:rPr>
            </w:pPr>
            <w:r>
              <w:rPr>
                <w:sz w:val="20"/>
              </w:rPr>
              <w:t>June 2014</w:t>
            </w:r>
          </w:p>
        </w:tc>
        <w:tc>
          <w:tcPr>
            <w:tcW w:w="1059" w:type="dxa"/>
            <w:tcBorders>
              <w:bottom w:val="single" w:sz="4" w:space="0" w:color="auto"/>
            </w:tcBorders>
          </w:tcPr>
          <w:p w14:paraId="51A66343" w14:textId="17E09A1C" w:rsidR="00A8501F" w:rsidRDefault="00A8501F">
            <w:pPr>
              <w:rPr>
                <w:sz w:val="20"/>
              </w:rPr>
            </w:pPr>
            <w:r>
              <w:rPr>
                <w:sz w:val="20"/>
              </w:rPr>
              <w:t>£8000</w:t>
            </w:r>
          </w:p>
        </w:tc>
        <w:tc>
          <w:tcPr>
            <w:tcW w:w="5966" w:type="dxa"/>
            <w:tcBorders>
              <w:bottom w:val="single" w:sz="4" w:space="0" w:color="auto"/>
            </w:tcBorders>
          </w:tcPr>
          <w:p w14:paraId="773AD0E9" w14:textId="61FE4927" w:rsidR="00A8501F" w:rsidRDefault="00A8501F" w:rsidP="00A8501F">
            <w:pPr>
              <w:rPr>
                <w:sz w:val="20"/>
              </w:rPr>
            </w:pPr>
            <w:r>
              <w:rPr>
                <w:sz w:val="20"/>
              </w:rPr>
              <w:t>In line with expenditure proposal UKOPA/BP/15/18, Macaw engaged via purchase order UKOPA/PO/15/04)</w:t>
            </w:r>
          </w:p>
        </w:tc>
      </w:tr>
      <w:tr w:rsidR="00A8501F" w14:paraId="3B6E89CD" w14:textId="77777777" w:rsidTr="00504DC7">
        <w:tc>
          <w:tcPr>
            <w:tcW w:w="5270" w:type="dxa"/>
            <w:tcBorders>
              <w:bottom w:val="single" w:sz="4" w:space="0" w:color="auto"/>
            </w:tcBorders>
          </w:tcPr>
          <w:p w14:paraId="66891244" w14:textId="20546232" w:rsidR="00A8501F" w:rsidRDefault="00485E2D">
            <w:pPr>
              <w:rPr>
                <w:sz w:val="20"/>
              </w:rPr>
            </w:pPr>
            <w:r>
              <w:rPr>
                <w:sz w:val="20"/>
              </w:rPr>
              <w:t>GPG formatted document issued by Neil Jackson</w:t>
            </w:r>
          </w:p>
        </w:tc>
        <w:tc>
          <w:tcPr>
            <w:tcW w:w="1560" w:type="dxa"/>
            <w:tcBorders>
              <w:bottom w:val="single" w:sz="4" w:space="0" w:color="auto"/>
            </w:tcBorders>
          </w:tcPr>
          <w:p w14:paraId="338EB1EA" w14:textId="6047E484" w:rsidR="00A8501F" w:rsidRDefault="00485E2D">
            <w:pPr>
              <w:rPr>
                <w:sz w:val="20"/>
              </w:rPr>
            </w:pPr>
            <w:r>
              <w:rPr>
                <w:sz w:val="20"/>
              </w:rPr>
              <w:t>March 2015</w:t>
            </w:r>
          </w:p>
        </w:tc>
        <w:tc>
          <w:tcPr>
            <w:tcW w:w="1059" w:type="dxa"/>
            <w:tcBorders>
              <w:bottom w:val="single" w:sz="4" w:space="0" w:color="auto"/>
            </w:tcBorders>
          </w:tcPr>
          <w:p w14:paraId="044C377A" w14:textId="4D9C8B28" w:rsidR="00A8501F" w:rsidRDefault="00A8501F">
            <w:pPr>
              <w:rPr>
                <w:sz w:val="20"/>
              </w:rPr>
            </w:pPr>
          </w:p>
        </w:tc>
        <w:tc>
          <w:tcPr>
            <w:tcW w:w="5966" w:type="dxa"/>
            <w:tcBorders>
              <w:bottom w:val="single" w:sz="4" w:space="0" w:color="auto"/>
            </w:tcBorders>
          </w:tcPr>
          <w:p w14:paraId="63F4C610" w14:textId="77777777" w:rsidR="00A8501F" w:rsidRDefault="00485E2D">
            <w:pPr>
              <w:rPr>
                <w:sz w:val="20"/>
              </w:rPr>
            </w:pPr>
            <w:r>
              <w:rPr>
                <w:sz w:val="20"/>
              </w:rPr>
              <w:t>GPG V1 issued and updated</w:t>
            </w:r>
          </w:p>
          <w:p w14:paraId="7AF8F226" w14:textId="030CCA4A" w:rsidR="00485E2D" w:rsidRDefault="00485E2D">
            <w:pPr>
              <w:rPr>
                <w:sz w:val="20"/>
              </w:rPr>
            </w:pPr>
            <w:r>
              <w:rPr>
                <w:sz w:val="20"/>
              </w:rPr>
              <w:t>Comments sheet prepared – these comments were reviewed and addressed (where necessary) in the updated versions of the document</w:t>
            </w:r>
          </w:p>
        </w:tc>
      </w:tr>
      <w:tr w:rsidR="00A8501F" w14:paraId="6FA13889" w14:textId="77777777" w:rsidTr="00504DC7">
        <w:tc>
          <w:tcPr>
            <w:tcW w:w="5270" w:type="dxa"/>
            <w:tcBorders>
              <w:bottom w:val="single" w:sz="4" w:space="0" w:color="auto"/>
            </w:tcBorders>
          </w:tcPr>
          <w:p w14:paraId="1AA949D4" w14:textId="438CE53F" w:rsidR="00A8501F" w:rsidRDefault="00FA5094" w:rsidP="00A8501F">
            <w:pPr>
              <w:rPr>
                <w:sz w:val="20"/>
              </w:rPr>
            </w:pPr>
            <w:r>
              <w:rPr>
                <w:sz w:val="20"/>
              </w:rPr>
              <w:t>Teleconference attended by Robert Owen, Steve Bateman Tim Rudd and Nikki Barker (joined by Macaw to discuss phase 1a2 of ILI work proposal)</w:t>
            </w:r>
          </w:p>
        </w:tc>
        <w:tc>
          <w:tcPr>
            <w:tcW w:w="1560" w:type="dxa"/>
            <w:tcBorders>
              <w:bottom w:val="single" w:sz="4" w:space="0" w:color="auto"/>
            </w:tcBorders>
          </w:tcPr>
          <w:p w14:paraId="6B820103" w14:textId="0F438552" w:rsidR="00A8501F" w:rsidRDefault="00FA5094">
            <w:pPr>
              <w:rPr>
                <w:sz w:val="20"/>
              </w:rPr>
            </w:pPr>
            <w:r>
              <w:rPr>
                <w:sz w:val="20"/>
              </w:rPr>
              <w:t>March 2015</w:t>
            </w:r>
          </w:p>
        </w:tc>
        <w:tc>
          <w:tcPr>
            <w:tcW w:w="1059" w:type="dxa"/>
            <w:tcBorders>
              <w:bottom w:val="single" w:sz="4" w:space="0" w:color="auto"/>
            </w:tcBorders>
          </w:tcPr>
          <w:p w14:paraId="756DB65D" w14:textId="330306B0" w:rsidR="00A8501F" w:rsidRDefault="00A8501F" w:rsidP="00A8501F">
            <w:pPr>
              <w:rPr>
                <w:sz w:val="20"/>
              </w:rPr>
            </w:pPr>
          </w:p>
        </w:tc>
        <w:tc>
          <w:tcPr>
            <w:tcW w:w="5966" w:type="dxa"/>
            <w:tcBorders>
              <w:bottom w:val="single" w:sz="4" w:space="0" w:color="auto"/>
            </w:tcBorders>
          </w:tcPr>
          <w:p w14:paraId="07F3512F" w14:textId="77777777" w:rsidR="00A8501F" w:rsidRDefault="00FA5094">
            <w:pPr>
              <w:rPr>
                <w:sz w:val="20"/>
              </w:rPr>
            </w:pPr>
            <w:r>
              <w:rPr>
                <w:sz w:val="20"/>
              </w:rPr>
              <w:t>TR had reviewed the draft document and comments included on the comments sheet for answering and inclusion.  TR also provided information to be included.</w:t>
            </w:r>
          </w:p>
          <w:p w14:paraId="0CFA0BBE" w14:textId="33DF18EA" w:rsidR="00FA5094" w:rsidRDefault="00FA5094">
            <w:pPr>
              <w:rPr>
                <w:sz w:val="20"/>
              </w:rPr>
            </w:pPr>
            <w:r>
              <w:rPr>
                <w:sz w:val="20"/>
              </w:rPr>
              <w:t>Feedback to be provided by RO to the PIWG meeting at the end of March 2015</w:t>
            </w:r>
          </w:p>
        </w:tc>
      </w:tr>
      <w:tr w:rsidR="00A8501F" w14:paraId="5804B439" w14:textId="77777777" w:rsidTr="00504DC7">
        <w:tc>
          <w:tcPr>
            <w:tcW w:w="5270" w:type="dxa"/>
            <w:tcBorders>
              <w:bottom w:val="single" w:sz="4" w:space="0" w:color="auto"/>
            </w:tcBorders>
          </w:tcPr>
          <w:p w14:paraId="1702C8AC" w14:textId="37797080" w:rsidR="00A8501F" w:rsidRDefault="00FA5094">
            <w:pPr>
              <w:rPr>
                <w:sz w:val="20"/>
              </w:rPr>
            </w:pPr>
            <w:r>
              <w:rPr>
                <w:sz w:val="20"/>
              </w:rPr>
              <w:t>RO presented an update on the work to the PIWG and it was agreed to engage Macaw to carry out Phase 1a2 of the work</w:t>
            </w:r>
          </w:p>
        </w:tc>
        <w:tc>
          <w:tcPr>
            <w:tcW w:w="1560" w:type="dxa"/>
            <w:tcBorders>
              <w:bottom w:val="single" w:sz="4" w:space="0" w:color="auto"/>
            </w:tcBorders>
          </w:tcPr>
          <w:p w14:paraId="60D92D59" w14:textId="7B9FA2AA" w:rsidR="00A8501F" w:rsidRDefault="00FA5094">
            <w:pPr>
              <w:rPr>
                <w:sz w:val="20"/>
              </w:rPr>
            </w:pPr>
            <w:r>
              <w:rPr>
                <w:sz w:val="20"/>
              </w:rPr>
              <w:t>March 2015</w:t>
            </w:r>
          </w:p>
        </w:tc>
        <w:tc>
          <w:tcPr>
            <w:tcW w:w="1059" w:type="dxa"/>
            <w:tcBorders>
              <w:bottom w:val="single" w:sz="4" w:space="0" w:color="auto"/>
            </w:tcBorders>
          </w:tcPr>
          <w:p w14:paraId="06AD9863" w14:textId="0F78244E" w:rsidR="00485E2D" w:rsidRDefault="00485E2D">
            <w:pPr>
              <w:rPr>
                <w:sz w:val="20"/>
              </w:rPr>
            </w:pPr>
          </w:p>
        </w:tc>
        <w:tc>
          <w:tcPr>
            <w:tcW w:w="5966" w:type="dxa"/>
            <w:tcBorders>
              <w:bottom w:val="single" w:sz="4" w:space="0" w:color="auto"/>
            </w:tcBorders>
          </w:tcPr>
          <w:p w14:paraId="4CBBB467" w14:textId="448884E9" w:rsidR="00A8501F" w:rsidRDefault="00A8501F">
            <w:pPr>
              <w:rPr>
                <w:sz w:val="20"/>
              </w:rPr>
            </w:pPr>
          </w:p>
        </w:tc>
      </w:tr>
      <w:tr w:rsidR="00485E2D" w14:paraId="1AEF3869" w14:textId="77777777" w:rsidTr="00504DC7">
        <w:tc>
          <w:tcPr>
            <w:tcW w:w="5270" w:type="dxa"/>
            <w:tcBorders>
              <w:bottom w:val="single" w:sz="4" w:space="0" w:color="auto"/>
            </w:tcBorders>
          </w:tcPr>
          <w:p w14:paraId="4782E29F" w14:textId="7D5B04EA" w:rsidR="00485E2D" w:rsidRDefault="00485E2D">
            <w:pPr>
              <w:rPr>
                <w:sz w:val="20"/>
              </w:rPr>
            </w:pPr>
            <w:r>
              <w:rPr>
                <w:sz w:val="20"/>
              </w:rPr>
              <w:t>Macaw engaged to carry out Phase 1a2 of the initial proposal in line with Macaw Technical Proposal Number 8093.</w:t>
            </w:r>
          </w:p>
        </w:tc>
        <w:tc>
          <w:tcPr>
            <w:tcW w:w="1560" w:type="dxa"/>
            <w:tcBorders>
              <w:bottom w:val="single" w:sz="4" w:space="0" w:color="auto"/>
            </w:tcBorders>
          </w:tcPr>
          <w:p w14:paraId="033CC788" w14:textId="3A4CE56A" w:rsidR="00485E2D" w:rsidRDefault="00485E2D">
            <w:pPr>
              <w:rPr>
                <w:sz w:val="20"/>
              </w:rPr>
            </w:pPr>
            <w:r>
              <w:rPr>
                <w:sz w:val="20"/>
              </w:rPr>
              <w:t>June 2015</w:t>
            </w:r>
          </w:p>
        </w:tc>
        <w:tc>
          <w:tcPr>
            <w:tcW w:w="1059" w:type="dxa"/>
            <w:tcBorders>
              <w:bottom w:val="single" w:sz="4" w:space="0" w:color="auto"/>
            </w:tcBorders>
          </w:tcPr>
          <w:p w14:paraId="3309E46E" w14:textId="77777777" w:rsidR="00485E2D" w:rsidRDefault="00485E2D" w:rsidP="00485E2D">
            <w:pPr>
              <w:rPr>
                <w:sz w:val="20"/>
              </w:rPr>
            </w:pPr>
            <w:r>
              <w:rPr>
                <w:sz w:val="20"/>
              </w:rPr>
              <w:t>£13,860</w:t>
            </w:r>
          </w:p>
          <w:p w14:paraId="4DBF50BF" w14:textId="77777777" w:rsidR="00485E2D" w:rsidRDefault="00485E2D">
            <w:pPr>
              <w:rPr>
                <w:sz w:val="20"/>
              </w:rPr>
            </w:pPr>
          </w:p>
        </w:tc>
        <w:tc>
          <w:tcPr>
            <w:tcW w:w="5966" w:type="dxa"/>
            <w:tcBorders>
              <w:bottom w:val="single" w:sz="4" w:space="0" w:color="auto"/>
            </w:tcBorders>
          </w:tcPr>
          <w:p w14:paraId="3F898CE6" w14:textId="4C8663C3" w:rsidR="00485E2D" w:rsidRDefault="00485E2D">
            <w:pPr>
              <w:rPr>
                <w:sz w:val="20"/>
              </w:rPr>
            </w:pPr>
            <w:r>
              <w:rPr>
                <w:sz w:val="20"/>
              </w:rPr>
              <w:t>Following the meeting Macaw engaged to complete are feasibility review of ILI data with regards to corrosion under sleeves, growth rates etc (as per UKOPA/PO/14/92)</w:t>
            </w:r>
          </w:p>
        </w:tc>
      </w:tr>
      <w:tr w:rsidR="00485E2D" w14:paraId="047D92C2" w14:textId="77777777" w:rsidTr="00485E2D">
        <w:tc>
          <w:tcPr>
            <w:tcW w:w="5270" w:type="dxa"/>
            <w:tcBorders>
              <w:bottom w:val="single" w:sz="4" w:space="0" w:color="auto"/>
            </w:tcBorders>
          </w:tcPr>
          <w:p w14:paraId="6653DA5A" w14:textId="4C1121A1" w:rsidR="00485E2D" w:rsidRDefault="002F75C0">
            <w:pPr>
              <w:rPr>
                <w:sz w:val="20"/>
              </w:rPr>
            </w:pPr>
            <w:r>
              <w:rPr>
                <w:sz w:val="20"/>
              </w:rPr>
              <w:t>Bill Wittaker (BPA) commented on the document</w:t>
            </w:r>
          </w:p>
        </w:tc>
        <w:tc>
          <w:tcPr>
            <w:tcW w:w="1560" w:type="dxa"/>
            <w:tcBorders>
              <w:bottom w:val="single" w:sz="4" w:space="0" w:color="auto"/>
            </w:tcBorders>
          </w:tcPr>
          <w:p w14:paraId="39EC901A" w14:textId="31161AB2" w:rsidR="00485E2D" w:rsidRDefault="002F75C0">
            <w:pPr>
              <w:rPr>
                <w:sz w:val="20"/>
              </w:rPr>
            </w:pPr>
            <w:r>
              <w:rPr>
                <w:sz w:val="20"/>
              </w:rPr>
              <w:t>October</w:t>
            </w:r>
            <w:r w:rsidR="00485E2D">
              <w:rPr>
                <w:sz w:val="20"/>
              </w:rPr>
              <w:t xml:space="preserve"> 2015</w:t>
            </w:r>
          </w:p>
        </w:tc>
        <w:tc>
          <w:tcPr>
            <w:tcW w:w="1059" w:type="dxa"/>
          </w:tcPr>
          <w:p w14:paraId="5F4E4F74" w14:textId="77777777" w:rsidR="00485E2D" w:rsidRDefault="00485E2D" w:rsidP="00485E2D">
            <w:pPr>
              <w:rPr>
                <w:sz w:val="20"/>
              </w:rPr>
            </w:pPr>
          </w:p>
          <w:p w14:paraId="43611461" w14:textId="2335BADC" w:rsidR="00485E2D" w:rsidRDefault="00485E2D">
            <w:pPr>
              <w:rPr>
                <w:sz w:val="20"/>
              </w:rPr>
            </w:pPr>
          </w:p>
        </w:tc>
        <w:tc>
          <w:tcPr>
            <w:tcW w:w="5966" w:type="dxa"/>
            <w:tcBorders>
              <w:bottom w:val="single" w:sz="4" w:space="0" w:color="auto"/>
            </w:tcBorders>
          </w:tcPr>
          <w:p w14:paraId="7E57AC65" w14:textId="5383B7F1" w:rsidR="00485E2D" w:rsidRDefault="002F75C0">
            <w:pPr>
              <w:rPr>
                <w:sz w:val="20"/>
              </w:rPr>
            </w:pPr>
            <w:r>
              <w:rPr>
                <w:sz w:val="20"/>
              </w:rPr>
              <w:t>Comments added to document sheet and taken account of in latest update</w:t>
            </w:r>
          </w:p>
        </w:tc>
      </w:tr>
      <w:tr w:rsidR="00A8501F" w14:paraId="116EC171" w14:textId="77777777" w:rsidTr="00504DC7">
        <w:tc>
          <w:tcPr>
            <w:tcW w:w="5270" w:type="dxa"/>
            <w:tcBorders>
              <w:bottom w:val="single" w:sz="4" w:space="0" w:color="auto"/>
            </w:tcBorders>
          </w:tcPr>
          <w:p w14:paraId="031D1FF8" w14:textId="4D262391" w:rsidR="00A8501F" w:rsidRDefault="000075E8">
            <w:pPr>
              <w:rPr>
                <w:sz w:val="20"/>
              </w:rPr>
            </w:pPr>
            <w:r>
              <w:rPr>
                <w:sz w:val="20"/>
              </w:rPr>
              <w:t>External Review by Ian Thompson</w:t>
            </w:r>
          </w:p>
        </w:tc>
        <w:tc>
          <w:tcPr>
            <w:tcW w:w="1560" w:type="dxa"/>
            <w:tcBorders>
              <w:bottom w:val="single" w:sz="4" w:space="0" w:color="auto"/>
            </w:tcBorders>
          </w:tcPr>
          <w:p w14:paraId="0F6012C9" w14:textId="380AE120" w:rsidR="00A8501F" w:rsidRDefault="002F75C0">
            <w:pPr>
              <w:rPr>
                <w:sz w:val="20"/>
              </w:rPr>
            </w:pPr>
            <w:r>
              <w:rPr>
                <w:sz w:val="20"/>
              </w:rPr>
              <w:t>January 2016</w:t>
            </w:r>
          </w:p>
        </w:tc>
        <w:tc>
          <w:tcPr>
            <w:tcW w:w="1059" w:type="dxa"/>
            <w:tcBorders>
              <w:bottom w:val="single" w:sz="4" w:space="0" w:color="auto"/>
            </w:tcBorders>
          </w:tcPr>
          <w:p w14:paraId="73BD6A82" w14:textId="77777777" w:rsidR="00A8501F" w:rsidRDefault="00A8501F">
            <w:pPr>
              <w:rPr>
                <w:sz w:val="20"/>
              </w:rPr>
            </w:pPr>
          </w:p>
        </w:tc>
        <w:tc>
          <w:tcPr>
            <w:tcW w:w="5966" w:type="dxa"/>
            <w:tcBorders>
              <w:bottom w:val="single" w:sz="4" w:space="0" w:color="auto"/>
            </w:tcBorders>
          </w:tcPr>
          <w:p w14:paraId="44ABE4A1" w14:textId="4D4184D2" w:rsidR="00A8501F" w:rsidRDefault="002F75C0" w:rsidP="002D5028">
            <w:pPr>
              <w:rPr>
                <w:sz w:val="20"/>
              </w:rPr>
            </w:pPr>
            <w:r>
              <w:rPr>
                <w:sz w:val="20"/>
              </w:rPr>
              <w:t>Final amendments be</w:t>
            </w:r>
            <w:r w:rsidR="002D5028">
              <w:rPr>
                <w:sz w:val="20"/>
              </w:rPr>
              <w:t>ing made to the</w:t>
            </w:r>
            <w:r>
              <w:rPr>
                <w:sz w:val="20"/>
              </w:rPr>
              <w:t xml:space="preserve"> document</w:t>
            </w:r>
            <w:r w:rsidR="002D5028">
              <w:rPr>
                <w:sz w:val="20"/>
              </w:rPr>
              <w:t xml:space="preserve"> before being sent to Ian Thompson (DNV GL) for external reivew</w:t>
            </w:r>
          </w:p>
        </w:tc>
      </w:tr>
      <w:tr w:rsidR="00A8501F" w14:paraId="4CD9B4DD" w14:textId="77777777" w:rsidTr="00504DC7">
        <w:tc>
          <w:tcPr>
            <w:tcW w:w="5270" w:type="dxa"/>
            <w:tcBorders>
              <w:bottom w:val="single" w:sz="4" w:space="0" w:color="auto"/>
            </w:tcBorders>
          </w:tcPr>
          <w:p w14:paraId="60FFD46E" w14:textId="4B2F4406" w:rsidR="00A8501F" w:rsidRDefault="000075E8" w:rsidP="00F20174">
            <w:pPr>
              <w:rPr>
                <w:sz w:val="20"/>
              </w:rPr>
            </w:pPr>
            <w:r>
              <w:rPr>
                <w:sz w:val="20"/>
              </w:rPr>
              <w:t>Final version of document sent to UKOPA on 28 Jan 2016</w:t>
            </w:r>
          </w:p>
        </w:tc>
        <w:tc>
          <w:tcPr>
            <w:tcW w:w="1560" w:type="dxa"/>
            <w:tcBorders>
              <w:bottom w:val="single" w:sz="4" w:space="0" w:color="auto"/>
            </w:tcBorders>
          </w:tcPr>
          <w:p w14:paraId="51856BA2" w14:textId="651580FA" w:rsidR="00A8501F" w:rsidRDefault="000075E8">
            <w:pPr>
              <w:rPr>
                <w:sz w:val="20"/>
              </w:rPr>
            </w:pPr>
            <w:r>
              <w:rPr>
                <w:sz w:val="20"/>
              </w:rPr>
              <w:t>January 2016</w:t>
            </w:r>
          </w:p>
        </w:tc>
        <w:tc>
          <w:tcPr>
            <w:tcW w:w="1059" w:type="dxa"/>
            <w:tcBorders>
              <w:bottom w:val="single" w:sz="4" w:space="0" w:color="auto"/>
            </w:tcBorders>
          </w:tcPr>
          <w:p w14:paraId="067F005E" w14:textId="77777777" w:rsidR="00A8501F" w:rsidRDefault="00A8501F">
            <w:pPr>
              <w:rPr>
                <w:sz w:val="20"/>
              </w:rPr>
            </w:pPr>
          </w:p>
        </w:tc>
        <w:tc>
          <w:tcPr>
            <w:tcW w:w="5966" w:type="dxa"/>
            <w:tcBorders>
              <w:bottom w:val="single" w:sz="4" w:space="0" w:color="auto"/>
            </w:tcBorders>
          </w:tcPr>
          <w:p w14:paraId="513DD9CF" w14:textId="0501D070" w:rsidR="00A8501F" w:rsidRDefault="000075E8">
            <w:pPr>
              <w:rPr>
                <w:sz w:val="20"/>
              </w:rPr>
            </w:pPr>
            <w:r>
              <w:rPr>
                <w:sz w:val="20"/>
              </w:rPr>
              <w:t>Comments taken account of in final document for approval</w:t>
            </w:r>
          </w:p>
        </w:tc>
      </w:tr>
      <w:tr w:rsidR="00A8501F" w14:paraId="684FDA62" w14:textId="77777777" w:rsidTr="00504DC7">
        <w:tc>
          <w:tcPr>
            <w:tcW w:w="5270" w:type="dxa"/>
            <w:tcBorders>
              <w:bottom w:val="single" w:sz="4" w:space="0" w:color="auto"/>
            </w:tcBorders>
          </w:tcPr>
          <w:p w14:paraId="56FC53E2" w14:textId="66B0651F" w:rsidR="00A8501F" w:rsidRDefault="00A8501F" w:rsidP="00F20174">
            <w:pPr>
              <w:rPr>
                <w:sz w:val="20"/>
              </w:rPr>
            </w:pPr>
          </w:p>
        </w:tc>
        <w:tc>
          <w:tcPr>
            <w:tcW w:w="1560" w:type="dxa"/>
            <w:tcBorders>
              <w:bottom w:val="single" w:sz="4" w:space="0" w:color="auto"/>
            </w:tcBorders>
          </w:tcPr>
          <w:p w14:paraId="292AD786" w14:textId="4DB6538F" w:rsidR="00A8501F" w:rsidRDefault="00A8501F">
            <w:pPr>
              <w:rPr>
                <w:sz w:val="20"/>
              </w:rPr>
            </w:pPr>
          </w:p>
        </w:tc>
        <w:tc>
          <w:tcPr>
            <w:tcW w:w="1059" w:type="dxa"/>
            <w:tcBorders>
              <w:bottom w:val="single" w:sz="4" w:space="0" w:color="auto"/>
            </w:tcBorders>
          </w:tcPr>
          <w:p w14:paraId="6B9B0206" w14:textId="77777777" w:rsidR="00A8501F" w:rsidRDefault="00A8501F">
            <w:pPr>
              <w:rPr>
                <w:sz w:val="20"/>
              </w:rPr>
            </w:pPr>
          </w:p>
        </w:tc>
        <w:tc>
          <w:tcPr>
            <w:tcW w:w="5966" w:type="dxa"/>
            <w:tcBorders>
              <w:bottom w:val="single" w:sz="4" w:space="0" w:color="auto"/>
            </w:tcBorders>
          </w:tcPr>
          <w:p w14:paraId="34A991EC" w14:textId="2DB6826D" w:rsidR="00A8501F" w:rsidRDefault="00A8501F">
            <w:pPr>
              <w:rPr>
                <w:sz w:val="20"/>
              </w:rPr>
            </w:pPr>
          </w:p>
        </w:tc>
      </w:tr>
      <w:tr w:rsidR="00A8501F" w14:paraId="53C4F9D1" w14:textId="77777777" w:rsidTr="00504DC7">
        <w:tc>
          <w:tcPr>
            <w:tcW w:w="5270" w:type="dxa"/>
            <w:tcBorders>
              <w:bottom w:val="single" w:sz="4" w:space="0" w:color="auto"/>
            </w:tcBorders>
          </w:tcPr>
          <w:p w14:paraId="5A79BEA9" w14:textId="4D36CB63" w:rsidR="00A8501F" w:rsidRDefault="00A8501F" w:rsidP="00F20174">
            <w:pPr>
              <w:rPr>
                <w:sz w:val="20"/>
              </w:rPr>
            </w:pPr>
          </w:p>
        </w:tc>
        <w:tc>
          <w:tcPr>
            <w:tcW w:w="1560" w:type="dxa"/>
            <w:tcBorders>
              <w:bottom w:val="single" w:sz="4" w:space="0" w:color="auto"/>
            </w:tcBorders>
          </w:tcPr>
          <w:p w14:paraId="0B944A2A" w14:textId="41614F95" w:rsidR="00A8501F" w:rsidRDefault="00A8501F">
            <w:pPr>
              <w:rPr>
                <w:sz w:val="20"/>
              </w:rPr>
            </w:pPr>
          </w:p>
        </w:tc>
        <w:tc>
          <w:tcPr>
            <w:tcW w:w="1059" w:type="dxa"/>
            <w:tcBorders>
              <w:bottom w:val="single" w:sz="4" w:space="0" w:color="auto"/>
            </w:tcBorders>
          </w:tcPr>
          <w:p w14:paraId="52EDEEE5" w14:textId="77777777" w:rsidR="00A8501F" w:rsidRDefault="00A8501F">
            <w:pPr>
              <w:rPr>
                <w:sz w:val="20"/>
              </w:rPr>
            </w:pPr>
          </w:p>
        </w:tc>
        <w:tc>
          <w:tcPr>
            <w:tcW w:w="5966" w:type="dxa"/>
            <w:tcBorders>
              <w:bottom w:val="single" w:sz="4" w:space="0" w:color="auto"/>
            </w:tcBorders>
          </w:tcPr>
          <w:p w14:paraId="0CF2A588" w14:textId="18243DBE" w:rsidR="00A8501F" w:rsidRDefault="00A8501F">
            <w:pPr>
              <w:rPr>
                <w:sz w:val="20"/>
              </w:rPr>
            </w:pPr>
          </w:p>
        </w:tc>
      </w:tr>
      <w:tr w:rsidR="00A8501F" w14:paraId="74604B4B" w14:textId="77777777" w:rsidTr="00504DC7">
        <w:tc>
          <w:tcPr>
            <w:tcW w:w="5270" w:type="dxa"/>
            <w:tcBorders>
              <w:bottom w:val="single" w:sz="4" w:space="0" w:color="auto"/>
            </w:tcBorders>
          </w:tcPr>
          <w:p w14:paraId="46B0B598" w14:textId="24B376E6" w:rsidR="00A8501F" w:rsidRPr="00825DE4" w:rsidRDefault="00A8501F" w:rsidP="00243C8D"/>
        </w:tc>
        <w:tc>
          <w:tcPr>
            <w:tcW w:w="1560" w:type="dxa"/>
            <w:tcBorders>
              <w:bottom w:val="single" w:sz="4" w:space="0" w:color="auto"/>
            </w:tcBorders>
          </w:tcPr>
          <w:p w14:paraId="04336CED" w14:textId="0E8F260D" w:rsidR="00A8501F" w:rsidRPr="00825DE4" w:rsidRDefault="00A8501F" w:rsidP="00243C8D"/>
        </w:tc>
        <w:tc>
          <w:tcPr>
            <w:tcW w:w="1059" w:type="dxa"/>
            <w:tcBorders>
              <w:bottom w:val="single" w:sz="4" w:space="0" w:color="auto"/>
            </w:tcBorders>
          </w:tcPr>
          <w:p w14:paraId="43E6785E" w14:textId="1BD32716" w:rsidR="00A8501F" w:rsidRPr="00825DE4" w:rsidRDefault="00A8501F" w:rsidP="00243C8D"/>
        </w:tc>
        <w:tc>
          <w:tcPr>
            <w:tcW w:w="5966" w:type="dxa"/>
            <w:tcBorders>
              <w:bottom w:val="single" w:sz="4" w:space="0" w:color="auto"/>
            </w:tcBorders>
          </w:tcPr>
          <w:p w14:paraId="7BA497CB" w14:textId="4A258103" w:rsidR="00A8501F" w:rsidRDefault="00A8501F" w:rsidP="00243C8D"/>
        </w:tc>
      </w:tr>
      <w:tr w:rsidR="00A8501F" w14:paraId="2BDA681E" w14:textId="77777777" w:rsidTr="00504DC7">
        <w:tc>
          <w:tcPr>
            <w:tcW w:w="5270" w:type="dxa"/>
            <w:tcBorders>
              <w:bottom w:val="single" w:sz="4" w:space="0" w:color="auto"/>
            </w:tcBorders>
          </w:tcPr>
          <w:p w14:paraId="2D356286" w14:textId="2114FA9F" w:rsidR="00A8501F" w:rsidRDefault="00A8501F" w:rsidP="00F20174">
            <w:pPr>
              <w:rPr>
                <w:sz w:val="20"/>
              </w:rPr>
            </w:pPr>
          </w:p>
        </w:tc>
        <w:tc>
          <w:tcPr>
            <w:tcW w:w="1560" w:type="dxa"/>
            <w:tcBorders>
              <w:bottom w:val="single" w:sz="4" w:space="0" w:color="auto"/>
            </w:tcBorders>
          </w:tcPr>
          <w:p w14:paraId="74118645" w14:textId="613A9FE5" w:rsidR="00A8501F" w:rsidRDefault="00A8501F">
            <w:pPr>
              <w:rPr>
                <w:sz w:val="20"/>
              </w:rPr>
            </w:pPr>
          </w:p>
        </w:tc>
        <w:tc>
          <w:tcPr>
            <w:tcW w:w="1059" w:type="dxa"/>
            <w:tcBorders>
              <w:bottom w:val="single" w:sz="4" w:space="0" w:color="auto"/>
            </w:tcBorders>
          </w:tcPr>
          <w:p w14:paraId="5F58EBDE" w14:textId="567853FB" w:rsidR="00A8501F" w:rsidRDefault="00A8501F">
            <w:pPr>
              <w:rPr>
                <w:sz w:val="20"/>
              </w:rPr>
            </w:pPr>
          </w:p>
        </w:tc>
        <w:tc>
          <w:tcPr>
            <w:tcW w:w="5966" w:type="dxa"/>
            <w:tcBorders>
              <w:bottom w:val="single" w:sz="4" w:space="0" w:color="auto"/>
            </w:tcBorders>
          </w:tcPr>
          <w:p w14:paraId="715D8594" w14:textId="13E5158C" w:rsidR="00A8501F" w:rsidRDefault="00A8501F">
            <w:pPr>
              <w:rPr>
                <w:sz w:val="20"/>
              </w:rPr>
            </w:pPr>
          </w:p>
        </w:tc>
      </w:tr>
      <w:tr w:rsidR="00A8501F" w14:paraId="586A6CA7" w14:textId="77777777" w:rsidTr="00504DC7">
        <w:tc>
          <w:tcPr>
            <w:tcW w:w="5270" w:type="dxa"/>
            <w:tcBorders>
              <w:bottom w:val="single" w:sz="4" w:space="0" w:color="auto"/>
            </w:tcBorders>
          </w:tcPr>
          <w:p w14:paraId="74D9095B" w14:textId="1038C3D3" w:rsidR="00A8501F" w:rsidRDefault="00A8501F" w:rsidP="00F20174">
            <w:pPr>
              <w:rPr>
                <w:sz w:val="20"/>
              </w:rPr>
            </w:pPr>
          </w:p>
        </w:tc>
        <w:tc>
          <w:tcPr>
            <w:tcW w:w="1560" w:type="dxa"/>
            <w:tcBorders>
              <w:bottom w:val="single" w:sz="4" w:space="0" w:color="auto"/>
            </w:tcBorders>
          </w:tcPr>
          <w:p w14:paraId="4548ECAF" w14:textId="612CD6C9" w:rsidR="00A8501F" w:rsidRDefault="00A8501F">
            <w:pPr>
              <w:rPr>
                <w:sz w:val="20"/>
              </w:rPr>
            </w:pPr>
          </w:p>
        </w:tc>
        <w:tc>
          <w:tcPr>
            <w:tcW w:w="1059" w:type="dxa"/>
            <w:tcBorders>
              <w:bottom w:val="single" w:sz="4" w:space="0" w:color="auto"/>
            </w:tcBorders>
          </w:tcPr>
          <w:p w14:paraId="19ACBC89" w14:textId="77777777" w:rsidR="00A8501F" w:rsidRDefault="00A8501F">
            <w:pPr>
              <w:rPr>
                <w:sz w:val="20"/>
              </w:rPr>
            </w:pPr>
          </w:p>
        </w:tc>
        <w:tc>
          <w:tcPr>
            <w:tcW w:w="5966" w:type="dxa"/>
            <w:tcBorders>
              <w:bottom w:val="single" w:sz="4" w:space="0" w:color="auto"/>
            </w:tcBorders>
          </w:tcPr>
          <w:p w14:paraId="12C987C6" w14:textId="3CDF64DA" w:rsidR="00A8501F" w:rsidRDefault="00A8501F">
            <w:pPr>
              <w:rPr>
                <w:sz w:val="20"/>
              </w:rPr>
            </w:pPr>
          </w:p>
        </w:tc>
      </w:tr>
    </w:tbl>
    <w:p w14:paraId="05D72594" w14:textId="77777777" w:rsidR="00380FCC" w:rsidRPr="008F297C" w:rsidRDefault="00707BA7">
      <w:pPr>
        <w:rPr>
          <w:b/>
        </w:rPr>
      </w:pPr>
      <w:r w:rsidRPr="008F297C">
        <w:rPr>
          <w:b/>
        </w:rPr>
        <w:t>Progress Tracker</w:t>
      </w:r>
    </w:p>
    <w:tbl>
      <w:tblPr>
        <w:tblStyle w:val="TableGrid"/>
        <w:tblW w:w="0" w:type="auto"/>
        <w:tblLook w:val="04A0" w:firstRow="1" w:lastRow="0" w:firstColumn="1" w:lastColumn="0" w:noHBand="0" w:noVBand="1"/>
      </w:tblPr>
      <w:tblGrid>
        <w:gridCol w:w="3256"/>
        <w:gridCol w:w="1275"/>
        <w:gridCol w:w="1275"/>
        <w:gridCol w:w="1419"/>
      </w:tblGrid>
      <w:tr w:rsidR="00883C31" w14:paraId="27DE42AD" w14:textId="77777777" w:rsidTr="00883C31">
        <w:tc>
          <w:tcPr>
            <w:tcW w:w="7225" w:type="dxa"/>
            <w:gridSpan w:val="4"/>
            <w:shd w:val="clear" w:color="auto" w:fill="D9D9D9" w:themeFill="background1" w:themeFillShade="D9"/>
          </w:tcPr>
          <w:p w14:paraId="29C94940" w14:textId="77777777" w:rsidR="00883C31" w:rsidRDefault="00883C31" w:rsidP="00883C31">
            <w:pPr>
              <w:jc w:val="center"/>
              <w:rPr>
                <w:b/>
              </w:rPr>
            </w:pPr>
            <w:r w:rsidRPr="00380FCC">
              <w:rPr>
                <w:b/>
              </w:rPr>
              <w:t>Document Progress Summary</w:t>
            </w:r>
          </w:p>
          <w:p w14:paraId="2A0BF5B7" w14:textId="77777777" w:rsidR="00883C31" w:rsidRDefault="00883C31" w:rsidP="00883C31">
            <w:pPr>
              <w:jc w:val="center"/>
            </w:pPr>
          </w:p>
        </w:tc>
      </w:tr>
      <w:tr w:rsidR="00883C31" w14:paraId="195743A2" w14:textId="77777777" w:rsidTr="00883C31">
        <w:tc>
          <w:tcPr>
            <w:tcW w:w="3256" w:type="dxa"/>
          </w:tcPr>
          <w:p w14:paraId="14B0AE7B" w14:textId="77777777" w:rsidR="00883C31" w:rsidRPr="008F297C" w:rsidRDefault="00883C31" w:rsidP="00883C31">
            <w:pPr>
              <w:jc w:val="right"/>
              <w:rPr>
                <w:b/>
              </w:rPr>
            </w:pPr>
            <w:r w:rsidRPr="008F297C">
              <w:rPr>
                <w:b/>
              </w:rPr>
              <w:t>Planned issue date:</w:t>
            </w:r>
          </w:p>
        </w:tc>
        <w:tc>
          <w:tcPr>
            <w:tcW w:w="3969" w:type="dxa"/>
            <w:gridSpan w:val="3"/>
          </w:tcPr>
          <w:p w14:paraId="59227109" w14:textId="77777777" w:rsidR="00883C31" w:rsidRDefault="00775AF9">
            <w:r>
              <w:t>March 2015</w:t>
            </w:r>
          </w:p>
        </w:tc>
      </w:tr>
      <w:tr w:rsidR="00883C31" w14:paraId="410E15AD" w14:textId="77777777" w:rsidTr="00883C31">
        <w:tc>
          <w:tcPr>
            <w:tcW w:w="3256" w:type="dxa"/>
          </w:tcPr>
          <w:p w14:paraId="43CA5DC4" w14:textId="77777777" w:rsidR="00883C31" w:rsidRPr="008F297C" w:rsidRDefault="00883C31" w:rsidP="00883C31">
            <w:pPr>
              <w:jc w:val="right"/>
              <w:rPr>
                <w:b/>
              </w:rPr>
            </w:pPr>
            <w:r w:rsidRPr="008F297C">
              <w:rPr>
                <w:b/>
              </w:rPr>
              <w:t>Current Expected issue date:</w:t>
            </w:r>
          </w:p>
        </w:tc>
        <w:tc>
          <w:tcPr>
            <w:tcW w:w="3969" w:type="dxa"/>
            <w:gridSpan w:val="3"/>
          </w:tcPr>
          <w:p w14:paraId="457BFFB8" w14:textId="77777777" w:rsidR="00883C31" w:rsidRDefault="00775AF9">
            <w:r>
              <w:t>February 2016</w:t>
            </w:r>
          </w:p>
        </w:tc>
      </w:tr>
      <w:tr w:rsidR="00883C31" w14:paraId="22CBE689" w14:textId="77777777" w:rsidTr="00775AF9">
        <w:tc>
          <w:tcPr>
            <w:tcW w:w="3256" w:type="dxa"/>
          </w:tcPr>
          <w:p w14:paraId="546273E6" w14:textId="77777777" w:rsidR="00883C31" w:rsidRPr="008F297C" w:rsidRDefault="00883C31" w:rsidP="00883C31">
            <w:pPr>
              <w:jc w:val="right"/>
              <w:rPr>
                <w:b/>
              </w:rPr>
            </w:pPr>
            <w:r w:rsidRPr="008F297C">
              <w:rPr>
                <w:b/>
              </w:rPr>
              <w:t xml:space="preserve">Status: </w:t>
            </w:r>
          </w:p>
        </w:tc>
        <w:tc>
          <w:tcPr>
            <w:tcW w:w="1275" w:type="dxa"/>
          </w:tcPr>
          <w:p w14:paraId="60052787" w14:textId="77777777" w:rsidR="00883C31" w:rsidRDefault="00883C31">
            <w:r>
              <w:t>Green on target</w:t>
            </w:r>
          </w:p>
        </w:tc>
        <w:tc>
          <w:tcPr>
            <w:tcW w:w="1275" w:type="dxa"/>
          </w:tcPr>
          <w:p w14:paraId="40CA523D" w14:textId="77777777" w:rsidR="00883C31" w:rsidRDefault="00883C31">
            <w:r>
              <w:t>Amber some delays</w:t>
            </w:r>
          </w:p>
        </w:tc>
        <w:tc>
          <w:tcPr>
            <w:tcW w:w="1419" w:type="dxa"/>
            <w:shd w:val="clear" w:color="auto" w:fill="FF0000"/>
          </w:tcPr>
          <w:p w14:paraId="2CC1D317" w14:textId="77777777" w:rsidR="00883C31" w:rsidRDefault="00883C31">
            <w:r>
              <w:t>Red significant delays</w:t>
            </w:r>
          </w:p>
        </w:tc>
      </w:tr>
      <w:tr w:rsidR="00883C31" w14:paraId="0D3EA742" w14:textId="77777777" w:rsidTr="00883C31">
        <w:tc>
          <w:tcPr>
            <w:tcW w:w="3256" w:type="dxa"/>
          </w:tcPr>
          <w:p w14:paraId="0357CCB2" w14:textId="77777777" w:rsidR="00883C31" w:rsidRPr="008F297C" w:rsidRDefault="00883C31" w:rsidP="00883C31">
            <w:pPr>
              <w:jc w:val="right"/>
              <w:rPr>
                <w:b/>
              </w:rPr>
            </w:pPr>
            <w:r w:rsidRPr="008F297C">
              <w:rPr>
                <w:b/>
              </w:rPr>
              <w:t>If status is red state the reasons for the delays and the actions that are being taken to recover:</w:t>
            </w:r>
          </w:p>
        </w:tc>
        <w:tc>
          <w:tcPr>
            <w:tcW w:w="3969" w:type="dxa"/>
            <w:gridSpan w:val="3"/>
          </w:tcPr>
          <w:p w14:paraId="5A54819C" w14:textId="77777777" w:rsidR="00883C31" w:rsidRDefault="0013404F">
            <w:r>
              <w:t>Publication of the document was put on hold pending the development and implementation of a UKOPA governance process for Good Practice Documents.</w:t>
            </w:r>
          </w:p>
          <w:p w14:paraId="76FD194E" w14:textId="77777777" w:rsidR="00883C31" w:rsidRDefault="00883C31"/>
          <w:p w14:paraId="66C0CB28" w14:textId="77777777" w:rsidR="0013404F" w:rsidRDefault="0013404F"/>
        </w:tc>
      </w:tr>
      <w:tr w:rsidR="00883C31" w14:paraId="0DB94433" w14:textId="77777777" w:rsidTr="00883C31">
        <w:tc>
          <w:tcPr>
            <w:tcW w:w="3256" w:type="dxa"/>
          </w:tcPr>
          <w:p w14:paraId="37A34DC4" w14:textId="77777777" w:rsidR="00883C31" w:rsidRPr="008F297C" w:rsidRDefault="00883C31" w:rsidP="00883C31">
            <w:pPr>
              <w:jc w:val="right"/>
              <w:rPr>
                <w:b/>
              </w:rPr>
            </w:pPr>
            <w:r w:rsidRPr="008F297C">
              <w:rPr>
                <w:b/>
              </w:rPr>
              <w:t>Any additional comments</w:t>
            </w:r>
            <w:r w:rsidR="00850BAA" w:rsidRPr="008F297C">
              <w:rPr>
                <w:b/>
              </w:rPr>
              <w:t>/outstanding issues</w:t>
            </w:r>
            <w:r w:rsidRPr="008F297C">
              <w:rPr>
                <w:b/>
              </w:rPr>
              <w:t>:</w:t>
            </w:r>
          </w:p>
          <w:p w14:paraId="0EEB3A4A" w14:textId="77777777" w:rsidR="00883C31" w:rsidRPr="008F297C" w:rsidRDefault="00883C31" w:rsidP="00883C31">
            <w:pPr>
              <w:jc w:val="right"/>
              <w:rPr>
                <w:b/>
              </w:rPr>
            </w:pPr>
          </w:p>
          <w:p w14:paraId="7127D370" w14:textId="77777777" w:rsidR="00883C31" w:rsidRPr="008F297C" w:rsidRDefault="00883C31" w:rsidP="00883C31">
            <w:pPr>
              <w:jc w:val="right"/>
              <w:rPr>
                <w:b/>
              </w:rPr>
            </w:pPr>
          </w:p>
        </w:tc>
        <w:tc>
          <w:tcPr>
            <w:tcW w:w="3969" w:type="dxa"/>
            <w:gridSpan w:val="3"/>
          </w:tcPr>
          <w:p w14:paraId="1FE7767C" w14:textId="77777777" w:rsidR="00883C31" w:rsidRDefault="00883C31"/>
        </w:tc>
      </w:tr>
    </w:tbl>
    <w:p w14:paraId="177A0124" w14:textId="77777777" w:rsidR="00380FCC" w:rsidRDefault="00380FCC"/>
    <w:p w14:paraId="3E8A86CA" w14:textId="77777777" w:rsidR="00707BA7" w:rsidRPr="008F297C" w:rsidRDefault="008F297C">
      <w:pPr>
        <w:rPr>
          <w:b/>
        </w:rPr>
      </w:pPr>
      <w:r w:rsidRPr="008F297C">
        <w:rPr>
          <w:b/>
        </w:rPr>
        <w:t>Governance Group Approval</w:t>
      </w:r>
    </w:p>
    <w:tbl>
      <w:tblPr>
        <w:tblStyle w:val="TableGrid"/>
        <w:tblW w:w="0" w:type="auto"/>
        <w:tblLook w:val="04A0" w:firstRow="1" w:lastRow="0" w:firstColumn="1" w:lastColumn="0" w:noHBand="0" w:noVBand="1"/>
      </w:tblPr>
      <w:tblGrid>
        <w:gridCol w:w="6974"/>
      </w:tblGrid>
      <w:tr w:rsidR="00707BA7" w14:paraId="3D528603" w14:textId="77777777" w:rsidTr="008F297C">
        <w:tc>
          <w:tcPr>
            <w:tcW w:w="6974" w:type="dxa"/>
            <w:shd w:val="clear" w:color="auto" w:fill="C9C9C9" w:themeFill="accent3" w:themeFillTint="99"/>
          </w:tcPr>
          <w:p w14:paraId="6361BC83" w14:textId="77777777" w:rsidR="00707BA7" w:rsidRPr="008F297C" w:rsidRDefault="00707BA7">
            <w:pPr>
              <w:rPr>
                <w:b/>
              </w:rPr>
            </w:pPr>
            <w:r w:rsidRPr="008F297C">
              <w:rPr>
                <w:b/>
              </w:rPr>
              <w:t>Approved by UKOPA Document Governance Group for Publication</w:t>
            </w:r>
          </w:p>
          <w:p w14:paraId="3789D238" w14:textId="77777777" w:rsidR="008F297C" w:rsidRDefault="008F297C"/>
        </w:tc>
      </w:tr>
      <w:tr w:rsidR="00707BA7" w14:paraId="59F04E09" w14:textId="77777777" w:rsidTr="00707BA7">
        <w:tc>
          <w:tcPr>
            <w:tcW w:w="6974" w:type="dxa"/>
          </w:tcPr>
          <w:p w14:paraId="21EBE880" w14:textId="77777777" w:rsidR="008F297C" w:rsidRDefault="008F297C"/>
          <w:p w14:paraId="72432DF2" w14:textId="77777777" w:rsidR="008F297C" w:rsidRDefault="008F297C"/>
          <w:p w14:paraId="164686A4" w14:textId="77777777" w:rsidR="00707BA7" w:rsidRDefault="00707BA7">
            <w:r>
              <w:t>Approved by:</w:t>
            </w:r>
          </w:p>
          <w:p w14:paraId="2AA80072" w14:textId="77777777" w:rsidR="00707BA7" w:rsidRDefault="00707BA7"/>
          <w:p w14:paraId="0A25D81B" w14:textId="77777777" w:rsidR="00707BA7" w:rsidRDefault="00707BA7"/>
          <w:p w14:paraId="68E02A3F" w14:textId="77777777" w:rsidR="00707BA7" w:rsidRDefault="00707BA7"/>
          <w:p w14:paraId="7AC193B1" w14:textId="77777777" w:rsidR="00707BA7" w:rsidRDefault="00707BA7">
            <w:r>
              <w:t>Date:</w:t>
            </w:r>
          </w:p>
          <w:p w14:paraId="6F4BE136" w14:textId="77777777" w:rsidR="00707BA7" w:rsidRDefault="00707BA7"/>
          <w:p w14:paraId="4D0BD4D2" w14:textId="77777777" w:rsidR="00707BA7" w:rsidRDefault="00707BA7"/>
        </w:tc>
      </w:tr>
    </w:tbl>
    <w:p w14:paraId="72EE8FA0" w14:textId="77777777" w:rsidR="00707BA7" w:rsidRDefault="00707BA7"/>
    <w:sectPr w:rsidR="00707BA7" w:rsidSect="002E1805">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68F60" w14:textId="77777777" w:rsidR="009F1F80" w:rsidRDefault="009F1F80" w:rsidP="00775AF9">
      <w:pPr>
        <w:spacing w:after="0" w:line="240" w:lineRule="auto"/>
      </w:pPr>
      <w:r>
        <w:separator/>
      </w:r>
    </w:p>
  </w:endnote>
  <w:endnote w:type="continuationSeparator" w:id="0">
    <w:p w14:paraId="6D6042AA" w14:textId="77777777" w:rsidR="009F1F80" w:rsidRDefault="009F1F80" w:rsidP="0077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Cambria Math">
    <w:panose1 w:val="02040503050406030204"/>
    <w:charset w:val="00"/>
    <w:family w:val="auto"/>
    <w:pitch w:val="variable"/>
    <w:sig w:usb0="E00002FF" w:usb1="420024FF" w:usb2="00000000" w:usb3="00000000" w:csb0="0000019F" w:csb1="00000000"/>
  </w:font>
  <w:font w:name="Verdana">
    <w:panose1 w:val="020B0604030504040204"/>
    <w:charset w:val="00"/>
    <w:family w:val="auto"/>
    <w:pitch w:val="variable"/>
    <w:sig w:usb0="00000287" w:usb1="00000000" w:usb2="00000000" w:usb3="00000000" w:csb0="000001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85558"/>
      <w:docPartObj>
        <w:docPartGallery w:val="Page Numbers (Bottom of Page)"/>
        <w:docPartUnique/>
      </w:docPartObj>
    </w:sdtPr>
    <w:sdtEndPr>
      <w:rPr>
        <w:noProof/>
      </w:rPr>
    </w:sdtEndPr>
    <w:sdtContent>
      <w:p w14:paraId="5D3038F5" w14:textId="77777777" w:rsidR="009F1F80" w:rsidRDefault="009F1F80">
        <w:pPr>
          <w:pStyle w:val="Footer"/>
          <w:jc w:val="center"/>
        </w:pPr>
        <w:r>
          <w:fldChar w:fldCharType="begin"/>
        </w:r>
        <w:r>
          <w:instrText xml:space="preserve"> PAGE   \* MERGEFORMAT </w:instrText>
        </w:r>
        <w:r>
          <w:fldChar w:fldCharType="separate"/>
        </w:r>
        <w:r w:rsidR="002B5B4E">
          <w:rPr>
            <w:noProof/>
          </w:rPr>
          <w:t>1</w:t>
        </w:r>
        <w:r>
          <w:rPr>
            <w:noProof/>
          </w:rPr>
          <w:fldChar w:fldCharType="end"/>
        </w:r>
      </w:p>
    </w:sdtContent>
  </w:sdt>
  <w:p w14:paraId="1E05FD4D" w14:textId="77777777" w:rsidR="009F1F80" w:rsidRDefault="009F1F8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8DD98" w14:textId="77777777" w:rsidR="009F1F80" w:rsidRDefault="009F1F80" w:rsidP="00775AF9">
      <w:pPr>
        <w:spacing w:after="0" w:line="240" w:lineRule="auto"/>
      </w:pPr>
      <w:r>
        <w:separator/>
      </w:r>
    </w:p>
  </w:footnote>
  <w:footnote w:type="continuationSeparator" w:id="0">
    <w:p w14:paraId="60F9EAA8" w14:textId="77777777" w:rsidR="009F1F80" w:rsidRDefault="009F1F80" w:rsidP="00775AF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2225B"/>
    <w:multiLevelType w:val="hybridMultilevel"/>
    <w:tmpl w:val="4CD4E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F950137"/>
    <w:multiLevelType w:val="hybridMultilevel"/>
    <w:tmpl w:val="7F2AE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300"/>
    <w:rsid w:val="000075E8"/>
    <w:rsid w:val="00024C82"/>
    <w:rsid w:val="00037493"/>
    <w:rsid w:val="000428ED"/>
    <w:rsid w:val="00093CB3"/>
    <w:rsid w:val="00095666"/>
    <w:rsid w:val="000F6FF8"/>
    <w:rsid w:val="0013404F"/>
    <w:rsid w:val="001860D7"/>
    <w:rsid w:val="00243C8D"/>
    <w:rsid w:val="002A4DDD"/>
    <w:rsid w:val="002B2DA6"/>
    <w:rsid w:val="002B5B4E"/>
    <w:rsid w:val="002C5B1C"/>
    <w:rsid w:val="002D5028"/>
    <w:rsid w:val="002E1805"/>
    <w:rsid w:val="002F75C0"/>
    <w:rsid w:val="00380FCC"/>
    <w:rsid w:val="00403A97"/>
    <w:rsid w:val="004359BA"/>
    <w:rsid w:val="00485E2D"/>
    <w:rsid w:val="004B6793"/>
    <w:rsid w:val="004F311D"/>
    <w:rsid w:val="004F7B2A"/>
    <w:rsid w:val="00504DC7"/>
    <w:rsid w:val="00512779"/>
    <w:rsid w:val="00573300"/>
    <w:rsid w:val="006556CB"/>
    <w:rsid w:val="006D7A27"/>
    <w:rsid w:val="00707BA7"/>
    <w:rsid w:val="007752EB"/>
    <w:rsid w:val="00775AF9"/>
    <w:rsid w:val="00776300"/>
    <w:rsid w:val="007C11AA"/>
    <w:rsid w:val="007C1282"/>
    <w:rsid w:val="007C4CA8"/>
    <w:rsid w:val="00817E88"/>
    <w:rsid w:val="00832BEF"/>
    <w:rsid w:val="00840732"/>
    <w:rsid w:val="00850BAA"/>
    <w:rsid w:val="00883C31"/>
    <w:rsid w:val="008973B2"/>
    <w:rsid w:val="008F297C"/>
    <w:rsid w:val="00914151"/>
    <w:rsid w:val="00930AC0"/>
    <w:rsid w:val="009F1F80"/>
    <w:rsid w:val="00A10964"/>
    <w:rsid w:val="00A8501F"/>
    <w:rsid w:val="00AD6CC1"/>
    <w:rsid w:val="00AE5079"/>
    <w:rsid w:val="00B35EFF"/>
    <w:rsid w:val="00B84BBA"/>
    <w:rsid w:val="00BB1510"/>
    <w:rsid w:val="00C657E1"/>
    <w:rsid w:val="00C86ADB"/>
    <w:rsid w:val="00D64156"/>
    <w:rsid w:val="00DE3A0E"/>
    <w:rsid w:val="00ED3561"/>
    <w:rsid w:val="00F20174"/>
    <w:rsid w:val="00FA5094"/>
    <w:rsid w:val="00FC6C7D"/>
    <w:rsid w:val="00FD6260"/>
    <w:rsid w:val="00FE75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5B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3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6300"/>
    <w:pPr>
      <w:ind w:left="720"/>
      <w:contextualSpacing/>
    </w:pPr>
  </w:style>
  <w:style w:type="paragraph" w:styleId="Header">
    <w:name w:val="header"/>
    <w:basedOn w:val="Normal"/>
    <w:link w:val="HeaderChar"/>
    <w:uiPriority w:val="99"/>
    <w:unhideWhenUsed/>
    <w:rsid w:val="00775A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AF9"/>
  </w:style>
  <w:style w:type="paragraph" w:styleId="Footer">
    <w:name w:val="footer"/>
    <w:basedOn w:val="Normal"/>
    <w:link w:val="FooterChar"/>
    <w:uiPriority w:val="99"/>
    <w:unhideWhenUsed/>
    <w:rsid w:val="00775A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AF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3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6300"/>
    <w:pPr>
      <w:ind w:left="720"/>
      <w:contextualSpacing/>
    </w:pPr>
  </w:style>
  <w:style w:type="paragraph" w:styleId="Header">
    <w:name w:val="header"/>
    <w:basedOn w:val="Normal"/>
    <w:link w:val="HeaderChar"/>
    <w:uiPriority w:val="99"/>
    <w:unhideWhenUsed/>
    <w:rsid w:val="00775A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AF9"/>
  </w:style>
  <w:style w:type="paragraph" w:styleId="Footer">
    <w:name w:val="footer"/>
    <w:basedOn w:val="Normal"/>
    <w:link w:val="FooterChar"/>
    <w:uiPriority w:val="99"/>
    <w:unhideWhenUsed/>
    <w:rsid w:val="00775A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29E97-AD9C-FF46-9FC3-06D46A69C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1170</Words>
  <Characters>6674</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Jackson</dc:creator>
  <cp:keywords/>
  <dc:description/>
  <cp:lastModifiedBy>Nikki Barker</cp:lastModifiedBy>
  <cp:revision>11</cp:revision>
  <cp:lastPrinted>2016-01-06T15:57:00Z</cp:lastPrinted>
  <dcterms:created xsi:type="dcterms:W3CDTF">2016-01-05T15:25:00Z</dcterms:created>
  <dcterms:modified xsi:type="dcterms:W3CDTF">2016-02-11T12:14:00Z</dcterms:modified>
</cp:coreProperties>
</file>